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52EC2">
      <w:pPr>
        <w:adjustRightInd w:val="0"/>
        <w:snapToGrid w:val="0"/>
        <w:spacing w:line="240" w:lineRule="auto"/>
        <w:ind w:firstLine="0" w:firstLineChars="0"/>
        <w:jc w:val="both"/>
        <w:outlineLvl w:val="9"/>
        <w:rPr>
          <w:rFonts w:hint="default" w:ascii="Times New Roman" w:hAnsi="Times New Roman" w:eastAsia="宋体" w:cs="Times New Roman"/>
          <w:bCs/>
          <w:color w:val="auto"/>
          <w:sz w:val="72"/>
          <w:szCs w:val="72"/>
        </w:rPr>
      </w:pPr>
      <w:bookmarkStart w:id="0" w:name="_Toc69388160"/>
      <w:bookmarkStart w:id="1" w:name="_Toc151985572"/>
    </w:p>
    <w:p w14:paraId="2A71A025">
      <w:pPr>
        <w:adjustRightInd w:val="0"/>
        <w:snapToGrid w:val="0"/>
        <w:spacing w:line="240" w:lineRule="auto"/>
        <w:ind w:firstLine="0" w:firstLineChars="0"/>
        <w:jc w:val="center"/>
        <w:outlineLvl w:val="9"/>
        <w:rPr>
          <w:rFonts w:hint="default" w:ascii="Times New Roman" w:hAnsi="Times New Roman" w:eastAsia="宋体" w:cs="Times New Roman"/>
          <w:bCs/>
          <w:color w:val="auto"/>
          <w:sz w:val="72"/>
          <w:szCs w:val="72"/>
        </w:rPr>
      </w:pPr>
    </w:p>
    <w:bookmarkEnd w:id="0"/>
    <w:bookmarkEnd w:id="1"/>
    <w:p w14:paraId="226B08B5">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outlineLvl w:val="0"/>
        <w:rPr>
          <w:rFonts w:hint="default" w:ascii="Times New Roman" w:hAnsi="Times New Roman" w:eastAsia="宋体" w:cs="Times New Roman"/>
          <w:bCs/>
          <w:color w:val="auto"/>
          <w:sz w:val="72"/>
          <w:szCs w:val="72"/>
        </w:rPr>
      </w:pPr>
      <w:bookmarkStart w:id="2" w:name="_Toc25462"/>
      <w:bookmarkStart w:id="3" w:name="_Toc6066"/>
      <w:bookmarkStart w:id="4" w:name="_Toc27281"/>
      <w:r>
        <w:rPr>
          <w:rFonts w:hint="default" w:ascii="Times New Roman" w:hAnsi="Times New Roman" w:eastAsia="宋体" w:cs="Times New Roman"/>
          <w:bCs/>
          <w:color w:val="auto"/>
          <w:sz w:val="72"/>
          <w:szCs w:val="72"/>
        </w:rPr>
        <w:t>建设项目环境影响报告表</w:t>
      </w:r>
      <w:bookmarkEnd w:id="2"/>
    </w:p>
    <w:p w14:paraId="192F3AC0">
      <w:pPr>
        <w:adjustRightInd w:val="0"/>
        <w:snapToGrid w:val="0"/>
        <w:spacing w:before="192" w:beforeLines="80" w:line="240" w:lineRule="auto"/>
        <w:ind w:firstLine="0" w:firstLineChars="0"/>
        <w:jc w:val="center"/>
        <w:rPr>
          <w:rFonts w:hint="default" w:ascii="Times New Roman" w:hAnsi="Times New Roman" w:eastAsia="宋体" w:cs="Times New Roman"/>
          <w:bCs/>
          <w:color w:val="auto"/>
          <w:sz w:val="48"/>
          <w:szCs w:val="48"/>
        </w:rPr>
      </w:pPr>
      <w:r>
        <w:rPr>
          <w:rFonts w:hint="default" w:ascii="Times New Roman" w:hAnsi="Times New Roman" w:eastAsia="宋体" w:cs="Times New Roman"/>
          <w:bCs/>
          <w:color w:val="auto"/>
          <w:sz w:val="48"/>
          <w:szCs w:val="48"/>
        </w:rPr>
        <w:t>（污染影响类）</w:t>
      </w:r>
    </w:p>
    <w:p w14:paraId="7F1602FA">
      <w:pPr>
        <w:spacing w:line="240" w:lineRule="auto"/>
        <w:ind w:firstLine="0" w:firstLineChars="0"/>
        <w:rPr>
          <w:rFonts w:hint="default" w:ascii="Times New Roman" w:hAnsi="Times New Roman" w:eastAsia="宋体" w:cs="Times New Roman"/>
          <w:color w:val="auto"/>
          <w:sz w:val="21"/>
        </w:rPr>
      </w:pPr>
    </w:p>
    <w:p w14:paraId="0536B85E">
      <w:pPr>
        <w:spacing w:line="240" w:lineRule="auto"/>
        <w:ind w:firstLine="0" w:firstLineChars="0"/>
        <w:jc w:val="center"/>
        <w:rPr>
          <w:rFonts w:hint="default" w:ascii="Times New Roman" w:hAnsi="Times New Roman" w:eastAsia="宋体" w:cs="Times New Roman"/>
          <w:color w:val="auto"/>
          <w:sz w:val="52"/>
          <w:szCs w:val="52"/>
        </w:rPr>
      </w:pPr>
    </w:p>
    <w:p w14:paraId="4CF540AD">
      <w:pPr>
        <w:tabs>
          <w:tab w:val="left" w:pos="1822"/>
        </w:tabs>
        <w:spacing w:line="240" w:lineRule="auto"/>
        <w:ind w:firstLine="1040" w:firstLineChars="0"/>
        <w:rPr>
          <w:rFonts w:hint="default" w:ascii="Times New Roman" w:hAnsi="Times New Roman" w:eastAsia="宋体" w:cs="Times New Roman"/>
          <w:color w:val="auto"/>
          <w:sz w:val="44"/>
          <w:szCs w:val="44"/>
          <w:lang w:eastAsia="zh-CN"/>
        </w:rPr>
      </w:pPr>
      <w:r>
        <w:rPr>
          <w:rFonts w:hint="default" w:ascii="Times New Roman" w:hAnsi="Times New Roman" w:eastAsia="宋体" w:cs="Times New Roman"/>
          <w:color w:val="auto"/>
          <w:sz w:val="44"/>
          <w:szCs w:val="44"/>
          <w:lang w:eastAsia="zh-CN"/>
        </w:rPr>
        <w:tab/>
      </w:r>
    </w:p>
    <w:p w14:paraId="3D72C33B">
      <w:pPr>
        <w:tabs>
          <w:tab w:val="left" w:pos="3206"/>
        </w:tabs>
        <w:spacing w:line="240" w:lineRule="auto"/>
        <w:ind w:firstLine="1040" w:firstLineChars="0"/>
        <w:rPr>
          <w:rFonts w:hint="default" w:ascii="Times New Roman" w:hAnsi="Times New Roman" w:eastAsia="宋体" w:cs="Times New Roman"/>
          <w:color w:val="auto"/>
          <w:sz w:val="44"/>
          <w:szCs w:val="44"/>
          <w:lang w:eastAsia="zh-CN"/>
        </w:rPr>
      </w:pPr>
      <w:r>
        <w:rPr>
          <w:rFonts w:hint="default" w:ascii="Times New Roman" w:hAnsi="Times New Roman" w:eastAsia="宋体" w:cs="Times New Roman"/>
          <w:color w:val="auto"/>
          <w:sz w:val="44"/>
          <w:szCs w:val="44"/>
          <w:lang w:eastAsia="zh-CN"/>
        </w:rPr>
        <w:tab/>
      </w:r>
    </w:p>
    <w:p w14:paraId="24E5230C">
      <w:pPr>
        <w:spacing w:line="240" w:lineRule="auto"/>
        <w:ind w:firstLine="1040" w:firstLineChars="0"/>
        <w:rPr>
          <w:rFonts w:hint="default" w:ascii="Times New Roman" w:hAnsi="Times New Roman" w:eastAsia="宋体" w:cs="Times New Roman"/>
          <w:color w:val="auto"/>
          <w:sz w:val="44"/>
          <w:szCs w:val="44"/>
        </w:rPr>
      </w:pPr>
    </w:p>
    <w:p w14:paraId="51C7C16F">
      <w:pPr>
        <w:spacing w:line="240" w:lineRule="auto"/>
        <w:ind w:firstLine="1040" w:firstLineChars="0"/>
        <w:rPr>
          <w:rFonts w:hint="default" w:ascii="Times New Roman" w:hAnsi="Times New Roman" w:eastAsia="宋体" w:cs="Times New Roman"/>
          <w:color w:val="auto"/>
          <w:sz w:val="44"/>
          <w:szCs w:val="44"/>
        </w:rPr>
      </w:pPr>
    </w:p>
    <w:p w14:paraId="730B8E62">
      <w:pPr>
        <w:adjustRightInd w:val="0"/>
        <w:snapToGrid w:val="0"/>
        <w:ind w:left="0" w:leftChars="0" w:firstLine="0" w:firstLineChars="0"/>
        <w:rPr>
          <w:rFonts w:hint="default" w:ascii="Times New Roman" w:hAnsi="Times New Roman" w:eastAsia="宋体" w:cs="Times New Roman"/>
          <w:color w:val="auto"/>
          <w:sz w:val="30"/>
          <w:szCs w:val="30"/>
          <w:u w:val="single"/>
          <w:lang w:val="en-US" w:eastAsia="zh-CN"/>
        </w:rPr>
      </w:pPr>
      <w:r>
        <w:rPr>
          <w:rFonts w:hint="default" w:ascii="Times New Roman" w:hAnsi="Times New Roman" w:eastAsia="宋体" w:cs="Times New Roman"/>
          <w:color w:val="auto"/>
          <w:sz w:val="30"/>
          <w:szCs w:val="30"/>
        </w:rPr>
        <w:t>项目名称</w:t>
      </w:r>
      <w:r>
        <w:rPr>
          <w:rFonts w:hint="default" w:ascii="Times New Roman" w:hAnsi="Times New Roman" w:eastAsia="宋体" w:cs="Times New Roman"/>
          <w:color w:val="auto"/>
          <w:sz w:val="30"/>
          <w:szCs w:val="30"/>
        </w:rPr>
        <w:t>：</w:t>
      </w:r>
      <w:r>
        <w:rPr>
          <w:rFonts w:hint="default" w:ascii="Times New Roman" w:hAnsi="Times New Roman" w:eastAsia="宋体" w:cs="Times New Roman"/>
          <w:color w:val="auto"/>
          <w:sz w:val="30"/>
          <w:szCs w:val="30"/>
          <w:u w:val="single"/>
          <w:lang w:val="en-US" w:eastAsia="zh-CN"/>
        </w:rPr>
        <w:t xml:space="preserve">淮安市迅安新材料有限公司年产400吨TL990型电缆耐火密封填料、2万套KP800型电缆耐火密封膨胀堵料项目         </w:t>
      </w:r>
    </w:p>
    <w:p w14:paraId="7274B60C">
      <w:pPr>
        <w:adjustRightInd w:val="0"/>
        <w:snapToGrid w:val="0"/>
        <w:ind w:left="0" w:leftChars="0" w:firstLine="0" w:firstLineChars="0"/>
        <w:rPr>
          <w:rFonts w:hint="default" w:ascii="Times New Roman" w:hAnsi="Times New Roman" w:eastAsia="宋体" w:cs="Times New Roman"/>
          <w:color w:val="auto"/>
          <w:sz w:val="30"/>
          <w:szCs w:val="30"/>
          <w:u w:val="single"/>
          <w:lang w:val="en-US" w:eastAsia="zh-CN"/>
        </w:rPr>
      </w:pPr>
      <w:r>
        <w:rPr>
          <w:rFonts w:hint="default" w:ascii="Times New Roman" w:hAnsi="Times New Roman" w:eastAsia="宋体" w:cs="Times New Roman"/>
          <w:color w:val="auto"/>
          <w:spacing w:val="0"/>
          <w:kern w:val="0"/>
          <w:sz w:val="30"/>
          <w:szCs w:val="30"/>
          <w:fitText w:val="2400" w:id="293544791"/>
        </w:rPr>
        <w:t>建设单位（盖章）</w:t>
      </w:r>
      <w:r>
        <w:rPr>
          <w:rFonts w:hint="default" w:ascii="Times New Roman" w:hAnsi="Times New Roman" w:eastAsia="宋体" w:cs="Times New Roman"/>
          <w:color w:val="auto"/>
          <w:sz w:val="30"/>
          <w:szCs w:val="30"/>
        </w:rPr>
        <w:t>：</w:t>
      </w:r>
      <w:r>
        <w:rPr>
          <w:rFonts w:hint="default" w:ascii="Times New Roman" w:hAnsi="Times New Roman" w:eastAsia="宋体" w:cs="Times New Roman"/>
          <w:color w:val="auto"/>
          <w:sz w:val="30"/>
          <w:szCs w:val="30"/>
          <w:u w:val="single"/>
          <w:lang w:val="en-US" w:eastAsia="zh-CN"/>
        </w:rPr>
        <w:t xml:space="preserve">     淮安市迅安新材料有限公司             </w:t>
      </w:r>
    </w:p>
    <w:p w14:paraId="0E3556CE">
      <w:pPr>
        <w:adjustRightInd w:val="0"/>
        <w:snapToGrid w:val="0"/>
        <w:ind w:left="0" w:leftChars="0" w:firstLine="0" w:firstLineChars="0"/>
        <w:rPr>
          <w:rFonts w:hint="default" w:ascii="Times New Roman" w:hAnsi="Times New Roman" w:eastAsia="宋体" w:cs="Times New Roman"/>
          <w:color w:val="auto"/>
          <w:sz w:val="30"/>
          <w:szCs w:val="30"/>
          <w:u w:val="single"/>
          <w:lang w:val="en-US" w:eastAsia="zh-CN"/>
        </w:rPr>
      </w:pPr>
      <w:r>
        <w:rPr>
          <w:rFonts w:hint="default" w:ascii="Times New Roman" w:hAnsi="Times New Roman" w:eastAsia="宋体" w:cs="Times New Roman"/>
          <w:color w:val="auto"/>
          <w:sz w:val="30"/>
          <w:szCs w:val="30"/>
        </w:rPr>
        <w:t>编制日期：</w:t>
      </w:r>
      <w:r>
        <w:rPr>
          <w:rFonts w:hint="default" w:ascii="Times New Roman" w:hAnsi="Times New Roman" w:eastAsia="宋体" w:cs="Times New Roman"/>
          <w:color w:val="auto"/>
          <w:sz w:val="30"/>
          <w:szCs w:val="30"/>
          <w:u w:val="single"/>
        </w:rPr>
        <w:t xml:space="preserve">  </w:t>
      </w:r>
      <w:r>
        <w:rPr>
          <w:rFonts w:hint="default" w:ascii="Times New Roman" w:hAnsi="Times New Roman" w:eastAsia="宋体" w:cs="Times New Roman"/>
          <w:color w:val="auto"/>
          <w:sz w:val="30"/>
          <w:szCs w:val="30"/>
          <w:u w:val="single"/>
          <w:lang w:val="en-US" w:eastAsia="zh-CN"/>
        </w:rPr>
        <w:t xml:space="preserve">               </w:t>
      </w:r>
      <w:r>
        <w:rPr>
          <w:rFonts w:hint="default" w:ascii="Times New Roman" w:hAnsi="Times New Roman" w:eastAsia="宋体" w:cs="Times New Roman"/>
          <w:color w:val="auto"/>
          <w:sz w:val="30"/>
          <w:szCs w:val="30"/>
          <w:u w:val="single"/>
        </w:rPr>
        <w:t>202</w:t>
      </w:r>
      <w:r>
        <w:rPr>
          <w:rFonts w:hint="default" w:ascii="Times New Roman" w:hAnsi="Times New Roman" w:eastAsia="宋体" w:cs="Times New Roman"/>
          <w:color w:val="auto"/>
          <w:sz w:val="30"/>
          <w:szCs w:val="30"/>
          <w:u w:val="single"/>
          <w:lang w:val="en-US" w:eastAsia="zh-CN"/>
        </w:rPr>
        <w:t>5</w:t>
      </w:r>
      <w:r>
        <w:rPr>
          <w:rFonts w:hint="default" w:ascii="Times New Roman" w:hAnsi="Times New Roman" w:eastAsia="宋体" w:cs="Times New Roman"/>
          <w:color w:val="auto"/>
          <w:sz w:val="30"/>
          <w:szCs w:val="30"/>
          <w:u w:val="single"/>
        </w:rPr>
        <w:t>年</w:t>
      </w:r>
      <w:r>
        <w:rPr>
          <w:rFonts w:hint="eastAsia" w:cs="Times New Roman"/>
          <w:color w:val="auto"/>
          <w:sz w:val="30"/>
          <w:szCs w:val="30"/>
          <w:u w:val="single"/>
          <w:lang w:val="en-US" w:eastAsia="zh-CN"/>
        </w:rPr>
        <w:t>2</w:t>
      </w:r>
      <w:r>
        <w:rPr>
          <w:rFonts w:hint="default" w:ascii="Times New Roman" w:hAnsi="Times New Roman" w:eastAsia="宋体" w:cs="Times New Roman"/>
          <w:color w:val="auto"/>
          <w:sz w:val="30"/>
          <w:szCs w:val="30"/>
          <w:u w:val="single"/>
        </w:rPr>
        <w:t>月</w:t>
      </w:r>
      <w:r>
        <w:rPr>
          <w:rFonts w:hint="default" w:ascii="Times New Roman" w:hAnsi="Times New Roman" w:eastAsia="宋体" w:cs="Times New Roman"/>
          <w:color w:val="auto"/>
          <w:sz w:val="30"/>
          <w:szCs w:val="30"/>
          <w:u w:val="single"/>
          <w:lang w:val="en-US" w:eastAsia="zh-CN"/>
        </w:rPr>
        <w:t xml:space="preserve">   </w:t>
      </w:r>
      <w:r>
        <w:rPr>
          <w:rFonts w:hint="default" w:ascii="Times New Roman" w:hAnsi="Times New Roman" w:eastAsia="宋体" w:cs="Times New Roman"/>
          <w:color w:val="auto"/>
          <w:sz w:val="30"/>
          <w:szCs w:val="30"/>
          <w:u w:val="single"/>
        </w:rPr>
        <w:t xml:space="preserve">     </w:t>
      </w:r>
      <w:r>
        <w:rPr>
          <w:rFonts w:hint="default" w:ascii="Times New Roman" w:hAnsi="Times New Roman" w:eastAsia="宋体" w:cs="Times New Roman"/>
          <w:color w:val="auto"/>
          <w:sz w:val="30"/>
          <w:szCs w:val="30"/>
          <w:u w:val="single"/>
          <w:lang w:val="en-US" w:eastAsia="zh-CN"/>
        </w:rPr>
        <w:t xml:space="preserve">          </w:t>
      </w:r>
      <w:r>
        <w:rPr>
          <w:rFonts w:hint="default" w:ascii="Times New Roman" w:hAnsi="Times New Roman" w:eastAsia="宋体" w:cs="Times New Roman"/>
          <w:color w:val="auto"/>
          <w:sz w:val="30"/>
          <w:szCs w:val="30"/>
          <w:u w:val="single"/>
        </w:rPr>
        <w:t xml:space="preserve"> </w:t>
      </w:r>
    </w:p>
    <w:p w14:paraId="049C164F">
      <w:pPr>
        <w:adjustRightInd w:val="0"/>
        <w:snapToGrid w:val="0"/>
        <w:spacing w:line="288" w:lineRule="auto"/>
        <w:ind w:firstLine="1040" w:firstLineChars="0"/>
        <w:rPr>
          <w:rFonts w:hint="default" w:ascii="Times New Roman" w:hAnsi="Times New Roman" w:eastAsia="宋体" w:cs="Times New Roman"/>
          <w:color w:val="auto"/>
          <w:sz w:val="36"/>
          <w:szCs w:val="36"/>
          <w:u w:val="single"/>
        </w:rPr>
      </w:pPr>
    </w:p>
    <w:p w14:paraId="51437211">
      <w:pPr>
        <w:adjustRightInd w:val="0"/>
        <w:snapToGrid w:val="0"/>
        <w:spacing w:line="288" w:lineRule="auto"/>
        <w:ind w:firstLine="1040" w:firstLineChars="0"/>
        <w:rPr>
          <w:rFonts w:hint="default" w:ascii="Times New Roman" w:hAnsi="Times New Roman" w:eastAsia="宋体" w:cs="Times New Roman"/>
          <w:color w:val="auto"/>
          <w:sz w:val="36"/>
          <w:szCs w:val="36"/>
        </w:rPr>
      </w:pPr>
    </w:p>
    <w:p w14:paraId="63361F9E">
      <w:pPr>
        <w:spacing w:line="240" w:lineRule="auto"/>
        <w:ind w:firstLine="1040" w:firstLineChars="0"/>
        <w:rPr>
          <w:rFonts w:hint="default" w:ascii="Times New Roman" w:hAnsi="Times New Roman" w:eastAsia="宋体" w:cs="Times New Roman"/>
          <w:color w:val="auto"/>
          <w:sz w:val="44"/>
          <w:szCs w:val="44"/>
        </w:rPr>
      </w:pPr>
    </w:p>
    <w:p w14:paraId="24F03AF7">
      <w:pPr>
        <w:spacing w:line="240" w:lineRule="auto"/>
        <w:ind w:firstLine="1040" w:firstLineChars="0"/>
        <w:rPr>
          <w:rFonts w:hint="default" w:ascii="Times New Roman" w:hAnsi="Times New Roman" w:eastAsia="宋体" w:cs="Times New Roman"/>
          <w:color w:val="auto"/>
          <w:sz w:val="44"/>
          <w:szCs w:val="44"/>
        </w:rPr>
      </w:pPr>
    </w:p>
    <w:p w14:paraId="531507E0">
      <w:pPr>
        <w:spacing w:line="240" w:lineRule="auto"/>
        <w:ind w:firstLine="1040" w:firstLineChars="0"/>
        <w:rPr>
          <w:rFonts w:hint="default" w:ascii="Times New Roman" w:hAnsi="Times New Roman" w:eastAsia="宋体" w:cs="Times New Roman"/>
          <w:color w:val="auto"/>
          <w:sz w:val="44"/>
          <w:szCs w:val="44"/>
        </w:rPr>
      </w:pPr>
    </w:p>
    <w:p w14:paraId="0BE986E4">
      <w:pPr>
        <w:spacing w:line="240" w:lineRule="auto"/>
        <w:ind w:left="0" w:leftChars="0" w:firstLine="0" w:firstLineChars="0"/>
        <w:rPr>
          <w:rFonts w:hint="default" w:ascii="Times New Roman" w:hAnsi="Times New Roman" w:eastAsia="宋体" w:cs="Times New Roman"/>
          <w:color w:val="auto"/>
          <w:sz w:val="44"/>
          <w:szCs w:val="44"/>
        </w:rPr>
      </w:pPr>
    </w:p>
    <w:p w14:paraId="276FC4E5">
      <w:pPr>
        <w:adjustRightInd w:val="0"/>
        <w:snapToGrid w:val="0"/>
        <w:spacing w:line="288" w:lineRule="auto"/>
        <w:ind w:firstLine="0" w:firstLineChars="0"/>
        <w:jc w:val="center"/>
        <w:outlineLvl w:val="9"/>
        <w:rPr>
          <w:rFonts w:hint="default" w:ascii="Times New Roman" w:hAnsi="Times New Roman" w:eastAsia="宋体" w:cs="Times New Roman"/>
          <w:color w:val="auto"/>
          <w:sz w:val="36"/>
          <w:szCs w:val="36"/>
        </w:rPr>
      </w:pPr>
      <w:bookmarkStart w:id="5" w:name="_Toc13286"/>
      <w:r>
        <w:rPr>
          <w:rFonts w:hint="default" w:ascii="Times New Roman" w:hAnsi="Times New Roman" w:eastAsia="宋体" w:cs="Times New Roman"/>
          <w:color w:val="auto"/>
          <w:sz w:val="36"/>
          <w:szCs w:val="36"/>
        </w:rPr>
        <w:t>中华人民共和国生态环境部制</w:t>
      </w:r>
      <w:bookmarkEnd w:id="5"/>
    </w:p>
    <w:p w14:paraId="63B95704">
      <w:pPr>
        <w:adjustRightInd w:val="0"/>
        <w:snapToGrid w:val="0"/>
        <w:spacing w:before="120" w:line="288" w:lineRule="auto"/>
        <w:ind w:firstLine="720"/>
        <w:rPr>
          <w:rFonts w:hint="default" w:ascii="Times New Roman" w:hAnsi="Times New Roman" w:eastAsia="宋体" w:cs="Times New Roman"/>
          <w:color w:val="auto"/>
          <w:sz w:val="36"/>
          <w:szCs w:val="36"/>
        </w:rPr>
      </w:pPr>
    </w:p>
    <w:p w14:paraId="2CA5C056">
      <w:pPr>
        <w:bidi w:val="0"/>
        <w:ind w:left="0" w:leftChars="0" w:firstLine="0" w:firstLineChars="0"/>
        <w:rPr>
          <w:rFonts w:hint="default" w:ascii="Times New Roman" w:hAnsi="Times New Roman" w:eastAsia="宋体" w:cs="Times New Roman"/>
          <w:color w:val="auto"/>
          <w:sz w:val="36"/>
          <w:szCs w:val="36"/>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hint="default" w:ascii="Times New Roman" w:hAnsi="Times New Roman" w:eastAsia="宋体" w:cs="Times New Roman"/>
          <w:color w:val="auto"/>
          <w:sz w:val="36"/>
          <w:szCs w:val="36"/>
        </w:rPr>
        <w:br w:type="page"/>
      </w:r>
    </w:p>
    <w:sdt>
      <w:sdtPr>
        <w:rPr>
          <w:rFonts w:hint="default" w:ascii="Times New Roman" w:hAnsi="Times New Roman" w:eastAsia="宋体" w:cs="Times New Roman"/>
          <w:color w:val="auto"/>
          <w:kern w:val="2"/>
          <w:sz w:val="21"/>
          <w:szCs w:val="24"/>
          <w:lang w:val="en-US" w:eastAsia="zh-CN" w:bidi="ar-SA"/>
        </w:rPr>
        <w:id w:val="147455940"/>
        <w15:color w:val="DBDBDB"/>
        <w:docPartObj>
          <w:docPartGallery w:val="Table of Contents"/>
          <w:docPartUnique/>
        </w:docPartObj>
      </w:sdtPr>
      <w:sdtEndPr>
        <w:rPr>
          <w:rFonts w:hint="default" w:ascii="Times New Roman" w:hAnsi="Times New Roman" w:eastAsia="宋体" w:cs="Times New Roman"/>
          <w:color w:val="auto"/>
          <w:kern w:val="2"/>
          <w:sz w:val="24"/>
          <w:szCs w:val="36"/>
          <w:lang w:val="en-US" w:eastAsia="zh-CN" w:bidi="ar-SA"/>
        </w:rPr>
      </w:sdtEndPr>
      <w:sdtContent>
        <w:p w14:paraId="1AC04F8F">
          <w:pPr>
            <w:keepNext w:val="0"/>
            <w:keepLines w:val="0"/>
            <w:pageBreakBefore w:val="0"/>
            <w:widowControl w:val="0"/>
            <w:kinsoku/>
            <w:wordWrap/>
            <w:overflowPunct/>
            <w:topLinePunct w:val="0"/>
            <w:autoSpaceDE/>
            <w:autoSpaceDN/>
            <w:bidi w:val="0"/>
            <w:adjustRightInd/>
            <w:snapToGrid/>
            <w:spacing w:before="313" w:beforeLines="100" w:after="313" w:afterLines="100"/>
            <w:ind w:left="0" w:leftChars="0" w:firstLine="0" w:firstLineChars="0"/>
            <w:jc w:val="center"/>
            <w:textAlignment w:val="auto"/>
            <w:rPr>
              <w:rFonts w:hint="default" w:ascii="Times New Roman" w:hAnsi="Times New Roman" w:eastAsia="宋体" w:cs="Times New Roman"/>
              <w:color w:val="auto"/>
              <w:kern w:val="2"/>
              <w:sz w:val="24"/>
              <w:szCs w:val="36"/>
              <w:lang w:val="en-US" w:eastAsia="zh-CN" w:bidi="ar-SA"/>
            </w:rPr>
          </w:pPr>
          <w:r>
            <w:rPr>
              <w:rFonts w:hint="default" w:ascii="Times New Roman" w:hAnsi="Times New Roman" w:eastAsia="宋体" w:cs="Times New Roman"/>
              <w:b/>
              <w:bCs/>
              <w:color w:val="auto"/>
              <w:sz w:val="30"/>
              <w:szCs w:val="30"/>
            </w:rPr>
            <w:t>目</w:t>
          </w:r>
          <w:r>
            <w:rPr>
              <w:rFonts w:hint="default" w:ascii="Times New Roman" w:hAnsi="Times New Roman" w:eastAsia="宋体" w:cs="Times New Roman"/>
              <w:b/>
              <w:bCs/>
              <w:color w:val="auto"/>
              <w:sz w:val="30"/>
              <w:szCs w:val="30"/>
              <w:lang w:val="en-US" w:eastAsia="zh-CN"/>
            </w:rPr>
            <w:t xml:space="preserve">  </w:t>
          </w:r>
          <w:r>
            <w:rPr>
              <w:rFonts w:hint="default" w:ascii="Times New Roman" w:hAnsi="Times New Roman" w:eastAsia="宋体" w:cs="Times New Roman"/>
              <w:b/>
              <w:bCs/>
              <w:color w:val="auto"/>
              <w:sz w:val="30"/>
              <w:szCs w:val="30"/>
            </w:rPr>
            <w:t>录</w:t>
          </w:r>
          <w:r>
            <w:rPr>
              <w:rFonts w:hint="default" w:ascii="Times New Roman" w:hAnsi="Times New Roman" w:eastAsia="宋体" w:cs="Times New Roman"/>
              <w:color w:val="auto"/>
              <w:sz w:val="36"/>
              <w:szCs w:val="36"/>
            </w:rPr>
            <w:fldChar w:fldCharType="begin"/>
          </w:r>
          <w:r>
            <w:rPr>
              <w:rFonts w:hint="default" w:ascii="Times New Roman" w:hAnsi="Times New Roman" w:eastAsia="宋体" w:cs="Times New Roman"/>
              <w:color w:val="auto"/>
              <w:sz w:val="36"/>
              <w:szCs w:val="36"/>
            </w:rPr>
            <w:instrText xml:space="preserve">TOC\o"1-1"\h\u</w:instrText>
          </w:r>
          <w:r>
            <w:rPr>
              <w:rFonts w:hint="default" w:ascii="Times New Roman" w:hAnsi="Times New Roman" w:eastAsia="宋体" w:cs="Times New Roman"/>
              <w:color w:val="auto"/>
              <w:sz w:val="36"/>
              <w:szCs w:val="36"/>
            </w:rPr>
            <w:fldChar w:fldCharType="separate"/>
          </w:r>
        </w:p>
        <w:p w14:paraId="6201BD81">
          <w:pPr>
            <w:pStyle w:val="21"/>
            <w:tabs>
              <w:tab w:val="right" w:leader="dot" w:pos="8306"/>
            </w:tabs>
            <w:rPr>
              <w:rFonts w:hint="default" w:ascii="Times New Roman" w:hAnsi="Times New Roman" w:eastAsia="宋体" w:cs="Times New Roman"/>
              <w:color w:val="auto"/>
            </w:rPr>
          </w:pPr>
          <w:r>
            <w:rPr>
              <w:rFonts w:hint="default" w:ascii="Times New Roman" w:hAnsi="Times New Roman" w:eastAsia="宋体" w:cs="Times New Roman"/>
              <w:color w:val="auto"/>
              <w:szCs w:val="36"/>
            </w:rPr>
            <w:fldChar w:fldCharType="begin"/>
          </w:r>
          <w:r>
            <w:rPr>
              <w:rFonts w:hint="default" w:ascii="Times New Roman" w:hAnsi="Times New Roman" w:eastAsia="宋体" w:cs="Times New Roman"/>
              <w:color w:val="auto"/>
              <w:szCs w:val="36"/>
            </w:rPr>
            <w:instrText xml:space="preserve"> HYPERLINK \l _Toc27281 </w:instrText>
          </w:r>
          <w:r>
            <w:rPr>
              <w:rFonts w:hint="default" w:ascii="Times New Roman" w:hAnsi="Times New Roman" w:eastAsia="宋体" w:cs="Times New Roman"/>
              <w:color w:val="auto"/>
              <w:szCs w:val="36"/>
            </w:rPr>
            <w:fldChar w:fldCharType="separate"/>
          </w:r>
          <w:r>
            <w:rPr>
              <w:rFonts w:hint="default" w:ascii="Times New Roman" w:hAnsi="Times New Roman" w:eastAsia="宋体" w:cs="Times New Roman"/>
              <w:bCs/>
              <w:color w:val="auto"/>
              <w:szCs w:val="30"/>
            </w:rPr>
            <w:t>一、 建设项目基本情况</w:t>
          </w:r>
          <w:r>
            <w:rPr>
              <w:rFonts w:hint="default" w:ascii="Times New Roman" w:hAnsi="Times New Roman" w:eastAsia="宋体" w:cs="Times New Roman"/>
              <w:color w:val="auto"/>
            </w:rPr>
            <w:tab/>
          </w:r>
          <w:r>
            <w:rPr>
              <w:rFonts w:hint="default" w:ascii="Times New Roman" w:hAnsi="Times New Roman" w:eastAsia="宋体" w:cs="Times New Roman"/>
              <w:color w:val="auto"/>
            </w:rPr>
            <w:fldChar w:fldCharType="begin"/>
          </w:r>
          <w:r>
            <w:rPr>
              <w:rFonts w:hint="default" w:ascii="Times New Roman" w:hAnsi="Times New Roman" w:eastAsia="宋体" w:cs="Times New Roman"/>
              <w:color w:val="auto"/>
            </w:rPr>
            <w:instrText xml:space="preserve"> PAGEREF _Toc27281 \h </w:instrText>
          </w:r>
          <w:r>
            <w:rPr>
              <w:rFonts w:hint="default" w:ascii="Times New Roman" w:hAnsi="Times New Roman" w:eastAsia="宋体" w:cs="Times New Roman"/>
              <w:color w:val="auto"/>
            </w:rPr>
            <w:fldChar w:fldCharType="separate"/>
          </w:r>
          <w:r>
            <w:rPr>
              <w:rFonts w:hint="default" w:ascii="Times New Roman" w:hAnsi="Times New Roman" w:eastAsia="宋体" w:cs="Times New Roman"/>
              <w:color w:val="auto"/>
            </w:rPr>
            <w:t>1</w:t>
          </w:r>
          <w:r>
            <w:rPr>
              <w:rFonts w:hint="default" w:ascii="Times New Roman" w:hAnsi="Times New Roman" w:eastAsia="宋体" w:cs="Times New Roman"/>
              <w:color w:val="auto"/>
            </w:rPr>
            <w:fldChar w:fldCharType="end"/>
          </w:r>
          <w:r>
            <w:rPr>
              <w:rFonts w:hint="default" w:ascii="Times New Roman" w:hAnsi="Times New Roman" w:eastAsia="宋体" w:cs="Times New Roman"/>
              <w:color w:val="auto"/>
              <w:szCs w:val="36"/>
            </w:rPr>
            <w:fldChar w:fldCharType="end"/>
          </w:r>
        </w:p>
        <w:p w14:paraId="1A3DC702">
          <w:pPr>
            <w:pStyle w:val="21"/>
            <w:tabs>
              <w:tab w:val="right" w:leader="dot" w:pos="8306"/>
            </w:tabs>
            <w:rPr>
              <w:rFonts w:hint="default" w:ascii="Times New Roman" w:hAnsi="Times New Roman" w:eastAsia="宋体" w:cs="Times New Roman"/>
              <w:color w:val="auto"/>
            </w:rPr>
          </w:pPr>
          <w:r>
            <w:rPr>
              <w:rFonts w:hint="default" w:ascii="Times New Roman" w:hAnsi="Times New Roman" w:eastAsia="宋体" w:cs="Times New Roman"/>
              <w:color w:val="auto"/>
              <w:szCs w:val="36"/>
            </w:rPr>
            <w:fldChar w:fldCharType="begin"/>
          </w:r>
          <w:r>
            <w:rPr>
              <w:rFonts w:hint="default" w:ascii="Times New Roman" w:hAnsi="Times New Roman" w:eastAsia="宋体" w:cs="Times New Roman"/>
              <w:color w:val="auto"/>
              <w:szCs w:val="36"/>
            </w:rPr>
            <w:instrText xml:space="preserve"> HYPERLINK \l _Toc29494 </w:instrText>
          </w:r>
          <w:r>
            <w:rPr>
              <w:rFonts w:hint="default" w:ascii="Times New Roman" w:hAnsi="Times New Roman" w:eastAsia="宋体" w:cs="Times New Roman"/>
              <w:color w:val="auto"/>
              <w:szCs w:val="36"/>
            </w:rPr>
            <w:fldChar w:fldCharType="separate"/>
          </w:r>
          <w:r>
            <w:rPr>
              <w:rFonts w:hint="default" w:ascii="Times New Roman" w:hAnsi="Times New Roman" w:eastAsia="宋体" w:cs="Times New Roman"/>
              <w:bCs/>
              <w:color w:val="auto"/>
              <w:szCs w:val="28"/>
            </w:rPr>
            <w:t>二、 建设项目工程分析</w:t>
          </w:r>
          <w:r>
            <w:rPr>
              <w:rFonts w:hint="default" w:ascii="Times New Roman" w:hAnsi="Times New Roman" w:eastAsia="宋体" w:cs="Times New Roman"/>
              <w:color w:val="auto"/>
            </w:rPr>
            <w:tab/>
          </w:r>
          <w:r>
            <w:rPr>
              <w:rFonts w:hint="default" w:ascii="Times New Roman" w:hAnsi="Times New Roman" w:eastAsia="宋体" w:cs="Times New Roman"/>
              <w:color w:val="auto"/>
            </w:rPr>
            <w:fldChar w:fldCharType="begin"/>
          </w:r>
          <w:r>
            <w:rPr>
              <w:rFonts w:hint="default" w:ascii="Times New Roman" w:hAnsi="Times New Roman" w:eastAsia="宋体" w:cs="Times New Roman"/>
              <w:color w:val="auto"/>
            </w:rPr>
            <w:instrText xml:space="preserve"> PAGEREF _Toc29494 \h </w:instrText>
          </w:r>
          <w:r>
            <w:rPr>
              <w:rFonts w:hint="default" w:ascii="Times New Roman" w:hAnsi="Times New Roman" w:eastAsia="宋体" w:cs="Times New Roman"/>
              <w:color w:val="auto"/>
            </w:rPr>
            <w:fldChar w:fldCharType="separate"/>
          </w:r>
          <w:r>
            <w:rPr>
              <w:rFonts w:hint="default" w:ascii="Times New Roman" w:hAnsi="Times New Roman" w:eastAsia="宋体" w:cs="Times New Roman"/>
              <w:color w:val="auto"/>
            </w:rPr>
            <w:t>19</w:t>
          </w:r>
          <w:r>
            <w:rPr>
              <w:rFonts w:hint="default" w:ascii="Times New Roman" w:hAnsi="Times New Roman" w:eastAsia="宋体" w:cs="Times New Roman"/>
              <w:color w:val="auto"/>
            </w:rPr>
            <w:fldChar w:fldCharType="end"/>
          </w:r>
          <w:r>
            <w:rPr>
              <w:rFonts w:hint="default" w:ascii="Times New Roman" w:hAnsi="Times New Roman" w:eastAsia="宋体" w:cs="Times New Roman"/>
              <w:color w:val="auto"/>
              <w:szCs w:val="36"/>
            </w:rPr>
            <w:fldChar w:fldCharType="end"/>
          </w:r>
        </w:p>
        <w:p w14:paraId="1E6DDAAD">
          <w:pPr>
            <w:pStyle w:val="21"/>
            <w:tabs>
              <w:tab w:val="right" w:leader="dot" w:pos="8306"/>
            </w:tabs>
            <w:rPr>
              <w:rFonts w:hint="default" w:ascii="Times New Roman" w:hAnsi="Times New Roman" w:eastAsia="宋体" w:cs="Times New Roman"/>
              <w:color w:val="auto"/>
            </w:rPr>
          </w:pPr>
          <w:r>
            <w:rPr>
              <w:rFonts w:hint="default" w:ascii="Times New Roman" w:hAnsi="Times New Roman" w:eastAsia="宋体" w:cs="Times New Roman"/>
              <w:color w:val="auto"/>
              <w:szCs w:val="36"/>
            </w:rPr>
            <w:fldChar w:fldCharType="begin"/>
          </w:r>
          <w:r>
            <w:rPr>
              <w:rFonts w:hint="default" w:ascii="Times New Roman" w:hAnsi="Times New Roman" w:eastAsia="宋体" w:cs="Times New Roman"/>
              <w:color w:val="auto"/>
              <w:szCs w:val="36"/>
            </w:rPr>
            <w:instrText xml:space="preserve"> HYPERLINK \l _Toc11504 </w:instrText>
          </w:r>
          <w:r>
            <w:rPr>
              <w:rFonts w:hint="default" w:ascii="Times New Roman" w:hAnsi="Times New Roman" w:eastAsia="宋体" w:cs="Times New Roman"/>
              <w:color w:val="auto"/>
              <w:szCs w:val="36"/>
            </w:rPr>
            <w:fldChar w:fldCharType="separate"/>
          </w:r>
          <w:r>
            <w:rPr>
              <w:rFonts w:hint="default" w:ascii="Times New Roman" w:hAnsi="Times New Roman" w:eastAsia="宋体" w:cs="Times New Roman"/>
              <w:bCs/>
              <w:color w:val="auto"/>
              <w:szCs w:val="28"/>
            </w:rPr>
            <w:t xml:space="preserve">三、 </w:t>
          </w:r>
          <w:r>
            <w:rPr>
              <w:rFonts w:hint="default" w:ascii="Times New Roman" w:hAnsi="Times New Roman" w:eastAsia="宋体" w:cs="Times New Roman"/>
              <w:bCs/>
              <w:color w:val="auto"/>
              <w:szCs w:val="28"/>
              <w:lang w:val="en-US" w:eastAsia="zh-CN"/>
            </w:rPr>
            <w:t>区域环境质量现状、环境保护目标及评价标准</w:t>
          </w:r>
          <w:r>
            <w:rPr>
              <w:rFonts w:hint="default" w:ascii="Times New Roman" w:hAnsi="Times New Roman" w:eastAsia="宋体" w:cs="Times New Roman"/>
              <w:color w:val="auto"/>
            </w:rPr>
            <w:tab/>
          </w:r>
          <w:r>
            <w:rPr>
              <w:rFonts w:hint="default" w:ascii="Times New Roman" w:hAnsi="Times New Roman" w:eastAsia="宋体" w:cs="Times New Roman"/>
              <w:color w:val="auto"/>
            </w:rPr>
            <w:fldChar w:fldCharType="begin"/>
          </w:r>
          <w:r>
            <w:rPr>
              <w:rFonts w:hint="default" w:ascii="Times New Roman" w:hAnsi="Times New Roman" w:eastAsia="宋体" w:cs="Times New Roman"/>
              <w:color w:val="auto"/>
            </w:rPr>
            <w:instrText xml:space="preserve"> PAGEREF _Toc11504 \h </w:instrText>
          </w:r>
          <w:r>
            <w:rPr>
              <w:rFonts w:hint="default" w:ascii="Times New Roman" w:hAnsi="Times New Roman" w:eastAsia="宋体" w:cs="Times New Roman"/>
              <w:color w:val="auto"/>
            </w:rPr>
            <w:fldChar w:fldCharType="separate"/>
          </w:r>
          <w:r>
            <w:rPr>
              <w:rFonts w:hint="default" w:ascii="Times New Roman" w:hAnsi="Times New Roman" w:eastAsia="宋体" w:cs="Times New Roman"/>
              <w:color w:val="auto"/>
            </w:rPr>
            <w:t>32</w:t>
          </w:r>
          <w:r>
            <w:rPr>
              <w:rFonts w:hint="default" w:ascii="Times New Roman" w:hAnsi="Times New Roman" w:eastAsia="宋体" w:cs="Times New Roman"/>
              <w:color w:val="auto"/>
            </w:rPr>
            <w:fldChar w:fldCharType="end"/>
          </w:r>
          <w:r>
            <w:rPr>
              <w:rFonts w:hint="default" w:ascii="Times New Roman" w:hAnsi="Times New Roman" w:eastAsia="宋体" w:cs="Times New Roman"/>
              <w:color w:val="auto"/>
              <w:szCs w:val="36"/>
            </w:rPr>
            <w:fldChar w:fldCharType="end"/>
          </w:r>
        </w:p>
        <w:p w14:paraId="513AB330">
          <w:pPr>
            <w:pStyle w:val="21"/>
            <w:tabs>
              <w:tab w:val="right" w:leader="dot" w:pos="8306"/>
            </w:tabs>
            <w:rPr>
              <w:rFonts w:hint="default" w:ascii="Times New Roman" w:hAnsi="Times New Roman" w:eastAsia="宋体" w:cs="Times New Roman"/>
              <w:color w:val="auto"/>
            </w:rPr>
          </w:pPr>
          <w:r>
            <w:rPr>
              <w:rFonts w:hint="default" w:ascii="Times New Roman" w:hAnsi="Times New Roman" w:eastAsia="宋体" w:cs="Times New Roman"/>
              <w:color w:val="auto"/>
              <w:szCs w:val="36"/>
            </w:rPr>
            <w:fldChar w:fldCharType="begin"/>
          </w:r>
          <w:r>
            <w:rPr>
              <w:rFonts w:hint="default" w:ascii="Times New Roman" w:hAnsi="Times New Roman" w:eastAsia="宋体" w:cs="Times New Roman"/>
              <w:color w:val="auto"/>
              <w:szCs w:val="36"/>
            </w:rPr>
            <w:instrText xml:space="preserve"> HYPERLINK \l _Toc28152 </w:instrText>
          </w:r>
          <w:r>
            <w:rPr>
              <w:rFonts w:hint="default" w:ascii="Times New Roman" w:hAnsi="Times New Roman" w:eastAsia="宋体" w:cs="Times New Roman"/>
              <w:color w:val="auto"/>
              <w:szCs w:val="36"/>
            </w:rPr>
            <w:fldChar w:fldCharType="separate"/>
          </w:r>
          <w:r>
            <w:rPr>
              <w:rFonts w:hint="default" w:ascii="Times New Roman" w:hAnsi="Times New Roman" w:eastAsia="宋体" w:cs="Times New Roman"/>
              <w:bCs/>
              <w:color w:val="auto"/>
              <w:szCs w:val="28"/>
              <w:lang w:val="en-US" w:eastAsia="zh-CN"/>
            </w:rPr>
            <w:t>四、 主要环境影响和保护措施</w:t>
          </w:r>
          <w:r>
            <w:rPr>
              <w:rFonts w:hint="default" w:ascii="Times New Roman" w:hAnsi="Times New Roman" w:eastAsia="宋体" w:cs="Times New Roman"/>
              <w:color w:val="auto"/>
            </w:rPr>
            <w:tab/>
          </w:r>
          <w:r>
            <w:rPr>
              <w:rFonts w:hint="default" w:ascii="Times New Roman" w:hAnsi="Times New Roman" w:eastAsia="宋体" w:cs="Times New Roman"/>
              <w:color w:val="auto"/>
            </w:rPr>
            <w:fldChar w:fldCharType="begin"/>
          </w:r>
          <w:r>
            <w:rPr>
              <w:rFonts w:hint="default" w:ascii="Times New Roman" w:hAnsi="Times New Roman" w:eastAsia="宋体" w:cs="Times New Roman"/>
              <w:color w:val="auto"/>
            </w:rPr>
            <w:instrText xml:space="preserve"> PAGEREF _Toc28152 \h </w:instrText>
          </w:r>
          <w:r>
            <w:rPr>
              <w:rFonts w:hint="default" w:ascii="Times New Roman" w:hAnsi="Times New Roman" w:eastAsia="宋体" w:cs="Times New Roman"/>
              <w:color w:val="auto"/>
            </w:rPr>
            <w:fldChar w:fldCharType="separate"/>
          </w:r>
          <w:r>
            <w:rPr>
              <w:rFonts w:hint="default" w:ascii="Times New Roman" w:hAnsi="Times New Roman" w:eastAsia="宋体" w:cs="Times New Roman"/>
              <w:color w:val="auto"/>
            </w:rPr>
            <w:t>38</w:t>
          </w:r>
          <w:r>
            <w:rPr>
              <w:rFonts w:hint="default" w:ascii="Times New Roman" w:hAnsi="Times New Roman" w:eastAsia="宋体" w:cs="Times New Roman"/>
              <w:color w:val="auto"/>
            </w:rPr>
            <w:fldChar w:fldCharType="end"/>
          </w:r>
          <w:r>
            <w:rPr>
              <w:rFonts w:hint="default" w:ascii="Times New Roman" w:hAnsi="Times New Roman" w:eastAsia="宋体" w:cs="Times New Roman"/>
              <w:color w:val="auto"/>
              <w:szCs w:val="36"/>
            </w:rPr>
            <w:fldChar w:fldCharType="end"/>
          </w:r>
        </w:p>
        <w:p w14:paraId="1C82F993">
          <w:pPr>
            <w:pStyle w:val="21"/>
            <w:tabs>
              <w:tab w:val="right" w:leader="dot" w:pos="8306"/>
            </w:tabs>
            <w:rPr>
              <w:rFonts w:hint="default" w:ascii="Times New Roman" w:hAnsi="Times New Roman" w:eastAsia="宋体" w:cs="Times New Roman"/>
              <w:color w:val="auto"/>
            </w:rPr>
          </w:pPr>
          <w:r>
            <w:rPr>
              <w:rFonts w:hint="default" w:ascii="Times New Roman" w:hAnsi="Times New Roman" w:eastAsia="宋体" w:cs="Times New Roman"/>
              <w:color w:val="auto"/>
              <w:szCs w:val="36"/>
            </w:rPr>
            <w:fldChar w:fldCharType="begin"/>
          </w:r>
          <w:r>
            <w:rPr>
              <w:rFonts w:hint="default" w:ascii="Times New Roman" w:hAnsi="Times New Roman" w:eastAsia="宋体" w:cs="Times New Roman"/>
              <w:color w:val="auto"/>
              <w:szCs w:val="36"/>
            </w:rPr>
            <w:instrText xml:space="preserve"> HYPERLINK \l _Toc25772 </w:instrText>
          </w:r>
          <w:r>
            <w:rPr>
              <w:rFonts w:hint="default" w:ascii="Times New Roman" w:hAnsi="Times New Roman" w:eastAsia="宋体" w:cs="Times New Roman"/>
              <w:color w:val="auto"/>
              <w:szCs w:val="36"/>
            </w:rPr>
            <w:fldChar w:fldCharType="separate"/>
          </w:r>
          <w:r>
            <w:rPr>
              <w:rFonts w:hint="default" w:ascii="Times New Roman" w:hAnsi="Times New Roman" w:eastAsia="宋体" w:cs="Times New Roman"/>
              <w:bCs/>
              <w:color w:val="auto"/>
              <w:szCs w:val="28"/>
              <w:lang w:val="en-US" w:eastAsia="zh-CN"/>
            </w:rPr>
            <w:t>五、 环境保护措施监督检查清单</w:t>
          </w:r>
          <w:r>
            <w:rPr>
              <w:rFonts w:hint="default" w:ascii="Times New Roman" w:hAnsi="Times New Roman" w:eastAsia="宋体" w:cs="Times New Roman"/>
              <w:color w:val="auto"/>
            </w:rPr>
            <w:tab/>
          </w:r>
          <w:r>
            <w:rPr>
              <w:rFonts w:hint="default" w:ascii="Times New Roman" w:hAnsi="Times New Roman" w:eastAsia="宋体" w:cs="Times New Roman"/>
              <w:color w:val="auto"/>
            </w:rPr>
            <w:fldChar w:fldCharType="begin"/>
          </w:r>
          <w:r>
            <w:rPr>
              <w:rFonts w:hint="default" w:ascii="Times New Roman" w:hAnsi="Times New Roman" w:eastAsia="宋体" w:cs="Times New Roman"/>
              <w:color w:val="auto"/>
            </w:rPr>
            <w:instrText xml:space="preserve"> PAGEREF _Toc25772 \h </w:instrText>
          </w:r>
          <w:r>
            <w:rPr>
              <w:rFonts w:hint="default" w:ascii="Times New Roman" w:hAnsi="Times New Roman" w:eastAsia="宋体" w:cs="Times New Roman"/>
              <w:color w:val="auto"/>
            </w:rPr>
            <w:fldChar w:fldCharType="separate"/>
          </w:r>
          <w:r>
            <w:rPr>
              <w:rFonts w:hint="default" w:ascii="Times New Roman" w:hAnsi="Times New Roman" w:eastAsia="宋体" w:cs="Times New Roman"/>
              <w:color w:val="auto"/>
            </w:rPr>
            <w:t>56</w:t>
          </w:r>
          <w:r>
            <w:rPr>
              <w:rFonts w:hint="default" w:ascii="Times New Roman" w:hAnsi="Times New Roman" w:eastAsia="宋体" w:cs="Times New Roman"/>
              <w:color w:val="auto"/>
            </w:rPr>
            <w:fldChar w:fldCharType="end"/>
          </w:r>
          <w:r>
            <w:rPr>
              <w:rFonts w:hint="default" w:ascii="Times New Roman" w:hAnsi="Times New Roman" w:eastAsia="宋体" w:cs="Times New Roman"/>
              <w:color w:val="auto"/>
              <w:szCs w:val="36"/>
            </w:rPr>
            <w:fldChar w:fldCharType="end"/>
          </w:r>
        </w:p>
        <w:p w14:paraId="3A45780A">
          <w:pPr>
            <w:pStyle w:val="21"/>
            <w:tabs>
              <w:tab w:val="right" w:leader="dot" w:pos="8306"/>
            </w:tabs>
            <w:rPr>
              <w:rFonts w:hint="default" w:ascii="Times New Roman" w:hAnsi="Times New Roman" w:eastAsia="宋体" w:cs="Times New Roman"/>
              <w:color w:val="auto"/>
            </w:rPr>
          </w:pPr>
          <w:r>
            <w:rPr>
              <w:rFonts w:hint="default" w:ascii="Times New Roman" w:hAnsi="Times New Roman" w:eastAsia="宋体" w:cs="Times New Roman"/>
              <w:color w:val="auto"/>
              <w:szCs w:val="36"/>
            </w:rPr>
            <w:fldChar w:fldCharType="begin"/>
          </w:r>
          <w:r>
            <w:rPr>
              <w:rFonts w:hint="default" w:ascii="Times New Roman" w:hAnsi="Times New Roman" w:eastAsia="宋体" w:cs="Times New Roman"/>
              <w:color w:val="auto"/>
              <w:szCs w:val="36"/>
            </w:rPr>
            <w:instrText xml:space="preserve"> HYPERLINK \l _Toc1497 </w:instrText>
          </w:r>
          <w:r>
            <w:rPr>
              <w:rFonts w:hint="default" w:ascii="Times New Roman" w:hAnsi="Times New Roman" w:eastAsia="宋体" w:cs="Times New Roman"/>
              <w:color w:val="auto"/>
              <w:szCs w:val="36"/>
            </w:rPr>
            <w:fldChar w:fldCharType="separate"/>
          </w:r>
          <w:r>
            <w:rPr>
              <w:rFonts w:hint="default" w:ascii="Times New Roman" w:hAnsi="Times New Roman" w:eastAsia="宋体" w:cs="Times New Roman"/>
              <w:bCs/>
              <w:color w:val="auto"/>
              <w:szCs w:val="28"/>
              <w:lang w:val="en-US" w:eastAsia="zh-CN"/>
            </w:rPr>
            <w:t>六、 结论</w:t>
          </w:r>
          <w:r>
            <w:rPr>
              <w:rFonts w:hint="default" w:ascii="Times New Roman" w:hAnsi="Times New Roman" w:eastAsia="宋体" w:cs="Times New Roman"/>
              <w:color w:val="auto"/>
            </w:rPr>
            <w:tab/>
          </w:r>
          <w:r>
            <w:rPr>
              <w:rFonts w:hint="default" w:ascii="Times New Roman" w:hAnsi="Times New Roman" w:eastAsia="宋体" w:cs="Times New Roman"/>
              <w:color w:val="auto"/>
            </w:rPr>
            <w:fldChar w:fldCharType="begin"/>
          </w:r>
          <w:r>
            <w:rPr>
              <w:rFonts w:hint="default" w:ascii="Times New Roman" w:hAnsi="Times New Roman" w:eastAsia="宋体" w:cs="Times New Roman"/>
              <w:color w:val="auto"/>
            </w:rPr>
            <w:instrText xml:space="preserve"> PAGEREF _Toc1497 \h </w:instrText>
          </w:r>
          <w:r>
            <w:rPr>
              <w:rFonts w:hint="default" w:ascii="Times New Roman" w:hAnsi="Times New Roman" w:eastAsia="宋体" w:cs="Times New Roman"/>
              <w:color w:val="auto"/>
            </w:rPr>
            <w:fldChar w:fldCharType="separate"/>
          </w:r>
          <w:r>
            <w:rPr>
              <w:rFonts w:hint="default" w:ascii="Times New Roman" w:hAnsi="Times New Roman" w:eastAsia="宋体" w:cs="Times New Roman"/>
              <w:color w:val="auto"/>
            </w:rPr>
            <w:t>57</w:t>
          </w:r>
          <w:r>
            <w:rPr>
              <w:rFonts w:hint="default" w:ascii="Times New Roman" w:hAnsi="Times New Roman" w:eastAsia="宋体" w:cs="Times New Roman"/>
              <w:color w:val="auto"/>
            </w:rPr>
            <w:fldChar w:fldCharType="end"/>
          </w:r>
          <w:r>
            <w:rPr>
              <w:rFonts w:hint="default" w:ascii="Times New Roman" w:hAnsi="Times New Roman" w:eastAsia="宋体" w:cs="Times New Roman"/>
              <w:color w:val="auto"/>
              <w:szCs w:val="36"/>
            </w:rPr>
            <w:fldChar w:fldCharType="end"/>
          </w:r>
        </w:p>
        <w:p w14:paraId="15EC9300">
          <w:pPr>
            <w:keepNext w:val="0"/>
            <w:keepLines w:val="0"/>
            <w:pageBreakBefore w:val="0"/>
            <w:widowControl w:val="0"/>
            <w:kinsoku/>
            <w:wordWrap/>
            <w:overflowPunct/>
            <w:topLinePunct w:val="0"/>
            <w:autoSpaceDE/>
            <w:autoSpaceDN/>
            <w:bidi w:val="0"/>
            <w:adjustRightInd/>
            <w:snapToGrid/>
            <w:spacing w:before="313" w:beforeLines="100" w:after="313" w:afterLines="100" w:line="360" w:lineRule="auto"/>
            <w:ind w:left="0" w:leftChars="0" w:right="0" w:rightChars="0" w:firstLine="0" w:firstLineChars="0"/>
            <w:jc w:val="center"/>
            <w:textAlignment w:val="auto"/>
            <w:rPr>
              <w:rFonts w:hint="default" w:ascii="Times New Roman" w:hAnsi="Times New Roman" w:eastAsia="宋体" w:cs="Times New Roman"/>
              <w:color w:val="auto"/>
              <w:sz w:val="36"/>
              <w:szCs w:val="36"/>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hint="default" w:ascii="Times New Roman" w:hAnsi="Times New Roman" w:eastAsia="宋体" w:cs="Times New Roman"/>
              <w:color w:val="auto"/>
              <w:szCs w:val="36"/>
            </w:rPr>
            <w:fldChar w:fldCharType="end"/>
          </w:r>
        </w:p>
      </w:sdtContent>
    </w:sdt>
    <w:p w14:paraId="246E3ED8">
      <w:pPr>
        <w:adjustRightInd w:val="0"/>
        <w:snapToGrid w:val="0"/>
        <w:spacing w:line="360" w:lineRule="auto"/>
        <w:ind w:firstLine="482" w:firstLineChars="200"/>
        <w:rPr>
          <w:rFonts w:hint="default" w:ascii="Times New Roman" w:hAnsi="Times New Roman" w:eastAsia="宋体" w:cs="Times New Roman"/>
          <w:b/>
          <w:color w:val="auto"/>
          <w:sz w:val="24"/>
        </w:rPr>
      </w:pPr>
      <w:r>
        <w:rPr>
          <w:rFonts w:hint="default" w:ascii="Times New Roman" w:hAnsi="Times New Roman" w:eastAsia="宋体" w:cs="Times New Roman"/>
          <w:b/>
          <w:color w:val="auto"/>
          <w:sz w:val="24"/>
        </w:rPr>
        <w:t>附件</w:t>
      </w:r>
    </w:p>
    <w:p w14:paraId="14CF7DFA">
      <w:pPr>
        <w:adjustRightInd w:val="0"/>
        <w:snapToGrid w:val="0"/>
        <w:spacing w:line="360" w:lineRule="auto"/>
        <w:ind w:firstLine="480" w:firstLineChars="200"/>
        <w:rPr>
          <w:rFonts w:hint="eastAsia" w:ascii="Times New Roman" w:hAnsi="Times New Roman" w:eastAsia="宋体" w:cs="Times New Roman"/>
          <w:color w:val="auto"/>
          <w:sz w:val="24"/>
          <w:lang w:eastAsia="zh-CN"/>
        </w:rPr>
      </w:pPr>
      <w:r>
        <w:rPr>
          <w:rFonts w:hint="default" w:ascii="Times New Roman" w:hAnsi="Times New Roman" w:eastAsia="宋体" w:cs="Times New Roman"/>
          <w:color w:val="auto"/>
          <w:sz w:val="24"/>
        </w:rPr>
        <w:t>附件</w:t>
      </w:r>
      <w:r>
        <w:rPr>
          <w:rFonts w:hint="default" w:ascii="Times New Roman" w:hAnsi="Times New Roman" w:eastAsia="宋体" w:cs="Times New Roman"/>
          <w:color w:val="auto"/>
          <w:sz w:val="24"/>
          <w:lang w:val="en-US" w:eastAsia="zh-CN"/>
        </w:rPr>
        <w:t>1项目</w:t>
      </w:r>
      <w:r>
        <w:rPr>
          <w:rFonts w:hint="default" w:ascii="Times New Roman" w:hAnsi="Times New Roman" w:eastAsia="宋体" w:cs="Times New Roman"/>
          <w:color w:val="auto"/>
          <w:sz w:val="24"/>
        </w:rPr>
        <w:t>备案证</w:t>
      </w:r>
      <w:r>
        <w:rPr>
          <w:rFonts w:hint="eastAsia" w:cs="Times New Roman"/>
          <w:color w:val="auto"/>
          <w:sz w:val="24"/>
          <w:lang w:eastAsia="zh-CN"/>
        </w:rPr>
        <w:t>及登记信息表</w:t>
      </w:r>
    </w:p>
    <w:p w14:paraId="026A07B1">
      <w:pPr>
        <w:adjustRightInd w:val="0"/>
        <w:snapToGrid w:val="0"/>
        <w:spacing w:line="360" w:lineRule="auto"/>
        <w:ind w:firstLine="480" w:firstLineChars="200"/>
        <w:rPr>
          <w:rFonts w:hint="eastAsia" w:ascii="Times New Roman" w:hAnsi="Times New Roman" w:eastAsia="宋体" w:cs="Times New Roman"/>
          <w:color w:val="auto"/>
          <w:sz w:val="24"/>
          <w:lang w:eastAsia="zh-CN"/>
        </w:rPr>
      </w:pPr>
      <w:r>
        <w:rPr>
          <w:rFonts w:hint="default" w:ascii="Times New Roman" w:hAnsi="Times New Roman" w:eastAsia="宋体" w:cs="Times New Roman"/>
          <w:color w:val="auto"/>
          <w:sz w:val="24"/>
        </w:rPr>
        <w:t>附件</w:t>
      </w:r>
      <w:r>
        <w:rPr>
          <w:rFonts w:hint="default" w:ascii="Times New Roman" w:hAnsi="Times New Roman" w:eastAsia="宋体" w:cs="Times New Roman"/>
          <w:color w:val="auto"/>
          <w:sz w:val="24"/>
          <w:lang w:val="en-US" w:eastAsia="zh-CN"/>
        </w:rPr>
        <w:t>2</w:t>
      </w:r>
      <w:r>
        <w:rPr>
          <w:rFonts w:hint="eastAsia" w:ascii="Times New Roman" w:hAnsi="Times New Roman" w:eastAsia="宋体" w:cs="Times New Roman"/>
          <w:color w:val="auto"/>
          <w:sz w:val="24"/>
          <w:lang w:eastAsia="zh-CN"/>
        </w:rPr>
        <w:t>工商文件</w:t>
      </w:r>
    </w:p>
    <w:p w14:paraId="536B868F">
      <w:pPr>
        <w:adjustRightInd w:val="0"/>
        <w:snapToGrid w:val="0"/>
        <w:spacing w:line="360" w:lineRule="auto"/>
        <w:ind w:firstLine="480" w:firstLineChars="200"/>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附件3厂房定制合同</w:t>
      </w:r>
      <w:r>
        <w:rPr>
          <w:rFonts w:hint="eastAsia" w:cs="Times New Roman"/>
          <w:color w:val="auto"/>
          <w:sz w:val="24"/>
          <w:szCs w:val="22"/>
          <w:lang w:val="en-US" w:eastAsia="zh-CN"/>
        </w:rPr>
        <w:t>及工业用地不动产权证</w:t>
      </w:r>
    </w:p>
    <w:p w14:paraId="454093F2">
      <w:pPr>
        <w:adjustRightInd w:val="0"/>
        <w:snapToGrid w:val="0"/>
        <w:spacing w:line="360" w:lineRule="auto"/>
        <w:ind w:firstLine="480" w:firstLineChars="200"/>
        <w:rPr>
          <w:rFonts w:hint="eastAsia" w:ascii="Times New Roman" w:hAnsi="Times New Roman" w:eastAsia="宋体" w:cs="Times New Roman"/>
          <w:color w:val="auto"/>
          <w:sz w:val="24"/>
          <w:lang w:val="en-US" w:eastAsia="zh-CN"/>
        </w:rPr>
      </w:pPr>
      <w:r>
        <w:rPr>
          <w:rFonts w:hint="default" w:ascii="Times New Roman" w:hAnsi="Times New Roman" w:eastAsia="宋体" w:cs="Times New Roman"/>
          <w:color w:val="auto"/>
          <w:sz w:val="24"/>
        </w:rPr>
        <w:t>附件</w:t>
      </w:r>
      <w:r>
        <w:rPr>
          <w:rFonts w:hint="eastAsia" w:cs="Times New Roman"/>
          <w:color w:val="auto"/>
          <w:sz w:val="24"/>
          <w:lang w:val="en-US" w:eastAsia="zh-CN"/>
        </w:rPr>
        <w:t>4</w:t>
      </w:r>
      <w:r>
        <w:rPr>
          <w:rFonts w:hint="eastAsia" w:ascii="Times New Roman" w:hAnsi="Times New Roman" w:eastAsia="宋体" w:cs="Times New Roman"/>
          <w:color w:val="auto"/>
          <w:sz w:val="24"/>
          <w:lang w:val="en-US" w:eastAsia="zh-CN"/>
        </w:rPr>
        <w:t>环评</w:t>
      </w:r>
      <w:r>
        <w:rPr>
          <w:rFonts w:hint="default" w:ascii="Times New Roman" w:hAnsi="Times New Roman" w:eastAsia="宋体" w:cs="Times New Roman"/>
          <w:color w:val="auto"/>
          <w:sz w:val="24"/>
        </w:rPr>
        <w:t>委托书</w:t>
      </w:r>
    </w:p>
    <w:p w14:paraId="05453799">
      <w:pPr>
        <w:adjustRightInd w:val="0"/>
        <w:snapToGrid w:val="0"/>
        <w:spacing w:line="360" w:lineRule="auto"/>
        <w:ind w:firstLine="480" w:firstLineChars="200"/>
        <w:rPr>
          <w:rFonts w:hint="default" w:ascii="Times New Roman" w:hAnsi="Times New Roman" w:eastAsia="宋体" w:cs="Times New Roman"/>
          <w:color w:val="auto"/>
          <w:sz w:val="24"/>
          <w:lang w:val="en-US" w:eastAsia="zh-CN"/>
        </w:rPr>
      </w:pPr>
      <w:r>
        <w:rPr>
          <w:rFonts w:hint="default" w:ascii="Times New Roman" w:hAnsi="Times New Roman" w:eastAsia="宋体" w:cs="Times New Roman"/>
          <w:color w:val="auto"/>
          <w:sz w:val="24"/>
        </w:rPr>
        <w:t>附件</w:t>
      </w:r>
      <w:r>
        <w:rPr>
          <w:rFonts w:hint="eastAsia" w:cs="Times New Roman"/>
          <w:color w:val="auto"/>
          <w:sz w:val="24"/>
          <w:lang w:val="en-US" w:eastAsia="zh-CN"/>
        </w:rPr>
        <w:t>5</w:t>
      </w:r>
      <w:r>
        <w:rPr>
          <w:rFonts w:hint="default" w:ascii="Times New Roman" w:hAnsi="Times New Roman" w:eastAsia="宋体" w:cs="Times New Roman"/>
          <w:color w:val="auto"/>
          <w:sz w:val="24"/>
        </w:rPr>
        <w:t xml:space="preserve"> 环评文件审阅说明</w:t>
      </w:r>
    </w:p>
    <w:p w14:paraId="3619804A">
      <w:pPr>
        <w:adjustRightInd w:val="0"/>
        <w:snapToGrid w:val="0"/>
        <w:spacing w:line="360" w:lineRule="auto"/>
        <w:ind w:firstLine="480" w:firstLineChars="200"/>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附件</w:t>
      </w:r>
      <w:r>
        <w:rPr>
          <w:rFonts w:hint="eastAsia" w:cs="Times New Roman"/>
          <w:color w:val="auto"/>
          <w:sz w:val="24"/>
          <w:lang w:val="en-US" w:eastAsia="zh-CN"/>
        </w:rPr>
        <w:t>6</w:t>
      </w:r>
      <w:r>
        <w:rPr>
          <w:rFonts w:hint="default" w:ascii="Times New Roman" w:hAnsi="Times New Roman" w:eastAsia="宋体" w:cs="Times New Roman"/>
          <w:color w:val="auto"/>
          <w:sz w:val="24"/>
        </w:rPr>
        <w:t xml:space="preserve"> 政府信息公开删除内容申请表</w:t>
      </w:r>
    </w:p>
    <w:p w14:paraId="37671BB8">
      <w:pPr>
        <w:adjustRightInd w:val="0"/>
        <w:snapToGrid w:val="0"/>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附件</w:t>
      </w:r>
      <w:r>
        <w:rPr>
          <w:rFonts w:hint="eastAsia" w:cs="Times New Roman"/>
          <w:color w:val="auto"/>
          <w:sz w:val="24"/>
          <w:highlight w:val="none"/>
          <w:lang w:val="en-US" w:eastAsia="zh-CN"/>
        </w:rPr>
        <w:t>7</w:t>
      </w:r>
      <w:r>
        <w:rPr>
          <w:rFonts w:hint="default" w:ascii="Times New Roman" w:hAnsi="Times New Roman" w:eastAsia="宋体" w:cs="Times New Roman"/>
          <w:color w:val="auto"/>
          <w:sz w:val="24"/>
          <w:highlight w:val="none"/>
        </w:rPr>
        <w:t xml:space="preserve"> 建设项目环境影响评价文件报批申请书</w:t>
      </w:r>
    </w:p>
    <w:p w14:paraId="6CA4747F">
      <w:pPr>
        <w:adjustRightInd w:val="0"/>
        <w:snapToGrid w:val="0"/>
        <w:spacing w:line="360" w:lineRule="auto"/>
        <w:ind w:firstLine="480" w:firstLineChars="200"/>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附件</w:t>
      </w:r>
      <w:r>
        <w:rPr>
          <w:rFonts w:hint="eastAsia" w:cs="Times New Roman"/>
          <w:color w:val="auto"/>
          <w:sz w:val="24"/>
          <w:lang w:val="en-US" w:eastAsia="zh-CN"/>
        </w:rPr>
        <w:t>8</w:t>
      </w:r>
      <w:r>
        <w:rPr>
          <w:rFonts w:hint="default" w:ascii="Times New Roman" w:hAnsi="Times New Roman" w:eastAsia="宋体" w:cs="Times New Roman"/>
          <w:color w:val="auto"/>
          <w:sz w:val="24"/>
        </w:rPr>
        <w:t xml:space="preserve"> 江苏省生态环境分区管控综合查询报告</w:t>
      </w:r>
    </w:p>
    <w:p w14:paraId="2F351023">
      <w:pPr>
        <w:adjustRightInd w:val="0"/>
        <w:snapToGrid w:val="0"/>
        <w:spacing w:line="360" w:lineRule="auto"/>
        <w:ind w:firstLine="480" w:firstLineChars="200"/>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 xml:space="preserve">附件9 </w:t>
      </w:r>
      <w:r>
        <w:rPr>
          <w:rFonts w:hint="eastAsia" w:hAnsiTheme="minorEastAsia" w:eastAsiaTheme="minorEastAsia"/>
          <w:color w:val="auto"/>
          <w:sz w:val="24"/>
        </w:rPr>
        <w:t>新渡工业集中区规划环评</w:t>
      </w:r>
      <w:r>
        <w:rPr>
          <w:rFonts w:hint="eastAsia" w:hAnsiTheme="minorEastAsia" w:eastAsiaTheme="minorEastAsia"/>
          <w:color w:val="auto"/>
          <w:sz w:val="24"/>
          <w:lang w:eastAsia="zh-CN"/>
        </w:rPr>
        <w:t>批复</w:t>
      </w:r>
      <w:r>
        <w:rPr>
          <w:rFonts w:hint="eastAsia" w:hAnsiTheme="minorEastAsia" w:eastAsiaTheme="minorEastAsia"/>
          <w:color w:val="auto"/>
          <w:sz w:val="24"/>
        </w:rPr>
        <w:t>及扩区</w:t>
      </w:r>
      <w:r>
        <w:rPr>
          <w:rFonts w:hint="eastAsia" w:hAnsiTheme="minorEastAsia" w:eastAsiaTheme="minorEastAsia"/>
          <w:color w:val="auto"/>
          <w:sz w:val="24"/>
          <w:lang w:eastAsia="zh-CN"/>
        </w:rPr>
        <w:t>规划</w:t>
      </w:r>
      <w:r>
        <w:rPr>
          <w:rFonts w:hint="eastAsia" w:hAnsiTheme="minorEastAsia" w:eastAsiaTheme="minorEastAsia"/>
          <w:color w:val="auto"/>
          <w:sz w:val="24"/>
        </w:rPr>
        <w:t>环评批复</w:t>
      </w:r>
    </w:p>
    <w:p w14:paraId="7190E4EC">
      <w:pPr>
        <w:adjustRightInd w:val="0"/>
        <w:snapToGrid w:val="0"/>
        <w:spacing w:line="360" w:lineRule="auto"/>
        <w:ind w:firstLine="480" w:firstLineChars="200"/>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附件10 大气引用监测报告（荣芯）</w:t>
      </w:r>
    </w:p>
    <w:p w14:paraId="3AC11D5A">
      <w:pPr>
        <w:adjustRightInd w:val="0"/>
        <w:snapToGrid w:val="0"/>
        <w:spacing w:line="360" w:lineRule="auto"/>
        <w:ind w:firstLine="480" w:firstLineChars="200"/>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附件</w:t>
      </w:r>
      <w:r>
        <w:rPr>
          <w:rFonts w:hint="eastAsia" w:cs="Times New Roman"/>
          <w:color w:val="auto"/>
          <w:sz w:val="24"/>
          <w:lang w:val="en-US" w:eastAsia="zh-CN"/>
        </w:rPr>
        <w:t>11</w:t>
      </w:r>
      <w:r>
        <w:rPr>
          <w:rFonts w:hint="default" w:ascii="Times New Roman" w:hAnsi="Times New Roman" w:eastAsia="宋体" w:cs="Times New Roman"/>
          <w:color w:val="auto"/>
          <w:sz w:val="24"/>
        </w:rPr>
        <w:t xml:space="preserve"> 建设项目现场察看通知单</w:t>
      </w:r>
    </w:p>
    <w:p w14:paraId="3DB8C7A7">
      <w:pPr>
        <w:adjustRightInd w:val="0"/>
        <w:snapToGrid w:val="0"/>
        <w:spacing w:line="360" w:lineRule="auto"/>
        <w:ind w:firstLine="480" w:firstLineChars="200"/>
        <w:rPr>
          <w:rFonts w:hint="eastAsia" w:ascii="Times New Roman" w:hAnsi="Times New Roman" w:eastAsia="宋体" w:cs="Times New Roman"/>
          <w:color w:val="auto"/>
          <w:sz w:val="24"/>
          <w:lang w:val="en-US" w:eastAsia="zh-CN"/>
        </w:rPr>
      </w:pPr>
      <w:r>
        <w:rPr>
          <w:rFonts w:hint="default" w:ascii="Times New Roman" w:hAnsi="Times New Roman" w:eastAsia="宋体" w:cs="Times New Roman"/>
          <w:color w:val="auto"/>
          <w:sz w:val="24"/>
        </w:rPr>
        <w:t>附件</w:t>
      </w:r>
      <w:r>
        <w:rPr>
          <w:rFonts w:hint="eastAsia" w:cs="Times New Roman"/>
          <w:color w:val="auto"/>
          <w:sz w:val="24"/>
          <w:lang w:val="en-US" w:eastAsia="zh-CN"/>
        </w:rPr>
        <w:t>12</w:t>
      </w:r>
      <w:r>
        <w:rPr>
          <w:rFonts w:hint="eastAsia" w:ascii="Times New Roman" w:hAnsi="Times New Roman" w:eastAsia="宋体" w:cs="Times New Roman"/>
          <w:color w:val="auto"/>
          <w:sz w:val="24"/>
          <w:lang w:val="en-US" w:eastAsia="zh-CN"/>
        </w:rPr>
        <w:t>工程师</w:t>
      </w:r>
      <w:r>
        <w:rPr>
          <w:rFonts w:hint="default" w:ascii="Times New Roman" w:hAnsi="Times New Roman" w:eastAsia="宋体" w:cs="Times New Roman"/>
          <w:color w:val="auto"/>
          <w:sz w:val="24"/>
        </w:rPr>
        <w:t>现场勘查</w:t>
      </w:r>
      <w:r>
        <w:rPr>
          <w:rFonts w:hint="eastAsia" w:ascii="Times New Roman" w:hAnsi="Times New Roman" w:eastAsia="宋体" w:cs="Times New Roman"/>
          <w:color w:val="auto"/>
          <w:sz w:val="24"/>
          <w:lang w:eastAsia="zh-CN"/>
        </w:rPr>
        <w:t>材料</w:t>
      </w:r>
    </w:p>
    <w:p w14:paraId="319937C0">
      <w:pPr>
        <w:adjustRightInd w:val="0"/>
        <w:snapToGrid w:val="0"/>
        <w:spacing w:line="360" w:lineRule="auto"/>
        <w:ind w:firstLine="480" w:firstLineChars="200"/>
        <w:rPr>
          <w:rFonts w:hint="default" w:ascii="Times New Roman" w:hAnsi="Times New Roman" w:eastAsia="宋体" w:cs="Times New Roman"/>
          <w:color w:val="auto"/>
          <w:sz w:val="24"/>
        </w:rPr>
      </w:pPr>
    </w:p>
    <w:p w14:paraId="725B2665">
      <w:pPr>
        <w:adjustRightInd w:val="0"/>
        <w:snapToGrid w:val="0"/>
        <w:spacing w:line="360" w:lineRule="auto"/>
        <w:ind w:left="1540" w:leftChars="240" w:hanging="964" w:hangingChars="400"/>
        <w:rPr>
          <w:rFonts w:hint="default" w:ascii="Times New Roman" w:hAnsi="Times New Roman" w:eastAsia="宋体" w:cs="Times New Roman"/>
          <w:b/>
          <w:bCs/>
          <w:color w:val="auto"/>
          <w:sz w:val="24"/>
        </w:rPr>
      </w:pPr>
      <w:r>
        <w:rPr>
          <w:rFonts w:hint="default" w:ascii="Times New Roman" w:hAnsi="Times New Roman" w:eastAsia="宋体" w:cs="Times New Roman"/>
          <w:b/>
          <w:bCs/>
          <w:color w:val="auto"/>
          <w:sz w:val="24"/>
        </w:rPr>
        <w:t>附图</w:t>
      </w:r>
    </w:p>
    <w:p w14:paraId="1FC892D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附图</w:t>
      </w:r>
      <w:r>
        <w:rPr>
          <w:rFonts w:hint="eastAsia" w:cs="Times New Roman"/>
          <w:color w:val="auto"/>
          <w:sz w:val="24"/>
          <w:lang w:val="en-US" w:eastAsia="zh-CN"/>
        </w:rPr>
        <w:t>1</w:t>
      </w:r>
      <w:r>
        <w:rPr>
          <w:rFonts w:hint="default" w:ascii="Times New Roman" w:hAnsi="Times New Roman" w:eastAsia="宋体" w:cs="Times New Roman"/>
          <w:color w:val="auto"/>
          <w:sz w:val="24"/>
          <w:lang w:val="en-US" w:eastAsia="zh-CN"/>
        </w:rPr>
        <w:t xml:space="preserve"> 项目</w:t>
      </w:r>
      <w:r>
        <w:rPr>
          <w:rFonts w:hint="default" w:ascii="Times New Roman" w:hAnsi="Times New Roman" w:eastAsia="宋体" w:cs="Times New Roman"/>
          <w:color w:val="auto"/>
          <w:sz w:val="24"/>
        </w:rPr>
        <w:t>与江苏省国家级生态保护红线位置关系图</w:t>
      </w:r>
    </w:p>
    <w:p w14:paraId="04436337">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附图</w:t>
      </w:r>
      <w:r>
        <w:rPr>
          <w:rFonts w:hint="eastAsia" w:cs="Times New Roman"/>
          <w:color w:val="auto"/>
          <w:sz w:val="24"/>
          <w:lang w:val="en-US" w:eastAsia="zh-CN"/>
        </w:rPr>
        <w:t>2</w:t>
      </w:r>
      <w:r>
        <w:rPr>
          <w:rFonts w:hint="default" w:ascii="Times New Roman" w:hAnsi="Times New Roman" w:eastAsia="宋体" w:cs="Times New Roman"/>
          <w:color w:val="auto"/>
          <w:sz w:val="24"/>
          <w:lang w:val="en-US" w:eastAsia="zh-CN"/>
        </w:rPr>
        <w:t xml:space="preserve"> 项目</w:t>
      </w:r>
      <w:r>
        <w:rPr>
          <w:rFonts w:hint="default" w:ascii="Times New Roman" w:hAnsi="Times New Roman" w:eastAsia="宋体" w:cs="Times New Roman"/>
          <w:color w:val="auto"/>
          <w:sz w:val="24"/>
        </w:rPr>
        <w:t>与江苏省生态空间保护区域位置关系图</w:t>
      </w:r>
    </w:p>
    <w:p w14:paraId="7576BFE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default" w:ascii="Times New Roman" w:hAnsi="Times New Roman" w:eastAsia="宋体" w:cs="Times New Roman"/>
          <w:color w:val="auto"/>
          <w:sz w:val="24"/>
        </w:rPr>
      </w:pPr>
      <w:r>
        <w:rPr>
          <w:rFonts w:hint="eastAsia" w:ascii="Times New Roman" w:hAnsi="Times New Roman" w:cs="Times New Roman"/>
          <w:b w:val="0"/>
          <w:bCs w:val="0"/>
          <w:color w:val="auto"/>
          <w:lang w:val="en-US" w:eastAsia="zh-CN"/>
        </w:rPr>
        <w:t>附</w:t>
      </w:r>
      <w:r>
        <w:rPr>
          <w:rFonts w:hint="default" w:ascii="Times New Roman" w:hAnsi="Times New Roman" w:cs="Times New Roman"/>
          <w:b w:val="0"/>
          <w:bCs w:val="0"/>
          <w:color w:val="auto"/>
        </w:rPr>
        <w:t>图</w:t>
      </w:r>
      <w:r>
        <w:rPr>
          <w:rFonts w:hint="eastAsia" w:ascii="Times New Roman" w:hAnsi="Times New Roman" w:cs="Times New Roman"/>
          <w:b w:val="0"/>
          <w:bCs w:val="0"/>
          <w:color w:val="auto"/>
          <w:lang w:val="en-US" w:eastAsia="zh-CN"/>
        </w:rPr>
        <w:t>3</w:t>
      </w:r>
      <w:r>
        <w:rPr>
          <w:rFonts w:hint="default" w:ascii="Times New Roman" w:hAnsi="Times New Roman" w:cs="Times New Roman"/>
          <w:b w:val="0"/>
          <w:bCs w:val="0"/>
          <w:color w:val="auto"/>
        </w:rPr>
        <w:t xml:space="preserve"> 项目与</w:t>
      </w:r>
      <w:r>
        <w:rPr>
          <w:rFonts w:hint="eastAsia" w:ascii="Times New Roman" w:hAnsi="Times New Roman" w:cs="Times New Roman"/>
          <w:b w:val="0"/>
          <w:bCs w:val="0"/>
          <w:color w:val="auto"/>
          <w:lang w:val="en-US" w:eastAsia="zh-CN"/>
        </w:rPr>
        <w:t>淮安</w:t>
      </w:r>
      <w:r>
        <w:rPr>
          <w:rFonts w:hint="eastAsia" w:ascii="Times New Roman" w:hAnsi="Times New Roman" w:cs="Times New Roman"/>
          <w:b w:val="0"/>
          <w:bCs w:val="0"/>
          <w:color w:val="auto"/>
          <w:lang w:eastAsia="zh-CN"/>
        </w:rPr>
        <w:t>市</w:t>
      </w:r>
      <w:r>
        <w:rPr>
          <w:rFonts w:hint="default" w:ascii="Times New Roman" w:hAnsi="Times New Roman" w:cs="Times New Roman"/>
          <w:b w:val="0"/>
          <w:bCs w:val="0"/>
          <w:color w:val="auto"/>
        </w:rPr>
        <w:t>环境管控</w:t>
      </w:r>
      <w:r>
        <w:rPr>
          <w:rFonts w:hint="eastAsia" w:ascii="Times New Roman" w:hAnsi="Times New Roman" w:cs="Times New Roman"/>
          <w:b w:val="0"/>
          <w:bCs w:val="0"/>
          <w:color w:val="auto"/>
          <w:lang w:eastAsia="zh-CN"/>
        </w:rPr>
        <w:t>单元</w:t>
      </w:r>
      <w:r>
        <w:rPr>
          <w:rFonts w:hint="default" w:ascii="Times New Roman" w:hAnsi="Times New Roman" w:cs="Times New Roman"/>
          <w:b w:val="0"/>
          <w:bCs w:val="0"/>
          <w:color w:val="auto"/>
        </w:rPr>
        <w:t>位置关系图</w:t>
      </w:r>
    </w:p>
    <w:p w14:paraId="435D85A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附图4 项目总平面布置图</w:t>
      </w:r>
    </w:p>
    <w:p w14:paraId="0C42F36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附图</w:t>
      </w:r>
      <w:r>
        <w:rPr>
          <w:rFonts w:hint="eastAsia" w:cs="Times New Roman"/>
          <w:color w:val="auto"/>
          <w:sz w:val="24"/>
          <w:lang w:val="en-US" w:eastAsia="zh-CN"/>
        </w:rPr>
        <w:t>5</w:t>
      </w:r>
      <w:r>
        <w:rPr>
          <w:rFonts w:hint="default" w:ascii="Times New Roman" w:hAnsi="Times New Roman" w:eastAsia="宋体" w:cs="Times New Roman"/>
          <w:color w:val="auto"/>
          <w:sz w:val="24"/>
          <w:lang w:val="en-US" w:eastAsia="zh-CN"/>
        </w:rPr>
        <w:t xml:space="preserve"> 项目</w:t>
      </w:r>
      <w:r>
        <w:rPr>
          <w:rFonts w:hint="default" w:ascii="Times New Roman" w:hAnsi="Times New Roman" w:eastAsia="宋体" w:cs="Times New Roman"/>
          <w:color w:val="auto"/>
          <w:sz w:val="24"/>
        </w:rPr>
        <w:t>地理位置图</w:t>
      </w:r>
    </w:p>
    <w:p w14:paraId="3E37A2C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附图</w:t>
      </w:r>
      <w:r>
        <w:rPr>
          <w:rFonts w:hint="eastAsia" w:cs="Times New Roman"/>
          <w:color w:val="auto"/>
          <w:sz w:val="24"/>
          <w:lang w:val="en-US" w:eastAsia="zh-CN"/>
        </w:rPr>
        <w:t>6</w:t>
      </w:r>
      <w:r>
        <w:rPr>
          <w:rFonts w:hint="default" w:ascii="Times New Roman" w:hAnsi="Times New Roman" w:eastAsia="宋体" w:cs="Times New Roman"/>
          <w:color w:val="auto"/>
          <w:sz w:val="24"/>
        </w:rPr>
        <w:t xml:space="preserve"> 项目主要环境保护目标分布图</w:t>
      </w:r>
    </w:p>
    <w:p w14:paraId="15046B25">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附图</w:t>
      </w:r>
      <w:r>
        <w:rPr>
          <w:rFonts w:hint="eastAsia" w:cs="Times New Roman"/>
          <w:color w:val="auto"/>
          <w:sz w:val="24"/>
          <w:lang w:val="en-US" w:eastAsia="zh-CN"/>
        </w:rPr>
        <w:t>7</w:t>
      </w:r>
      <w:r>
        <w:rPr>
          <w:rFonts w:hint="default" w:ascii="Times New Roman" w:hAnsi="Times New Roman" w:eastAsia="宋体" w:cs="Times New Roman"/>
          <w:color w:val="auto"/>
          <w:sz w:val="24"/>
        </w:rPr>
        <w:t xml:space="preserve"> 项目</w:t>
      </w:r>
      <w:r>
        <w:rPr>
          <w:rFonts w:hint="eastAsia" w:ascii="Times New Roman" w:hAnsi="Times New Roman" w:eastAsia="宋体" w:cs="Times New Roman"/>
          <w:color w:val="auto"/>
          <w:sz w:val="24"/>
          <w:lang w:eastAsia="zh-CN"/>
        </w:rPr>
        <w:t>与高新区规划范围位置关系</w:t>
      </w:r>
      <w:r>
        <w:rPr>
          <w:rFonts w:hint="default" w:ascii="Times New Roman" w:hAnsi="Times New Roman" w:eastAsia="宋体" w:cs="Times New Roman"/>
          <w:color w:val="auto"/>
          <w:sz w:val="24"/>
        </w:rPr>
        <w:t>图</w:t>
      </w:r>
    </w:p>
    <w:p w14:paraId="4C62FC6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default" w:ascii="Times New Roman" w:hAnsi="Times New Roman" w:eastAsia="宋体" w:cs="Times New Roman"/>
          <w:b w:val="0"/>
          <w:bCs w:val="0"/>
          <w:color w:val="auto"/>
          <w:sz w:val="24"/>
        </w:rPr>
      </w:pPr>
    </w:p>
    <w:p w14:paraId="19F851CB">
      <w:pPr>
        <w:rPr>
          <w:rFonts w:hint="default" w:ascii="Times New Roman" w:hAnsi="Times New Roman" w:eastAsia="宋体" w:cs="Times New Roman"/>
          <w:color w:val="auto"/>
        </w:rPr>
      </w:pPr>
    </w:p>
    <w:p w14:paraId="7A1B3EEC">
      <w:pPr>
        <w:rPr>
          <w:rFonts w:hint="default"/>
          <w:color w:val="auto"/>
          <w:lang w:val="en-US" w:eastAsia="zh-CN"/>
        </w:rPr>
      </w:pPr>
    </w:p>
    <w:p w14:paraId="420F7772">
      <w:pPr>
        <w:rPr>
          <w:rFonts w:hint="default"/>
          <w:color w:val="auto"/>
          <w:lang w:val="en-US" w:eastAsia="zh-CN"/>
        </w:rPr>
      </w:pPr>
    </w:p>
    <w:p w14:paraId="1A6EB03A">
      <w:pPr>
        <w:rPr>
          <w:rFonts w:hint="default"/>
          <w:color w:val="auto"/>
          <w:lang w:val="en-US" w:eastAsia="zh-CN"/>
        </w:rPr>
      </w:pPr>
    </w:p>
    <w:p w14:paraId="10AB0FB1">
      <w:pPr>
        <w:rPr>
          <w:rFonts w:hint="default"/>
          <w:color w:val="auto"/>
          <w:lang w:val="en-US" w:eastAsia="zh-CN"/>
        </w:rPr>
      </w:pPr>
    </w:p>
    <w:p w14:paraId="756102F0">
      <w:pPr>
        <w:rPr>
          <w:rFonts w:hint="default"/>
          <w:color w:val="auto"/>
          <w:lang w:val="en-US" w:eastAsia="zh-CN"/>
        </w:rPr>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14:paraId="236E94FF">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outlineLvl w:val="0"/>
        <w:rPr>
          <w:rFonts w:hint="default" w:ascii="Times New Roman" w:hAnsi="Times New Roman" w:eastAsia="宋体" w:cs="Times New Roman"/>
          <w:b/>
          <w:bCs/>
          <w:color w:val="auto"/>
          <w:sz w:val="30"/>
          <w:szCs w:val="30"/>
        </w:rPr>
      </w:pPr>
      <w:r>
        <w:rPr>
          <w:rFonts w:hint="default" w:ascii="Times New Roman" w:hAnsi="Times New Roman" w:eastAsia="宋体" w:cs="Times New Roman"/>
          <w:b/>
          <w:bCs/>
          <w:color w:val="auto"/>
          <w:sz w:val="30"/>
          <w:szCs w:val="30"/>
          <w:lang w:val="en-US" w:eastAsia="zh-CN"/>
        </w:rPr>
        <w:t>一、</w:t>
      </w:r>
      <w:r>
        <w:rPr>
          <w:rFonts w:hint="default" w:ascii="Times New Roman" w:hAnsi="Times New Roman" w:eastAsia="宋体" w:cs="Times New Roman"/>
          <w:b/>
          <w:bCs/>
          <w:color w:val="auto"/>
          <w:sz w:val="30"/>
          <w:szCs w:val="30"/>
        </w:rPr>
        <w:t>建设项目基本情况</w:t>
      </w:r>
      <w:bookmarkEnd w:id="3"/>
      <w:bookmarkEnd w:id="4"/>
    </w:p>
    <w:tbl>
      <w:tblPr>
        <w:tblStyle w:val="27"/>
        <w:tblW w:w="888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28" w:type="dxa"/>
          <w:bottom w:w="0" w:type="dxa"/>
          <w:right w:w="28" w:type="dxa"/>
        </w:tblCellMar>
      </w:tblPr>
      <w:tblGrid>
        <w:gridCol w:w="448"/>
        <w:gridCol w:w="1275"/>
        <w:gridCol w:w="2268"/>
        <w:gridCol w:w="1560"/>
        <w:gridCol w:w="3337"/>
      </w:tblGrid>
      <w:tr w14:paraId="38E651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723" w:type="dxa"/>
            <w:gridSpan w:val="2"/>
            <w:tcMar>
              <w:top w:w="16" w:type="dxa"/>
              <w:left w:w="16" w:type="dxa"/>
              <w:right w:w="16" w:type="dxa"/>
            </w:tcMar>
            <w:vAlign w:val="center"/>
          </w:tcPr>
          <w:p w14:paraId="352F04D4">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建设项目名称</w:t>
            </w:r>
          </w:p>
        </w:tc>
        <w:tc>
          <w:tcPr>
            <w:tcW w:w="7165" w:type="dxa"/>
            <w:gridSpan w:val="3"/>
            <w:vAlign w:val="center"/>
          </w:tcPr>
          <w:p w14:paraId="4329AED5">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淮安市迅安新材料有限公司年产400吨TL990型电缆耐火密封填料、2万套KP800型电缆耐火密封膨胀堵料项目</w:t>
            </w:r>
          </w:p>
        </w:tc>
      </w:tr>
      <w:tr w14:paraId="3F8947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723" w:type="dxa"/>
            <w:gridSpan w:val="2"/>
            <w:tcMar>
              <w:top w:w="16" w:type="dxa"/>
              <w:left w:w="16" w:type="dxa"/>
              <w:right w:w="16" w:type="dxa"/>
            </w:tcMar>
            <w:vAlign w:val="center"/>
          </w:tcPr>
          <w:p w14:paraId="3FAAF15E">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项目代码</w:t>
            </w:r>
          </w:p>
        </w:tc>
        <w:tc>
          <w:tcPr>
            <w:tcW w:w="7165" w:type="dxa"/>
            <w:gridSpan w:val="3"/>
            <w:vAlign w:val="center"/>
          </w:tcPr>
          <w:p w14:paraId="353F802C">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2501-320856-89-01-215693</w:t>
            </w:r>
          </w:p>
        </w:tc>
      </w:tr>
      <w:tr w14:paraId="14CEA5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723" w:type="dxa"/>
            <w:gridSpan w:val="2"/>
            <w:tcMar>
              <w:top w:w="16" w:type="dxa"/>
              <w:left w:w="16" w:type="dxa"/>
              <w:right w:w="16" w:type="dxa"/>
            </w:tcMar>
            <w:vAlign w:val="center"/>
          </w:tcPr>
          <w:p w14:paraId="03D5AFB2">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建设单位联系人</w:t>
            </w:r>
          </w:p>
        </w:tc>
        <w:tc>
          <w:tcPr>
            <w:tcW w:w="2268" w:type="dxa"/>
            <w:vAlign w:val="center"/>
          </w:tcPr>
          <w:p w14:paraId="39996441">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何杨</w:t>
            </w:r>
          </w:p>
        </w:tc>
        <w:tc>
          <w:tcPr>
            <w:tcW w:w="1560" w:type="dxa"/>
            <w:vAlign w:val="center"/>
          </w:tcPr>
          <w:p w14:paraId="30C73E70">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b/>
                <w:bCs/>
                <w:color w:val="auto"/>
                <w:sz w:val="21"/>
                <w:szCs w:val="21"/>
              </w:rPr>
              <w:t>联系方式</w:t>
            </w:r>
          </w:p>
        </w:tc>
        <w:tc>
          <w:tcPr>
            <w:tcW w:w="3337" w:type="dxa"/>
            <w:vAlign w:val="center"/>
          </w:tcPr>
          <w:p w14:paraId="4BFC0813">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13952335535</w:t>
            </w:r>
          </w:p>
        </w:tc>
      </w:tr>
      <w:tr w14:paraId="1CE84A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723" w:type="dxa"/>
            <w:gridSpan w:val="2"/>
            <w:tcMar>
              <w:top w:w="16" w:type="dxa"/>
              <w:left w:w="16" w:type="dxa"/>
              <w:right w:w="16" w:type="dxa"/>
            </w:tcMar>
            <w:vAlign w:val="center"/>
          </w:tcPr>
          <w:p w14:paraId="1372637A">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建设地点</w:t>
            </w:r>
          </w:p>
        </w:tc>
        <w:tc>
          <w:tcPr>
            <w:tcW w:w="7165" w:type="dxa"/>
            <w:gridSpan w:val="3"/>
            <w:vAlign w:val="center"/>
          </w:tcPr>
          <w:p w14:paraId="5CFBABF0">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lang w:val="en-US"/>
              </w:rPr>
            </w:pPr>
            <w:r>
              <w:rPr>
                <w:rFonts w:hint="default" w:ascii="Times New Roman" w:hAnsi="Times New Roman" w:eastAsia="宋体" w:cs="Times New Roman"/>
                <w:color w:val="auto"/>
                <w:sz w:val="21"/>
                <w:szCs w:val="21"/>
                <w:u w:val="none"/>
              </w:rPr>
              <w:t>淮安高新技术产业开发区钱塘江路333号智能装备科技园25-4号楼</w:t>
            </w:r>
          </w:p>
        </w:tc>
      </w:tr>
      <w:tr w14:paraId="6D3887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723" w:type="dxa"/>
            <w:gridSpan w:val="2"/>
            <w:tcMar>
              <w:top w:w="16" w:type="dxa"/>
              <w:left w:w="16" w:type="dxa"/>
              <w:right w:w="16" w:type="dxa"/>
            </w:tcMar>
            <w:vAlign w:val="center"/>
          </w:tcPr>
          <w:p w14:paraId="6EDB0107">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地理坐标</w:t>
            </w:r>
          </w:p>
        </w:tc>
        <w:tc>
          <w:tcPr>
            <w:tcW w:w="7165" w:type="dxa"/>
            <w:gridSpan w:val="3"/>
            <w:vAlign w:val="center"/>
          </w:tcPr>
          <w:p w14:paraId="7EE26893">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w:t>
            </w:r>
            <w:r>
              <w:rPr>
                <w:rFonts w:hint="default" w:ascii="Times New Roman" w:hAnsi="Times New Roman" w:eastAsia="宋体" w:cs="Times New Roman"/>
                <w:color w:val="auto"/>
                <w:sz w:val="21"/>
                <w:szCs w:val="21"/>
                <w:u w:val="single"/>
              </w:rPr>
              <w:t>119</w:t>
            </w:r>
            <w:r>
              <w:rPr>
                <w:rFonts w:hint="default" w:ascii="Times New Roman" w:hAnsi="Times New Roman" w:eastAsia="宋体" w:cs="Times New Roman"/>
                <w:color w:val="auto"/>
                <w:sz w:val="21"/>
                <w:szCs w:val="21"/>
              </w:rPr>
              <w:t>度</w:t>
            </w:r>
            <w:r>
              <w:rPr>
                <w:rFonts w:hint="eastAsia" w:cs="Times New Roman"/>
                <w:color w:val="auto"/>
                <w:sz w:val="21"/>
                <w:szCs w:val="21"/>
                <w:u w:val="single"/>
                <w:lang w:val="en-US" w:eastAsia="zh-CN"/>
              </w:rPr>
              <w:t>4</w:t>
            </w:r>
            <w:r>
              <w:rPr>
                <w:rFonts w:hint="default" w:ascii="Times New Roman" w:hAnsi="Times New Roman" w:eastAsia="宋体" w:cs="Times New Roman"/>
                <w:color w:val="auto"/>
                <w:sz w:val="21"/>
                <w:szCs w:val="21"/>
              </w:rPr>
              <w:t>分</w:t>
            </w:r>
            <w:r>
              <w:rPr>
                <w:rFonts w:hint="default" w:ascii="Times New Roman" w:hAnsi="Times New Roman" w:eastAsia="宋体" w:cs="Times New Roman"/>
                <w:color w:val="auto"/>
                <w:sz w:val="21"/>
                <w:szCs w:val="21"/>
                <w:u w:val="single"/>
                <w:lang w:val="en-US" w:eastAsia="zh-CN"/>
              </w:rPr>
              <w:t>20.888</w:t>
            </w:r>
            <w:r>
              <w:rPr>
                <w:rFonts w:hint="default" w:ascii="Times New Roman" w:hAnsi="Times New Roman" w:eastAsia="宋体" w:cs="Times New Roman"/>
                <w:color w:val="auto"/>
                <w:sz w:val="21"/>
                <w:szCs w:val="21"/>
              </w:rPr>
              <w:t>秒，</w:t>
            </w:r>
            <w:r>
              <w:rPr>
                <w:rFonts w:hint="default" w:ascii="Times New Roman" w:hAnsi="Times New Roman" w:eastAsia="宋体" w:cs="Times New Roman"/>
                <w:color w:val="auto"/>
                <w:sz w:val="21"/>
                <w:szCs w:val="21"/>
                <w:u w:val="single"/>
              </w:rPr>
              <w:t>33</w:t>
            </w:r>
            <w:r>
              <w:rPr>
                <w:rFonts w:hint="default" w:ascii="Times New Roman" w:hAnsi="Times New Roman" w:eastAsia="宋体" w:cs="Times New Roman"/>
                <w:color w:val="auto"/>
                <w:sz w:val="21"/>
                <w:szCs w:val="21"/>
              </w:rPr>
              <w:t>度</w:t>
            </w:r>
            <w:r>
              <w:rPr>
                <w:rFonts w:hint="default" w:ascii="Times New Roman" w:hAnsi="Times New Roman" w:eastAsia="宋体" w:cs="Times New Roman"/>
                <w:color w:val="auto"/>
                <w:sz w:val="21"/>
                <w:szCs w:val="21"/>
                <w:u w:val="single"/>
                <w:lang w:val="en-US" w:eastAsia="zh-CN"/>
              </w:rPr>
              <w:t>3</w:t>
            </w:r>
            <w:r>
              <w:rPr>
                <w:rFonts w:hint="eastAsia" w:cs="Times New Roman"/>
                <w:color w:val="auto"/>
                <w:sz w:val="21"/>
                <w:szCs w:val="21"/>
                <w:u w:val="single"/>
                <w:lang w:val="en-US" w:eastAsia="zh-CN"/>
              </w:rPr>
              <w:t>8</w:t>
            </w:r>
            <w:r>
              <w:rPr>
                <w:rFonts w:hint="default" w:ascii="Times New Roman" w:hAnsi="Times New Roman" w:eastAsia="宋体" w:cs="Times New Roman"/>
                <w:color w:val="auto"/>
                <w:sz w:val="21"/>
                <w:szCs w:val="21"/>
              </w:rPr>
              <w:t>分</w:t>
            </w:r>
            <w:r>
              <w:rPr>
                <w:rFonts w:hint="eastAsia" w:cs="Times New Roman"/>
                <w:color w:val="auto"/>
                <w:sz w:val="21"/>
                <w:szCs w:val="21"/>
                <w:u w:val="single"/>
                <w:lang w:val="en-US" w:eastAsia="zh-CN"/>
              </w:rPr>
              <w:t>41.179</w:t>
            </w:r>
            <w:r>
              <w:rPr>
                <w:rFonts w:hint="default" w:ascii="Times New Roman" w:hAnsi="Times New Roman" w:eastAsia="宋体" w:cs="Times New Roman"/>
                <w:color w:val="auto"/>
                <w:sz w:val="21"/>
                <w:szCs w:val="21"/>
              </w:rPr>
              <w:t>秒）</w:t>
            </w:r>
          </w:p>
        </w:tc>
      </w:tr>
      <w:tr w14:paraId="59F568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723" w:type="dxa"/>
            <w:gridSpan w:val="2"/>
            <w:tcMar>
              <w:top w:w="16" w:type="dxa"/>
              <w:left w:w="16" w:type="dxa"/>
              <w:right w:w="16" w:type="dxa"/>
            </w:tcMar>
            <w:vAlign w:val="center"/>
          </w:tcPr>
          <w:p w14:paraId="3A9753AF">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国民经济</w:t>
            </w:r>
          </w:p>
          <w:p w14:paraId="172F131F">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行业类别</w:t>
            </w:r>
          </w:p>
        </w:tc>
        <w:tc>
          <w:tcPr>
            <w:tcW w:w="2268" w:type="dxa"/>
            <w:vAlign w:val="center"/>
          </w:tcPr>
          <w:p w14:paraId="0B749B35">
            <w:pPr>
              <w:keepNext w:val="0"/>
              <w:keepLines w:val="0"/>
              <w:suppressLineNumbers w:val="0"/>
              <w:tabs>
                <w:tab w:val="left" w:pos="1800"/>
              </w:tabs>
              <w:adjustRightInd w:val="0"/>
              <w:snapToGrid w:val="0"/>
              <w:spacing w:before="0" w:beforeAutospacing="0" w:after="0" w:afterAutospacing="0" w:line="240" w:lineRule="auto"/>
              <w:ind w:left="0" w:right="0" w:firstLine="0" w:firstLineChars="0"/>
              <w:jc w:val="both"/>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【C30</w:t>
            </w:r>
            <w:r>
              <w:rPr>
                <w:rFonts w:hint="eastAsia" w:cs="Times New Roman"/>
                <w:color w:val="auto"/>
                <w:sz w:val="21"/>
                <w:szCs w:val="21"/>
                <w:lang w:val="en-US" w:eastAsia="zh-CN"/>
              </w:rPr>
              <w:t>89</w:t>
            </w:r>
            <w:r>
              <w:rPr>
                <w:rFonts w:hint="default" w:ascii="Times New Roman" w:hAnsi="Times New Roman" w:eastAsia="宋体" w:cs="Times New Roman"/>
                <w:color w:val="auto"/>
                <w:sz w:val="21"/>
                <w:szCs w:val="21"/>
                <w:lang w:val="en-US" w:eastAsia="zh-CN"/>
              </w:rPr>
              <w:t>】耐火陶瓷制品及其他耐火材料制造</w:t>
            </w:r>
          </w:p>
        </w:tc>
        <w:tc>
          <w:tcPr>
            <w:tcW w:w="1560" w:type="dxa"/>
            <w:vAlign w:val="center"/>
          </w:tcPr>
          <w:p w14:paraId="5BBB1DFE">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21"/>
                <w:szCs w:val="21"/>
              </w:rPr>
            </w:pPr>
            <w:bookmarkStart w:id="6" w:name="_Hlk49843745"/>
            <w:r>
              <w:rPr>
                <w:rFonts w:hint="default" w:ascii="Times New Roman" w:hAnsi="Times New Roman" w:eastAsia="宋体" w:cs="Times New Roman"/>
                <w:b/>
                <w:bCs/>
                <w:color w:val="auto"/>
                <w:sz w:val="21"/>
                <w:szCs w:val="21"/>
              </w:rPr>
              <w:t>建设项目</w:t>
            </w:r>
          </w:p>
          <w:p w14:paraId="1ACAAB0D">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行业类别</w:t>
            </w:r>
            <w:bookmarkEnd w:id="6"/>
          </w:p>
        </w:tc>
        <w:tc>
          <w:tcPr>
            <w:tcW w:w="3337" w:type="dxa"/>
            <w:vAlign w:val="center"/>
          </w:tcPr>
          <w:p w14:paraId="49F9803F">
            <w:pPr>
              <w:keepNext w:val="0"/>
              <w:keepLines w:val="0"/>
              <w:suppressLineNumbers w:val="0"/>
              <w:tabs>
                <w:tab w:val="left" w:pos="1800"/>
              </w:tabs>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二十七、非金属矿物制品业30-</w:t>
            </w:r>
          </w:p>
          <w:p w14:paraId="5541B68F">
            <w:pPr>
              <w:keepNext w:val="0"/>
              <w:keepLines w:val="0"/>
              <w:suppressLineNumbers w:val="0"/>
              <w:tabs>
                <w:tab w:val="left" w:pos="1800"/>
              </w:tabs>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60-</w:t>
            </w:r>
            <w:r>
              <w:rPr>
                <w:rFonts w:hint="default" w:ascii="Times New Roman" w:hAnsi="Times New Roman" w:eastAsia="宋体" w:cs="Times New Roman"/>
                <w:color w:val="auto"/>
                <w:sz w:val="21"/>
                <w:szCs w:val="21"/>
                <w:lang w:val="en-US" w:eastAsia="zh-CN"/>
              </w:rPr>
              <w:t>耐火材料制品制造308</w:t>
            </w:r>
          </w:p>
        </w:tc>
      </w:tr>
      <w:tr w14:paraId="6BEE74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723" w:type="dxa"/>
            <w:gridSpan w:val="2"/>
            <w:tcMar>
              <w:top w:w="16" w:type="dxa"/>
              <w:left w:w="16" w:type="dxa"/>
              <w:right w:w="16" w:type="dxa"/>
            </w:tcMar>
            <w:vAlign w:val="center"/>
          </w:tcPr>
          <w:p w14:paraId="5F319ABE">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建设性质</w:t>
            </w:r>
          </w:p>
        </w:tc>
        <w:tc>
          <w:tcPr>
            <w:tcW w:w="2268" w:type="dxa"/>
            <w:vAlign w:val="center"/>
          </w:tcPr>
          <w:p w14:paraId="2E994278">
            <w:pPr>
              <w:keepNext w:val="0"/>
              <w:keepLines w:val="0"/>
              <w:suppressLineNumbers w:val="0"/>
              <w:adjustRightInd w:val="0"/>
              <w:snapToGrid w:val="0"/>
              <w:spacing w:before="0" w:beforeAutospacing="0" w:after="0" w:afterAutospacing="0" w:line="240" w:lineRule="auto"/>
              <w:ind w:left="0" w:right="0" w:firstLine="0" w:firstLineChars="0"/>
              <w:jc w:val="left"/>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sym w:font="Wingdings 2" w:char="0052"/>
            </w:r>
            <w:r>
              <w:rPr>
                <w:rFonts w:hint="default" w:ascii="Times New Roman" w:hAnsi="Times New Roman" w:eastAsia="宋体" w:cs="Times New Roman"/>
                <w:color w:val="auto"/>
                <w:sz w:val="21"/>
                <w:szCs w:val="21"/>
              </w:rPr>
              <w:t>新建（迁建）</w:t>
            </w:r>
          </w:p>
          <w:p w14:paraId="2769AFC6">
            <w:pPr>
              <w:keepNext w:val="0"/>
              <w:keepLines w:val="0"/>
              <w:suppressLineNumbers w:val="0"/>
              <w:adjustRightInd w:val="0"/>
              <w:snapToGrid w:val="0"/>
              <w:spacing w:before="0" w:beforeAutospacing="0" w:after="0" w:afterAutospacing="0" w:line="240" w:lineRule="auto"/>
              <w:ind w:left="0" w:right="0" w:firstLine="0" w:firstLineChars="0"/>
              <w:jc w:val="left"/>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sym w:font="Wingdings 2" w:char="00A3"/>
            </w:r>
            <w:r>
              <w:rPr>
                <w:rFonts w:hint="default" w:ascii="Times New Roman" w:hAnsi="Times New Roman" w:eastAsia="宋体" w:cs="Times New Roman"/>
                <w:color w:val="auto"/>
                <w:sz w:val="21"/>
                <w:szCs w:val="21"/>
              </w:rPr>
              <w:t>改建</w:t>
            </w:r>
          </w:p>
          <w:p w14:paraId="781D185B">
            <w:pPr>
              <w:keepNext w:val="0"/>
              <w:keepLines w:val="0"/>
              <w:suppressLineNumbers w:val="0"/>
              <w:adjustRightInd w:val="0"/>
              <w:snapToGrid w:val="0"/>
              <w:spacing w:before="0" w:beforeAutospacing="0" w:after="0" w:afterAutospacing="0" w:line="240" w:lineRule="auto"/>
              <w:ind w:left="0" w:right="0" w:firstLine="0" w:firstLineChars="0"/>
              <w:jc w:val="left"/>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sym w:font="Wingdings 2" w:char="00A3"/>
            </w:r>
            <w:r>
              <w:rPr>
                <w:rFonts w:hint="default" w:ascii="Times New Roman" w:hAnsi="Times New Roman" w:eastAsia="宋体" w:cs="Times New Roman"/>
                <w:color w:val="auto"/>
                <w:sz w:val="21"/>
                <w:szCs w:val="21"/>
              </w:rPr>
              <w:t>扩建</w:t>
            </w:r>
          </w:p>
          <w:p w14:paraId="3BB3DC43">
            <w:pPr>
              <w:keepNext w:val="0"/>
              <w:keepLines w:val="0"/>
              <w:suppressLineNumbers w:val="0"/>
              <w:adjustRightInd w:val="0"/>
              <w:snapToGrid w:val="0"/>
              <w:spacing w:before="0" w:beforeAutospacing="0" w:after="0" w:afterAutospacing="0" w:line="240" w:lineRule="auto"/>
              <w:ind w:left="0" w:right="0" w:firstLine="0" w:firstLineChars="0"/>
              <w:jc w:val="left"/>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sym w:font="Wingdings 2" w:char="00A3"/>
            </w:r>
            <w:r>
              <w:rPr>
                <w:rFonts w:hint="default" w:ascii="Times New Roman" w:hAnsi="Times New Roman" w:eastAsia="宋体" w:cs="Times New Roman"/>
                <w:color w:val="auto"/>
                <w:sz w:val="21"/>
                <w:szCs w:val="21"/>
              </w:rPr>
              <w:t>技术改造</w:t>
            </w:r>
          </w:p>
        </w:tc>
        <w:tc>
          <w:tcPr>
            <w:tcW w:w="1560" w:type="dxa"/>
            <w:vAlign w:val="center"/>
          </w:tcPr>
          <w:p w14:paraId="75EA8DBC">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建设项目</w:t>
            </w:r>
          </w:p>
          <w:p w14:paraId="1DE2B16A">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申报情形</w:t>
            </w:r>
          </w:p>
        </w:tc>
        <w:tc>
          <w:tcPr>
            <w:tcW w:w="3337" w:type="dxa"/>
            <w:vAlign w:val="center"/>
          </w:tcPr>
          <w:p w14:paraId="27D06D98">
            <w:pPr>
              <w:keepNext w:val="0"/>
              <w:keepLines w:val="0"/>
              <w:suppressLineNumbers w:val="0"/>
              <w:adjustRightInd w:val="0"/>
              <w:snapToGrid w:val="0"/>
              <w:spacing w:before="0" w:beforeAutospacing="0" w:after="0" w:afterAutospacing="0" w:line="240" w:lineRule="auto"/>
              <w:ind w:left="0" w:right="0" w:firstLine="0" w:firstLineChars="0"/>
              <w:jc w:val="left"/>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sym w:font="Wingdings 2" w:char="0052"/>
            </w:r>
            <w:r>
              <w:rPr>
                <w:rFonts w:hint="default" w:ascii="Times New Roman" w:hAnsi="Times New Roman" w:eastAsia="宋体" w:cs="Times New Roman"/>
                <w:color w:val="auto"/>
                <w:sz w:val="21"/>
                <w:szCs w:val="21"/>
              </w:rPr>
              <w:t>首次申报项目</w:t>
            </w:r>
          </w:p>
          <w:p w14:paraId="72166957">
            <w:pPr>
              <w:keepNext w:val="0"/>
              <w:keepLines w:val="0"/>
              <w:suppressLineNumbers w:val="0"/>
              <w:adjustRightInd w:val="0"/>
              <w:snapToGrid w:val="0"/>
              <w:spacing w:before="0" w:beforeAutospacing="0" w:after="0" w:afterAutospacing="0" w:line="240" w:lineRule="auto"/>
              <w:ind w:left="0" w:right="0" w:firstLine="0" w:firstLineChars="0"/>
              <w:jc w:val="left"/>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sym w:font="Wingdings 2" w:char="00A3"/>
            </w:r>
            <w:r>
              <w:rPr>
                <w:rFonts w:hint="default" w:ascii="Times New Roman" w:hAnsi="Times New Roman" w:eastAsia="宋体" w:cs="Times New Roman"/>
                <w:color w:val="auto"/>
                <w:sz w:val="21"/>
                <w:szCs w:val="21"/>
              </w:rPr>
              <w:t>不予批准后再次申报项目</w:t>
            </w:r>
          </w:p>
          <w:p w14:paraId="598E00B2">
            <w:pPr>
              <w:keepNext w:val="0"/>
              <w:keepLines w:val="0"/>
              <w:suppressLineNumbers w:val="0"/>
              <w:adjustRightInd w:val="0"/>
              <w:snapToGrid w:val="0"/>
              <w:spacing w:before="0" w:beforeAutospacing="0" w:after="0" w:afterAutospacing="0" w:line="240" w:lineRule="auto"/>
              <w:ind w:left="0" w:right="0" w:firstLine="0" w:firstLineChars="0"/>
              <w:jc w:val="left"/>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sym w:font="Wingdings 2" w:char="00A3"/>
            </w:r>
            <w:r>
              <w:rPr>
                <w:rFonts w:hint="default" w:ascii="Times New Roman" w:hAnsi="Times New Roman" w:eastAsia="宋体" w:cs="Times New Roman"/>
                <w:color w:val="auto"/>
                <w:sz w:val="21"/>
                <w:szCs w:val="21"/>
              </w:rPr>
              <w:t>超五年重新审核项目</w:t>
            </w:r>
          </w:p>
          <w:p w14:paraId="27B9E8FA">
            <w:pPr>
              <w:keepNext w:val="0"/>
              <w:keepLines w:val="0"/>
              <w:suppressLineNumbers w:val="0"/>
              <w:adjustRightInd w:val="0"/>
              <w:snapToGrid w:val="0"/>
              <w:spacing w:before="0" w:beforeAutospacing="0" w:after="0" w:afterAutospacing="0" w:line="240" w:lineRule="auto"/>
              <w:ind w:left="0" w:right="0" w:firstLine="0" w:firstLineChars="0"/>
              <w:jc w:val="left"/>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sym w:font="Wingdings 2" w:char="00A3"/>
            </w:r>
            <w:r>
              <w:rPr>
                <w:rFonts w:hint="default" w:ascii="Times New Roman" w:hAnsi="Times New Roman" w:eastAsia="宋体" w:cs="Times New Roman"/>
                <w:color w:val="auto"/>
                <w:sz w:val="21"/>
                <w:szCs w:val="21"/>
              </w:rPr>
              <w:t>重大变动重新报批项目</w:t>
            </w:r>
          </w:p>
        </w:tc>
      </w:tr>
      <w:tr w14:paraId="3FF2F5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723" w:type="dxa"/>
            <w:gridSpan w:val="2"/>
            <w:tcMar>
              <w:top w:w="16" w:type="dxa"/>
              <w:left w:w="16" w:type="dxa"/>
              <w:right w:w="16" w:type="dxa"/>
            </w:tcMar>
            <w:vAlign w:val="center"/>
          </w:tcPr>
          <w:p w14:paraId="3F2F0503">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项目审批（核准/备案）部门</w:t>
            </w:r>
          </w:p>
          <w:p w14:paraId="3B430EBA">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（选填）</w:t>
            </w:r>
          </w:p>
        </w:tc>
        <w:tc>
          <w:tcPr>
            <w:tcW w:w="2268" w:type="dxa"/>
            <w:vAlign w:val="center"/>
          </w:tcPr>
          <w:p w14:paraId="20D147AB">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lang w:eastAsia="zh-CN"/>
              </w:rPr>
            </w:pPr>
            <w:r>
              <w:rPr>
                <w:rFonts w:hint="eastAsia" w:eastAsia="宋体" w:cs="Times New Roman"/>
                <w:color w:val="auto"/>
                <w:sz w:val="21"/>
                <w:szCs w:val="21"/>
                <w:lang w:eastAsia="zh-CN"/>
              </w:rPr>
              <w:t>淮安市淮阴区政务服务管理办公室</w:t>
            </w:r>
          </w:p>
        </w:tc>
        <w:tc>
          <w:tcPr>
            <w:tcW w:w="1560" w:type="dxa"/>
            <w:vAlign w:val="center"/>
          </w:tcPr>
          <w:p w14:paraId="324B5A6C">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项目审批（核准/备案）文号（选填）</w:t>
            </w:r>
          </w:p>
        </w:tc>
        <w:tc>
          <w:tcPr>
            <w:tcW w:w="3337" w:type="dxa"/>
            <w:vAlign w:val="center"/>
          </w:tcPr>
          <w:p w14:paraId="543DD8BC">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rPr>
              <w:t>淮安高新区数据投资备〔2025〕</w:t>
            </w:r>
            <w:r>
              <w:rPr>
                <w:rFonts w:hint="eastAsia" w:cs="Times New Roman"/>
                <w:color w:val="auto"/>
                <w:sz w:val="21"/>
                <w:szCs w:val="21"/>
                <w:lang w:val="en-US" w:eastAsia="zh-CN"/>
              </w:rPr>
              <w:t>6</w:t>
            </w:r>
            <w:r>
              <w:rPr>
                <w:rFonts w:hint="eastAsia" w:cs="Times New Roman"/>
                <w:color w:val="auto"/>
                <w:sz w:val="21"/>
                <w:szCs w:val="21"/>
              </w:rPr>
              <w:t>号</w:t>
            </w:r>
          </w:p>
        </w:tc>
      </w:tr>
      <w:tr w14:paraId="6455F5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723" w:type="dxa"/>
            <w:gridSpan w:val="2"/>
            <w:tcMar>
              <w:top w:w="16" w:type="dxa"/>
              <w:left w:w="16" w:type="dxa"/>
              <w:right w:w="16" w:type="dxa"/>
            </w:tcMar>
            <w:vAlign w:val="center"/>
          </w:tcPr>
          <w:p w14:paraId="2B63A8F6">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总投资</w:t>
            </w:r>
          </w:p>
          <w:p w14:paraId="70E74EA4">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（万元）</w:t>
            </w:r>
          </w:p>
        </w:tc>
        <w:tc>
          <w:tcPr>
            <w:tcW w:w="2268" w:type="dxa"/>
            <w:vAlign w:val="center"/>
          </w:tcPr>
          <w:p w14:paraId="72646C1F">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660</w:t>
            </w:r>
          </w:p>
        </w:tc>
        <w:tc>
          <w:tcPr>
            <w:tcW w:w="1560" w:type="dxa"/>
            <w:tcMar>
              <w:top w:w="16" w:type="dxa"/>
              <w:left w:w="16" w:type="dxa"/>
              <w:right w:w="16" w:type="dxa"/>
            </w:tcMar>
            <w:vAlign w:val="center"/>
          </w:tcPr>
          <w:p w14:paraId="558420B6">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环保投资</w:t>
            </w:r>
          </w:p>
          <w:p w14:paraId="744884C6">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（万元）</w:t>
            </w:r>
          </w:p>
        </w:tc>
        <w:tc>
          <w:tcPr>
            <w:tcW w:w="3337" w:type="dxa"/>
            <w:vAlign w:val="center"/>
          </w:tcPr>
          <w:p w14:paraId="3767D86E">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1</w:t>
            </w:r>
            <w:r>
              <w:rPr>
                <w:rFonts w:hint="eastAsia" w:ascii="Times New Roman" w:hAnsi="Times New Roman" w:eastAsia="宋体" w:cs="Times New Roman"/>
                <w:color w:val="auto"/>
                <w:sz w:val="21"/>
                <w:szCs w:val="21"/>
                <w:lang w:val="en-US" w:eastAsia="zh-CN"/>
              </w:rPr>
              <w:t>0</w:t>
            </w:r>
          </w:p>
        </w:tc>
      </w:tr>
      <w:tr w14:paraId="0C218C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723" w:type="dxa"/>
            <w:gridSpan w:val="2"/>
            <w:tcMar>
              <w:top w:w="16" w:type="dxa"/>
              <w:left w:w="16" w:type="dxa"/>
              <w:right w:w="16" w:type="dxa"/>
            </w:tcMar>
            <w:vAlign w:val="center"/>
          </w:tcPr>
          <w:p w14:paraId="5F04A997">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环保投资占比（%）</w:t>
            </w:r>
          </w:p>
        </w:tc>
        <w:tc>
          <w:tcPr>
            <w:tcW w:w="2268" w:type="dxa"/>
            <w:vAlign w:val="center"/>
          </w:tcPr>
          <w:p w14:paraId="1EB09E92">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1.52</w:t>
            </w:r>
          </w:p>
        </w:tc>
        <w:tc>
          <w:tcPr>
            <w:tcW w:w="1560" w:type="dxa"/>
            <w:tcMar>
              <w:top w:w="16" w:type="dxa"/>
              <w:left w:w="16" w:type="dxa"/>
              <w:right w:w="16" w:type="dxa"/>
            </w:tcMar>
            <w:vAlign w:val="center"/>
          </w:tcPr>
          <w:p w14:paraId="57B900DE">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施工工期</w:t>
            </w:r>
          </w:p>
        </w:tc>
        <w:tc>
          <w:tcPr>
            <w:tcW w:w="3337" w:type="dxa"/>
            <w:vAlign w:val="center"/>
          </w:tcPr>
          <w:p w14:paraId="558D46F2">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w:t>
            </w:r>
          </w:p>
        </w:tc>
      </w:tr>
      <w:tr w14:paraId="293FE8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723" w:type="dxa"/>
            <w:gridSpan w:val="2"/>
            <w:tcMar>
              <w:top w:w="16" w:type="dxa"/>
              <w:left w:w="16" w:type="dxa"/>
              <w:right w:w="16" w:type="dxa"/>
            </w:tcMar>
            <w:vAlign w:val="center"/>
          </w:tcPr>
          <w:p w14:paraId="3EDD7299">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是否开工建设</w:t>
            </w:r>
          </w:p>
        </w:tc>
        <w:tc>
          <w:tcPr>
            <w:tcW w:w="2268" w:type="dxa"/>
            <w:vAlign w:val="center"/>
          </w:tcPr>
          <w:p w14:paraId="2088AA98">
            <w:pPr>
              <w:keepNext w:val="0"/>
              <w:keepLines w:val="0"/>
              <w:suppressLineNumbers w:val="0"/>
              <w:adjustRightInd w:val="0"/>
              <w:snapToGrid w:val="0"/>
              <w:spacing w:before="0" w:beforeAutospacing="0" w:after="0" w:afterAutospacing="0" w:line="240" w:lineRule="auto"/>
              <w:ind w:left="0" w:right="0" w:firstLine="0" w:firstLineChars="0"/>
              <w:jc w:val="left"/>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sym w:font="Wingdings 2" w:char="0052"/>
            </w:r>
            <w:r>
              <w:rPr>
                <w:rFonts w:hint="default" w:ascii="Times New Roman" w:hAnsi="Times New Roman" w:eastAsia="宋体" w:cs="Times New Roman"/>
                <w:color w:val="auto"/>
                <w:sz w:val="21"/>
                <w:szCs w:val="21"/>
              </w:rPr>
              <w:t>否</w:t>
            </w:r>
          </w:p>
          <w:p w14:paraId="119FC7AA">
            <w:pPr>
              <w:keepNext w:val="0"/>
              <w:keepLines w:val="0"/>
              <w:suppressLineNumbers w:val="0"/>
              <w:adjustRightInd w:val="0"/>
              <w:snapToGrid w:val="0"/>
              <w:spacing w:before="0" w:beforeAutospacing="0" w:after="0" w:afterAutospacing="0" w:line="240" w:lineRule="auto"/>
              <w:ind w:left="0" w:right="0" w:firstLine="0" w:firstLineChars="0"/>
              <w:jc w:val="left"/>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sym w:font="Wingdings 2" w:char="00A3"/>
            </w:r>
            <w:r>
              <w:rPr>
                <w:rFonts w:hint="default" w:ascii="Times New Roman" w:hAnsi="Times New Roman" w:eastAsia="宋体" w:cs="Times New Roman"/>
                <w:color w:val="auto"/>
                <w:sz w:val="21"/>
                <w:szCs w:val="21"/>
              </w:rPr>
              <w:t>是</w:t>
            </w:r>
          </w:p>
        </w:tc>
        <w:tc>
          <w:tcPr>
            <w:tcW w:w="1560" w:type="dxa"/>
            <w:tcMar>
              <w:top w:w="16" w:type="dxa"/>
              <w:left w:w="16" w:type="dxa"/>
              <w:right w:w="16" w:type="dxa"/>
            </w:tcMar>
            <w:vAlign w:val="center"/>
          </w:tcPr>
          <w:p w14:paraId="5DC98406">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pacing w:val="-6"/>
                <w:sz w:val="21"/>
                <w:szCs w:val="21"/>
              </w:rPr>
            </w:pPr>
            <w:r>
              <w:rPr>
                <w:rFonts w:hint="default" w:ascii="Times New Roman" w:hAnsi="Times New Roman" w:eastAsia="宋体" w:cs="Times New Roman"/>
                <w:b/>
                <w:bCs/>
                <w:color w:val="auto"/>
                <w:spacing w:val="-6"/>
                <w:sz w:val="21"/>
                <w:szCs w:val="21"/>
              </w:rPr>
              <w:t>用地（用海）</w:t>
            </w:r>
          </w:p>
          <w:p w14:paraId="32660E4D">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pacing w:val="-6"/>
                <w:sz w:val="21"/>
                <w:szCs w:val="21"/>
              </w:rPr>
              <w:t>面积（m</w:t>
            </w:r>
            <w:r>
              <w:rPr>
                <w:rFonts w:hint="default" w:ascii="Times New Roman" w:hAnsi="Times New Roman" w:eastAsia="宋体" w:cs="Times New Roman"/>
                <w:b/>
                <w:bCs/>
                <w:color w:val="auto"/>
                <w:spacing w:val="-6"/>
                <w:sz w:val="21"/>
                <w:szCs w:val="21"/>
                <w:vertAlign w:val="superscript"/>
              </w:rPr>
              <w:t>2</w:t>
            </w:r>
            <w:r>
              <w:rPr>
                <w:rFonts w:hint="default" w:ascii="Times New Roman" w:hAnsi="Times New Roman" w:eastAsia="宋体" w:cs="Times New Roman"/>
                <w:b/>
                <w:bCs/>
                <w:color w:val="auto"/>
                <w:spacing w:val="-6"/>
                <w:sz w:val="21"/>
                <w:szCs w:val="21"/>
              </w:rPr>
              <w:t>）</w:t>
            </w:r>
          </w:p>
        </w:tc>
        <w:tc>
          <w:tcPr>
            <w:tcW w:w="3337" w:type="dxa"/>
            <w:vAlign w:val="center"/>
          </w:tcPr>
          <w:p w14:paraId="1019FD3D">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利用现有厂房</w:t>
            </w:r>
            <w:r>
              <w:rPr>
                <w:rFonts w:hint="eastAsia" w:cs="Times New Roman"/>
                <w:color w:val="auto"/>
                <w:sz w:val="21"/>
                <w:szCs w:val="21"/>
                <w:lang w:val="en-US" w:eastAsia="zh-CN"/>
              </w:rPr>
              <w:t>1417.28m</w:t>
            </w:r>
            <w:r>
              <w:rPr>
                <w:rFonts w:hint="eastAsia" w:cs="Times New Roman"/>
                <w:color w:val="auto"/>
                <w:sz w:val="21"/>
                <w:szCs w:val="21"/>
                <w:vertAlign w:val="superscript"/>
                <w:lang w:val="en-US" w:eastAsia="zh-CN"/>
              </w:rPr>
              <w:t>2</w:t>
            </w:r>
            <w:r>
              <w:rPr>
                <w:rFonts w:hint="default" w:ascii="Times New Roman" w:hAnsi="Times New Roman" w:eastAsia="宋体" w:cs="Times New Roman"/>
                <w:color w:val="auto"/>
                <w:sz w:val="21"/>
                <w:szCs w:val="21"/>
                <w:lang w:val="en-US" w:eastAsia="zh-CN"/>
              </w:rPr>
              <w:t>，不新增占地</w:t>
            </w:r>
          </w:p>
        </w:tc>
      </w:tr>
      <w:tr w14:paraId="5D34C7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723" w:type="dxa"/>
            <w:gridSpan w:val="2"/>
            <w:vAlign w:val="center"/>
          </w:tcPr>
          <w:p w14:paraId="1DEDE63A">
            <w:pPr>
              <w:keepNext w:val="0"/>
              <w:keepLines w:val="0"/>
              <w:suppressLineNumbers w:val="0"/>
              <w:autoSpaceDE w:val="0"/>
              <w:autoSpaceDN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kern w:val="0"/>
                <w:sz w:val="21"/>
                <w:szCs w:val="21"/>
              </w:rPr>
            </w:pPr>
            <w:r>
              <w:rPr>
                <w:rFonts w:hint="default" w:ascii="Times New Roman" w:hAnsi="Times New Roman" w:eastAsia="宋体" w:cs="Times New Roman"/>
                <w:b/>
                <w:bCs/>
                <w:color w:val="auto"/>
                <w:kern w:val="0"/>
                <w:sz w:val="21"/>
                <w:szCs w:val="21"/>
              </w:rPr>
              <w:t>专项评价</w:t>
            </w:r>
          </w:p>
          <w:p w14:paraId="4EAE61BA">
            <w:pPr>
              <w:keepNext w:val="0"/>
              <w:keepLines w:val="0"/>
              <w:suppressLineNumbers w:val="0"/>
              <w:autoSpaceDE w:val="0"/>
              <w:autoSpaceDN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kern w:val="0"/>
                <w:sz w:val="21"/>
                <w:szCs w:val="21"/>
              </w:rPr>
            </w:pPr>
            <w:r>
              <w:rPr>
                <w:rFonts w:hint="default" w:ascii="Times New Roman" w:hAnsi="Times New Roman" w:eastAsia="宋体" w:cs="Times New Roman"/>
                <w:b/>
                <w:bCs/>
                <w:color w:val="auto"/>
                <w:kern w:val="0"/>
                <w:sz w:val="21"/>
                <w:szCs w:val="21"/>
              </w:rPr>
              <w:t>设置情况</w:t>
            </w:r>
          </w:p>
        </w:tc>
        <w:tc>
          <w:tcPr>
            <w:tcW w:w="7165" w:type="dxa"/>
            <w:gridSpan w:val="3"/>
            <w:vAlign w:val="center"/>
          </w:tcPr>
          <w:p w14:paraId="2BD6CF52">
            <w:pPr>
              <w:keepNext w:val="0"/>
              <w:keepLines w:val="0"/>
              <w:suppressLineNumbers w:val="0"/>
              <w:autoSpaceDE w:val="0"/>
              <w:autoSpaceDN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无</w:t>
            </w:r>
          </w:p>
        </w:tc>
      </w:tr>
      <w:tr w14:paraId="1B390A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1723" w:type="dxa"/>
            <w:gridSpan w:val="2"/>
            <w:vAlign w:val="center"/>
          </w:tcPr>
          <w:p w14:paraId="4297BC94">
            <w:pPr>
              <w:keepNext w:val="0"/>
              <w:keepLines w:val="0"/>
              <w:suppressLineNumbers w:val="0"/>
              <w:spacing w:before="0" w:beforeAutospacing="0" w:after="0" w:afterAutospacing="0"/>
              <w:ind w:left="0" w:right="0"/>
              <w:rPr>
                <w:rFonts w:hint="default"/>
                <w:color w:val="auto"/>
              </w:rPr>
            </w:pPr>
            <w:r>
              <w:rPr>
                <w:rFonts w:hint="default" w:ascii="Times New Roman" w:hAnsi="Times New Roman" w:eastAsia="宋体" w:cs="Times New Roman"/>
                <w:b/>
                <w:bCs/>
                <w:color w:val="auto"/>
                <w:kern w:val="0"/>
                <w:sz w:val="21"/>
                <w:szCs w:val="21"/>
              </w:rPr>
              <w:t>规划情况</w:t>
            </w:r>
          </w:p>
        </w:tc>
        <w:tc>
          <w:tcPr>
            <w:tcW w:w="7165" w:type="dxa"/>
            <w:gridSpan w:val="3"/>
            <w:vAlign w:val="center"/>
          </w:tcPr>
          <w:p w14:paraId="3B868CF3">
            <w:pPr>
              <w:keepNext w:val="0"/>
              <w:keepLines w:val="0"/>
              <w:numPr>
                <w:ilvl w:val="0"/>
                <w:numId w:val="4"/>
              </w:numPr>
              <w:suppressLineNumbers w:val="0"/>
              <w:autoSpaceDE w:val="0"/>
              <w:autoSpaceDN w:val="0"/>
              <w:adjustRightInd w:val="0"/>
              <w:snapToGrid w:val="0"/>
              <w:spacing w:before="0" w:beforeLines="-2147483648" w:beforeAutospacing="0" w:after="0" w:afterAutospacing="0" w:line="360" w:lineRule="auto"/>
              <w:ind w:left="0" w:leftChars="0" w:right="0" w:rightChars="0" w:firstLine="0" w:firstLineChars="0"/>
              <w:rPr>
                <w:rFonts w:hint="eastAsia"/>
                <w:color w:val="auto"/>
                <w:sz w:val="21"/>
                <w:szCs w:val="21"/>
                <w:lang w:val="en-US" w:eastAsia="zh-CN"/>
              </w:rPr>
            </w:pPr>
            <w:r>
              <w:rPr>
                <w:rFonts w:hint="eastAsia"/>
                <w:color w:val="auto"/>
                <w:sz w:val="21"/>
                <w:szCs w:val="21"/>
                <w:lang w:eastAsia="zh-CN"/>
              </w:rPr>
              <w:t>《</w:t>
            </w:r>
            <w:r>
              <w:rPr>
                <w:rFonts w:hint="eastAsia"/>
                <w:color w:val="auto"/>
                <w:sz w:val="21"/>
                <w:szCs w:val="21"/>
              </w:rPr>
              <w:t>淮安市淮阴区新渡</w:t>
            </w:r>
            <w:r>
              <w:rPr>
                <w:rFonts w:hint="eastAsia"/>
                <w:color w:val="auto"/>
                <w:sz w:val="21"/>
                <w:szCs w:val="21"/>
                <w:lang w:eastAsia="zh-CN"/>
              </w:rPr>
              <w:t>工业集中区</w:t>
            </w:r>
            <w:r>
              <w:rPr>
                <w:rFonts w:hint="eastAsia"/>
                <w:color w:val="auto"/>
                <w:sz w:val="21"/>
                <w:szCs w:val="21"/>
              </w:rPr>
              <w:t>规划》</w:t>
            </w:r>
          </w:p>
          <w:p w14:paraId="3844C8F8">
            <w:pPr>
              <w:keepNext w:val="0"/>
              <w:keepLines w:val="0"/>
              <w:numPr>
                <w:ilvl w:val="0"/>
                <w:numId w:val="4"/>
              </w:numPr>
              <w:suppressLineNumbers w:val="0"/>
              <w:autoSpaceDE w:val="0"/>
              <w:autoSpaceDN w:val="0"/>
              <w:adjustRightInd w:val="0"/>
              <w:snapToGrid w:val="0"/>
              <w:spacing w:before="0" w:beforeLines="-2147483648" w:beforeAutospacing="0" w:after="0" w:afterAutospacing="0" w:line="360" w:lineRule="auto"/>
              <w:ind w:left="0" w:leftChars="0" w:right="0" w:rightChars="0" w:firstLine="0" w:firstLineChars="0"/>
              <w:rPr>
                <w:rFonts w:hint="eastAsia"/>
                <w:color w:val="auto"/>
                <w:sz w:val="21"/>
                <w:szCs w:val="21"/>
                <w:lang w:val="en-US" w:eastAsia="zh-CN"/>
              </w:rPr>
            </w:pPr>
            <w:r>
              <w:rPr>
                <w:rFonts w:hint="eastAsia"/>
                <w:color w:val="auto"/>
                <w:sz w:val="21"/>
                <w:szCs w:val="21"/>
                <w:lang w:eastAsia="zh-CN"/>
              </w:rPr>
              <w:t>《</w:t>
            </w:r>
            <w:r>
              <w:rPr>
                <w:rFonts w:hint="eastAsia"/>
                <w:color w:val="auto"/>
                <w:sz w:val="21"/>
                <w:szCs w:val="21"/>
              </w:rPr>
              <w:t>淮安市淮阴区新渡</w:t>
            </w:r>
            <w:r>
              <w:rPr>
                <w:rFonts w:hint="eastAsia"/>
                <w:color w:val="auto"/>
                <w:sz w:val="21"/>
                <w:szCs w:val="21"/>
                <w:lang w:eastAsia="zh-CN"/>
              </w:rPr>
              <w:t>工业集中区扩区</w:t>
            </w:r>
            <w:r>
              <w:rPr>
                <w:rFonts w:hint="eastAsia"/>
                <w:color w:val="auto"/>
                <w:sz w:val="21"/>
                <w:szCs w:val="21"/>
              </w:rPr>
              <w:t>规划》</w:t>
            </w:r>
          </w:p>
          <w:p w14:paraId="55A16E7E">
            <w:pPr>
              <w:keepNext w:val="0"/>
              <w:keepLines w:val="0"/>
              <w:numPr>
                <w:ilvl w:val="0"/>
                <w:numId w:val="4"/>
              </w:numPr>
              <w:suppressLineNumbers w:val="0"/>
              <w:autoSpaceDE w:val="0"/>
              <w:autoSpaceDN w:val="0"/>
              <w:adjustRightInd w:val="0"/>
              <w:snapToGrid w:val="0"/>
              <w:spacing w:before="0" w:beforeLines="-2147483648" w:beforeAutospacing="0" w:after="0" w:afterAutospacing="0" w:line="360" w:lineRule="auto"/>
              <w:ind w:left="0" w:leftChars="0" w:right="0" w:rightChars="0" w:firstLine="0" w:firstLineChars="0"/>
              <w:rPr>
                <w:rFonts w:hint="default"/>
                <w:color w:val="auto"/>
                <w:sz w:val="21"/>
                <w:szCs w:val="21"/>
                <w:lang w:val="en-US" w:eastAsia="zh-CN"/>
              </w:rPr>
            </w:pPr>
            <w:r>
              <w:rPr>
                <w:rFonts w:hint="eastAsia"/>
                <w:color w:val="auto"/>
                <w:sz w:val="21"/>
                <w:szCs w:val="21"/>
              </w:rPr>
              <w:t>《淮安高新技术产业开发区开发建设规划（2023-2035年）》</w:t>
            </w:r>
          </w:p>
        </w:tc>
      </w:tr>
      <w:tr w14:paraId="0DFB17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1935" w:hRule="atLeast"/>
          <w:jc w:val="center"/>
        </w:trPr>
        <w:tc>
          <w:tcPr>
            <w:tcW w:w="1723" w:type="dxa"/>
            <w:gridSpan w:val="2"/>
            <w:vAlign w:val="center"/>
          </w:tcPr>
          <w:p w14:paraId="1B24FE5B">
            <w:pPr>
              <w:keepNext w:val="0"/>
              <w:keepLines w:val="0"/>
              <w:suppressLineNumbers w:val="0"/>
              <w:autoSpaceDE w:val="0"/>
              <w:autoSpaceDN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rPr>
            </w:pPr>
            <w:r>
              <w:rPr>
                <w:rFonts w:hint="default" w:ascii="Times New Roman" w:hAnsi="Times New Roman" w:eastAsia="宋体" w:cs="Times New Roman"/>
                <w:b/>
                <w:bCs/>
                <w:color w:val="auto"/>
              </w:rPr>
              <w:t>规划环境影响评价情况</w:t>
            </w:r>
          </w:p>
        </w:tc>
        <w:tc>
          <w:tcPr>
            <w:tcW w:w="7165" w:type="dxa"/>
            <w:gridSpan w:val="3"/>
            <w:vAlign w:val="center"/>
          </w:tcPr>
          <w:p w14:paraId="0DD64464">
            <w:pPr>
              <w:keepNext w:val="0"/>
              <w:keepLines w:val="0"/>
              <w:pageBreakBefore w:val="0"/>
              <w:widowControl w:val="0"/>
              <w:suppressLineNumbers w:val="0"/>
              <w:kinsoku/>
              <w:wordWrap/>
              <w:overflowPunct/>
              <w:topLinePunct w:val="0"/>
              <w:autoSpaceDE w:val="0"/>
              <w:autoSpaceDN w:val="0"/>
              <w:bidi w:val="0"/>
              <w:adjustRightInd w:val="0"/>
              <w:snapToGrid w:val="0"/>
              <w:spacing w:before="0" w:beforeLines="-2147483648" w:beforeAutospacing="0" w:after="0" w:afterAutospacing="0" w:line="360" w:lineRule="auto"/>
              <w:ind w:left="0" w:leftChars="0" w:right="0" w:firstLine="0" w:firstLineChars="0"/>
              <w:textAlignment w:val="auto"/>
              <w:rPr>
                <w:rFonts w:hint="default" w:ascii="Times New Roman" w:hAnsi="Times New Roman" w:eastAsia="宋体"/>
                <w:b w:val="0"/>
                <w:bCs w:val="0"/>
                <w:color w:val="auto"/>
                <w:sz w:val="21"/>
                <w:szCs w:val="21"/>
                <w:lang w:val="en-US" w:eastAsia="zh-CN"/>
              </w:rPr>
            </w:pPr>
            <w:r>
              <w:rPr>
                <w:rFonts w:hint="eastAsia"/>
                <w:b w:val="0"/>
                <w:bCs w:val="0"/>
                <w:color w:val="auto"/>
                <w:sz w:val="21"/>
                <w:szCs w:val="21"/>
                <w:lang w:val="en-US" w:eastAsia="zh-CN"/>
              </w:rPr>
              <w:t>1、</w:t>
            </w:r>
            <w:r>
              <w:rPr>
                <w:rFonts w:hint="eastAsia" w:cs="Times New Roman"/>
                <w:b w:val="0"/>
                <w:bCs/>
                <w:color w:val="auto"/>
                <w:kern w:val="0"/>
                <w:sz w:val="21"/>
                <w:szCs w:val="21"/>
                <w:lang w:val="en-US" w:eastAsia="zh-CN"/>
              </w:rPr>
              <w:t>淮安市淮阴区新渡工业集中区规划环评</w:t>
            </w:r>
          </w:p>
          <w:p w14:paraId="38B30DDD">
            <w:pPr>
              <w:keepNext w:val="0"/>
              <w:keepLines w:val="0"/>
              <w:pageBreakBefore w:val="0"/>
              <w:widowControl w:val="0"/>
              <w:suppressLineNumbers w:val="0"/>
              <w:kinsoku/>
              <w:wordWrap/>
              <w:overflowPunct/>
              <w:topLinePunct w:val="0"/>
              <w:autoSpaceDE w:val="0"/>
              <w:autoSpaceDN w:val="0"/>
              <w:bidi w:val="0"/>
              <w:adjustRightInd w:val="0"/>
              <w:snapToGrid w:val="0"/>
              <w:spacing w:before="0" w:beforeLines="-2147483648" w:beforeAutospacing="0" w:after="0" w:afterAutospacing="0" w:line="360" w:lineRule="auto"/>
              <w:ind w:left="0" w:leftChars="0" w:right="0" w:firstLine="420" w:firstLineChars="200"/>
              <w:textAlignment w:val="auto"/>
              <w:rPr>
                <w:rFonts w:hint="default" w:ascii="Times New Roman" w:hAnsi="Times New Roman" w:eastAsia="宋体"/>
                <w:b w:val="0"/>
                <w:bCs w:val="0"/>
                <w:color w:val="auto"/>
                <w:sz w:val="21"/>
                <w:szCs w:val="21"/>
                <w:lang w:eastAsia="zh-CN"/>
              </w:rPr>
            </w:pPr>
            <w:r>
              <w:rPr>
                <w:rFonts w:hint="default" w:ascii="Times New Roman" w:hAnsi="Times New Roman" w:eastAsia="宋体"/>
                <w:b w:val="0"/>
                <w:bCs w:val="0"/>
                <w:color w:val="auto"/>
                <w:sz w:val="21"/>
                <w:szCs w:val="21"/>
                <w:lang w:eastAsia="zh-CN"/>
              </w:rPr>
              <w:t>规划环境影响评价文件名称：</w:t>
            </w:r>
            <w:r>
              <w:rPr>
                <w:rFonts w:hint="eastAsia" w:cs="Times New Roman"/>
                <w:b w:val="0"/>
                <w:bCs/>
                <w:color w:val="auto"/>
                <w:kern w:val="0"/>
                <w:sz w:val="21"/>
                <w:szCs w:val="21"/>
                <w:lang w:val="en-US" w:eastAsia="zh-CN"/>
              </w:rPr>
              <w:t>《淮安市淮阴区新渡工业集中区环境影响报告书》</w:t>
            </w:r>
            <w:r>
              <w:rPr>
                <w:rFonts w:hint="default" w:ascii="Times New Roman" w:hAnsi="Times New Roman" w:eastAsia="宋体"/>
                <w:b w:val="0"/>
                <w:bCs w:val="0"/>
                <w:color w:val="auto"/>
                <w:sz w:val="21"/>
                <w:szCs w:val="21"/>
                <w:lang w:eastAsia="zh-CN"/>
              </w:rPr>
              <w:t>；</w:t>
            </w:r>
          </w:p>
          <w:p w14:paraId="66AB1A0B">
            <w:pPr>
              <w:keepNext w:val="0"/>
              <w:keepLines w:val="0"/>
              <w:pageBreakBefore w:val="0"/>
              <w:widowControl w:val="0"/>
              <w:suppressLineNumbers w:val="0"/>
              <w:kinsoku/>
              <w:wordWrap/>
              <w:overflowPunct/>
              <w:topLinePunct w:val="0"/>
              <w:autoSpaceDE w:val="0"/>
              <w:autoSpaceDN w:val="0"/>
              <w:bidi w:val="0"/>
              <w:adjustRightInd w:val="0"/>
              <w:snapToGrid w:val="0"/>
              <w:spacing w:before="0" w:beforeLines="-2147483648" w:beforeAutospacing="0" w:after="0" w:afterAutospacing="0" w:line="360" w:lineRule="auto"/>
              <w:ind w:left="0" w:leftChars="0" w:right="0" w:firstLine="420" w:firstLineChars="200"/>
              <w:textAlignment w:val="auto"/>
              <w:rPr>
                <w:rFonts w:hint="default" w:ascii="Times New Roman" w:hAnsi="Times New Roman" w:eastAsia="宋体"/>
                <w:b w:val="0"/>
                <w:bCs w:val="0"/>
                <w:color w:val="auto"/>
                <w:sz w:val="21"/>
                <w:szCs w:val="21"/>
                <w:lang w:eastAsia="zh-CN"/>
              </w:rPr>
            </w:pPr>
            <w:r>
              <w:rPr>
                <w:rFonts w:hint="default" w:ascii="Times New Roman" w:hAnsi="Times New Roman" w:eastAsia="宋体"/>
                <w:b w:val="0"/>
                <w:bCs w:val="0"/>
                <w:color w:val="auto"/>
                <w:sz w:val="21"/>
                <w:szCs w:val="21"/>
                <w:lang w:eastAsia="zh-CN"/>
              </w:rPr>
              <w:t>召集审查机关：淮安市生态环境局；</w:t>
            </w:r>
          </w:p>
          <w:p w14:paraId="3A1829F1">
            <w:pPr>
              <w:keepNext w:val="0"/>
              <w:keepLines w:val="0"/>
              <w:pageBreakBefore w:val="0"/>
              <w:widowControl w:val="0"/>
              <w:suppressLineNumbers w:val="0"/>
              <w:kinsoku/>
              <w:wordWrap/>
              <w:overflowPunct/>
              <w:topLinePunct w:val="0"/>
              <w:autoSpaceDE w:val="0"/>
              <w:autoSpaceDN w:val="0"/>
              <w:bidi w:val="0"/>
              <w:adjustRightInd w:val="0"/>
              <w:snapToGrid w:val="0"/>
              <w:spacing w:before="0" w:beforeLines="-2147483648" w:beforeAutospacing="0" w:after="0" w:afterAutospacing="0" w:line="360" w:lineRule="auto"/>
              <w:ind w:left="0" w:leftChars="0" w:right="0" w:firstLine="420" w:firstLineChars="200"/>
              <w:textAlignment w:val="auto"/>
              <w:rPr>
                <w:rFonts w:hint="default" w:ascii="Times New Roman" w:hAnsi="Times New Roman" w:eastAsia="宋体"/>
                <w:b w:val="0"/>
                <w:bCs w:val="0"/>
                <w:color w:val="auto"/>
                <w:sz w:val="21"/>
                <w:szCs w:val="21"/>
                <w:lang w:eastAsia="zh-CN"/>
              </w:rPr>
            </w:pPr>
            <w:r>
              <w:rPr>
                <w:rFonts w:hint="default" w:ascii="Times New Roman" w:hAnsi="Times New Roman" w:eastAsia="宋体"/>
                <w:b w:val="0"/>
                <w:bCs w:val="0"/>
                <w:color w:val="auto"/>
                <w:sz w:val="21"/>
                <w:szCs w:val="21"/>
                <w:lang w:eastAsia="zh-CN"/>
              </w:rPr>
              <w:t>审查文件名称：《关于淮安市淮阴区新渡工业集中区环境影响报告书的批复》</w:t>
            </w:r>
          </w:p>
          <w:p w14:paraId="4548B509">
            <w:pPr>
              <w:keepNext w:val="0"/>
              <w:keepLines w:val="0"/>
              <w:pageBreakBefore w:val="0"/>
              <w:widowControl w:val="0"/>
              <w:suppressLineNumbers w:val="0"/>
              <w:kinsoku/>
              <w:wordWrap/>
              <w:overflowPunct/>
              <w:topLinePunct w:val="0"/>
              <w:autoSpaceDE w:val="0"/>
              <w:autoSpaceDN w:val="0"/>
              <w:bidi w:val="0"/>
              <w:adjustRightInd w:val="0"/>
              <w:snapToGrid w:val="0"/>
              <w:spacing w:before="0" w:beforeLines="-2147483648" w:beforeAutospacing="0" w:after="0" w:afterAutospacing="0" w:line="360" w:lineRule="auto"/>
              <w:ind w:left="0" w:leftChars="0" w:right="0" w:firstLine="420" w:firstLineChars="200"/>
              <w:textAlignment w:val="auto"/>
              <w:rPr>
                <w:rFonts w:hint="default" w:ascii="Times New Roman" w:hAnsi="Times New Roman" w:eastAsia="宋体"/>
                <w:b w:val="0"/>
                <w:bCs w:val="0"/>
                <w:color w:val="auto"/>
                <w:sz w:val="21"/>
                <w:szCs w:val="21"/>
                <w:lang w:eastAsia="zh-CN"/>
              </w:rPr>
            </w:pPr>
            <w:r>
              <w:rPr>
                <w:rFonts w:hint="default" w:ascii="Times New Roman" w:hAnsi="Times New Roman" w:eastAsia="宋体"/>
                <w:b w:val="0"/>
                <w:bCs w:val="0"/>
                <w:color w:val="auto"/>
                <w:sz w:val="21"/>
                <w:szCs w:val="21"/>
                <w:lang w:eastAsia="zh-CN"/>
              </w:rPr>
              <w:t>审查文件文号：</w:t>
            </w:r>
            <w:r>
              <w:rPr>
                <w:rFonts w:hint="eastAsia" w:cs="Times New Roman"/>
                <w:b w:val="0"/>
                <w:bCs/>
                <w:color w:val="auto"/>
                <w:kern w:val="0"/>
                <w:sz w:val="21"/>
                <w:szCs w:val="21"/>
                <w:lang w:val="en-US" w:eastAsia="zh-CN"/>
              </w:rPr>
              <w:t>淮环发[2010]29号</w:t>
            </w:r>
          </w:p>
          <w:p w14:paraId="4391B413">
            <w:pPr>
              <w:keepNext w:val="0"/>
              <w:keepLines w:val="0"/>
              <w:pageBreakBefore w:val="0"/>
              <w:widowControl w:val="0"/>
              <w:suppressLineNumbers w:val="0"/>
              <w:kinsoku/>
              <w:wordWrap/>
              <w:overflowPunct/>
              <w:topLinePunct w:val="0"/>
              <w:autoSpaceDE w:val="0"/>
              <w:autoSpaceDN w:val="0"/>
              <w:bidi w:val="0"/>
              <w:adjustRightInd w:val="0"/>
              <w:snapToGrid w:val="0"/>
              <w:spacing w:before="0" w:beforeLines="-2147483648" w:beforeAutospacing="0" w:after="0" w:afterAutospacing="0" w:line="360" w:lineRule="auto"/>
              <w:ind w:left="0" w:leftChars="0" w:right="0" w:firstLine="0" w:firstLineChars="0"/>
              <w:textAlignment w:val="auto"/>
              <w:rPr>
                <w:rFonts w:hint="default" w:ascii="Times New Roman" w:hAnsi="Times New Roman" w:eastAsia="宋体"/>
                <w:b w:val="0"/>
                <w:bCs w:val="0"/>
                <w:color w:val="auto"/>
                <w:sz w:val="21"/>
                <w:szCs w:val="21"/>
                <w:lang w:val="en-US" w:eastAsia="zh-CN"/>
              </w:rPr>
            </w:pPr>
            <w:r>
              <w:rPr>
                <w:rFonts w:hint="eastAsia"/>
                <w:b w:val="0"/>
                <w:bCs w:val="0"/>
                <w:color w:val="auto"/>
                <w:sz w:val="21"/>
                <w:szCs w:val="21"/>
                <w:lang w:val="en-US" w:eastAsia="zh-CN"/>
              </w:rPr>
              <w:t>2、</w:t>
            </w:r>
            <w:r>
              <w:rPr>
                <w:rFonts w:hint="default" w:ascii="Times New Roman" w:hAnsi="Times New Roman" w:eastAsia="宋体"/>
                <w:b w:val="0"/>
                <w:bCs w:val="0"/>
                <w:color w:val="auto"/>
                <w:sz w:val="21"/>
                <w:szCs w:val="21"/>
                <w:lang w:eastAsia="zh-CN"/>
              </w:rPr>
              <w:t>淮安市淮阴区新渡工业集中区扩区</w:t>
            </w:r>
            <w:r>
              <w:rPr>
                <w:rFonts w:hint="eastAsia"/>
                <w:b w:val="0"/>
                <w:bCs w:val="0"/>
                <w:color w:val="auto"/>
                <w:sz w:val="21"/>
                <w:szCs w:val="21"/>
                <w:lang w:eastAsia="zh-CN"/>
              </w:rPr>
              <w:t>规划环评</w:t>
            </w:r>
          </w:p>
          <w:p w14:paraId="56B2DA68">
            <w:pPr>
              <w:keepNext w:val="0"/>
              <w:keepLines w:val="0"/>
              <w:pageBreakBefore w:val="0"/>
              <w:widowControl w:val="0"/>
              <w:suppressLineNumbers w:val="0"/>
              <w:kinsoku/>
              <w:wordWrap/>
              <w:overflowPunct/>
              <w:topLinePunct w:val="0"/>
              <w:autoSpaceDE w:val="0"/>
              <w:autoSpaceDN w:val="0"/>
              <w:bidi w:val="0"/>
              <w:adjustRightInd w:val="0"/>
              <w:snapToGrid w:val="0"/>
              <w:spacing w:before="0" w:beforeLines="-2147483648" w:beforeAutospacing="0" w:after="0" w:afterAutospacing="0" w:line="360" w:lineRule="auto"/>
              <w:ind w:left="0" w:leftChars="0" w:right="0" w:firstLine="420" w:firstLineChars="200"/>
              <w:textAlignment w:val="auto"/>
              <w:rPr>
                <w:rFonts w:hint="default" w:ascii="Times New Roman" w:hAnsi="Times New Roman" w:eastAsia="宋体"/>
                <w:b w:val="0"/>
                <w:bCs w:val="0"/>
                <w:color w:val="auto"/>
                <w:sz w:val="21"/>
                <w:szCs w:val="21"/>
                <w:lang w:eastAsia="zh-CN"/>
              </w:rPr>
            </w:pPr>
            <w:r>
              <w:rPr>
                <w:rFonts w:hint="default" w:ascii="Times New Roman" w:hAnsi="Times New Roman" w:eastAsia="宋体"/>
                <w:b w:val="0"/>
                <w:bCs w:val="0"/>
                <w:color w:val="auto"/>
                <w:sz w:val="21"/>
                <w:szCs w:val="21"/>
                <w:lang w:eastAsia="zh-CN"/>
              </w:rPr>
              <w:t>规划环境影响评价文件名称：《淮安市淮阴区新渡工业集中区扩区环境影响报告书》；</w:t>
            </w:r>
          </w:p>
          <w:p w14:paraId="4EF501E8">
            <w:pPr>
              <w:keepNext w:val="0"/>
              <w:keepLines w:val="0"/>
              <w:pageBreakBefore w:val="0"/>
              <w:widowControl w:val="0"/>
              <w:suppressLineNumbers w:val="0"/>
              <w:kinsoku/>
              <w:wordWrap/>
              <w:overflowPunct/>
              <w:topLinePunct w:val="0"/>
              <w:autoSpaceDE w:val="0"/>
              <w:autoSpaceDN w:val="0"/>
              <w:bidi w:val="0"/>
              <w:adjustRightInd w:val="0"/>
              <w:snapToGrid w:val="0"/>
              <w:spacing w:before="0" w:beforeLines="-2147483648" w:beforeAutospacing="0" w:after="0" w:afterAutospacing="0" w:line="360" w:lineRule="auto"/>
              <w:ind w:left="0" w:leftChars="0" w:right="0" w:firstLine="420" w:firstLineChars="200"/>
              <w:textAlignment w:val="auto"/>
              <w:rPr>
                <w:rFonts w:hint="default" w:ascii="Times New Roman" w:hAnsi="Times New Roman" w:eastAsia="宋体"/>
                <w:b w:val="0"/>
                <w:bCs w:val="0"/>
                <w:color w:val="auto"/>
                <w:sz w:val="21"/>
                <w:szCs w:val="21"/>
                <w:lang w:eastAsia="zh-CN"/>
              </w:rPr>
            </w:pPr>
            <w:r>
              <w:rPr>
                <w:rFonts w:hint="default" w:ascii="Times New Roman" w:hAnsi="Times New Roman" w:eastAsia="宋体"/>
                <w:b w:val="0"/>
                <w:bCs w:val="0"/>
                <w:color w:val="auto"/>
                <w:sz w:val="21"/>
                <w:szCs w:val="21"/>
                <w:lang w:eastAsia="zh-CN"/>
              </w:rPr>
              <w:t>召集审查机关：淮安市生态环境局；</w:t>
            </w:r>
          </w:p>
          <w:p w14:paraId="0C1D7D8C">
            <w:pPr>
              <w:keepNext w:val="0"/>
              <w:keepLines w:val="0"/>
              <w:pageBreakBefore w:val="0"/>
              <w:widowControl w:val="0"/>
              <w:suppressLineNumbers w:val="0"/>
              <w:kinsoku/>
              <w:wordWrap/>
              <w:overflowPunct/>
              <w:topLinePunct w:val="0"/>
              <w:autoSpaceDE w:val="0"/>
              <w:autoSpaceDN w:val="0"/>
              <w:bidi w:val="0"/>
              <w:adjustRightInd w:val="0"/>
              <w:snapToGrid w:val="0"/>
              <w:spacing w:before="0" w:beforeLines="-2147483648" w:beforeAutospacing="0" w:after="0" w:afterAutospacing="0" w:line="360" w:lineRule="auto"/>
              <w:ind w:left="0" w:leftChars="0" w:right="0" w:firstLine="420" w:firstLineChars="200"/>
              <w:textAlignment w:val="auto"/>
              <w:rPr>
                <w:rFonts w:hint="default" w:ascii="Times New Roman" w:hAnsi="Times New Roman" w:eastAsia="宋体"/>
                <w:b w:val="0"/>
                <w:bCs w:val="0"/>
                <w:color w:val="auto"/>
                <w:sz w:val="21"/>
                <w:szCs w:val="21"/>
                <w:lang w:eastAsia="zh-CN"/>
              </w:rPr>
            </w:pPr>
            <w:r>
              <w:rPr>
                <w:rFonts w:hint="default" w:ascii="Times New Roman" w:hAnsi="Times New Roman" w:eastAsia="宋体"/>
                <w:b w:val="0"/>
                <w:bCs w:val="0"/>
                <w:color w:val="auto"/>
                <w:sz w:val="21"/>
                <w:szCs w:val="21"/>
                <w:lang w:eastAsia="zh-CN"/>
              </w:rPr>
              <w:t>审查文件名称：《关于对淮安市淮阴区新渡工业集中区扩区环境影响报告书的批复》</w:t>
            </w:r>
          </w:p>
          <w:p w14:paraId="16C1A29A">
            <w:pPr>
              <w:keepNext w:val="0"/>
              <w:keepLines w:val="0"/>
              <w:pageBreakBefore w:val="0"/>
              <w:widowControl w:val="0"/>
              <w:suppressLineNumbers w:val="0"/>
              <w:kinsoku/>
              <w:wordWrap/>
              <w:overflowPunct/>
              <w:topLinePunct w:val="0"/>
              <w:autoSpaceDE w:val="0"/>
              <w:autoSpaceDN w:val="0"/>
              <w:bidi w:val="0"/>
              <w:adjustRightInd w:val="0"/>
              <w:snapToGrid w:val="0"/>
              <w:spacing w:before="0" w:beforeLines="-2147483648" w:beforeAutospacing="0" w:after="0" w:afterAutospacing="0" w:line="360" w:lineRule="auto"/>
              <w:ind w:left="0" w:leftChars="0" w:right="0" w:firstLine="420" w:firstLineChars="200"/>
              <w:textAlignment w:val="auto"/>
              <w:rPr>
                <w:rFonts w:hint="default" w:ascii="Times New Roman" w:hAnsi="Times New Roman" w:eastAsia="宋体"/>
                <w:b w:val="0"/>
                <w:bCs w:val="0"/>
                <w:color w:val="auto"/>
                <w:sz w:val="21"/>
                <w:szCs w:val="21"/>
                <w:lang w:eastAsia="zh-CN"/>
              </w:rPr>
            </w:pPr>
            <w:r>
              <w:rPr>
                <w:rFonts w:hint="default" w:ascii="Times New Roman" w:hAnsi="Times New Roman" w:eastAsia="宋体"/>
                <w:b w:val="0"/>
                <w:bCs w:val="0"/>
                <w:color w:val="auto"/>
                <w:sz w:val="21"/>
                <w:szCs w:val="21"/>
                <w:lang w:eastAsia="zh-CN"/>
              </w:rPr>
              <w:t>审查文件文号：淮环发[2011]125号</w:t>
            </w:r>
          </w:p>
          <w:p w14:paraId="62F903EC">
            <w:pPr>
              <w:keepNext w:val="0"/>
              <w:keepLines w:val="0"/>
              <w:pageBreakBefore w:val="0"/>
              <w:widowControl w:val="0"/>
              <w:suppressLineNumbers w:val="0"/>
              <w:kinsoku/>
              <w:wordWrap/>
              <w:overflowPunct/>
              <w:topLinePunct w:val="0"/>
              <w:autoSpaceDE w:val="0"/>
              <w:autoSpaceDN w:val="0"/>
              <w:bidi w:val="0"/>
              <w:adjustRightInd w:val="0"/>
              <w:snapToGrid w:val="0"/>
              <w:spacing w:before="0" w:beforeLines="-2147483648" w:beforeAutospacing="0" w:after="0" w:afterAutospacing="0" w:line="360" w:lineRule="auto"/>
              <w:ind w:left="0" w:leftChars="0" w:right="0" w:firstLine="0" w:firstLineChars="0"/>
              <w:textAlignment w:val="auto"/>
              <w:rPr>
                <w:rFonts w:hint="default" w:cs="Times New Roman"/>
                <w:b w:val="0"/>
                <w:bCs w:val="0"/>
                <w:color w:val="auto"/>
                <w:sz w:val="21"/>
                <w:szCs w:val="21"/>
                <w:lang w:val="en-US" w:eastAsia="zh-CN"/>
              </w:rPr>
            </w:pPr>
            <w:r>
              <w:rPr>
                <w:rFonts w:hint="eastAsia" w:cs="Times New Roman"/>
                <w:b w:val="0"/>
                <w:bCs w:val="0"/>
                <w:color w:val="auto"/>
                <w:sz w:val="21"/>
                <w:szCs w:val="21"/>
                <w:lang w:val="en-US" w:eastAsia="zh-CN"/>
              </w:rPr>
              <w:t>3、淮安高新技术产业开发区规划环评</w:t>
            </w:r>
          </w:p>
          <w:p w14:paraId="68CEFFC3">
            <w:pPr>
              <w:keepNext w:val="0"/>
              <w:keepLines w:val="0"/>
              <w:pageBreakBefore w:val="0"/>
              <w:widowControl w:val="0"/>
              <w:suppressLineNumbers w:val="0"/>
              <w:kinsoku/>
              <w:wordWrap/>
              <w:overflowPunct/>
              <w:topLinePunct w:val="0"/>
              <w:autoSpaceDE w:val="0"/>
              <w:autoSpaceDN w:val="0"/>
              <w:bidi w:val="0"/>
              <w:adjustRightInd w:val="0"/>
              <w:snapToGrid w:val="0"/>
              <w:spacing w:before="0" w:beforeLines="-2147483648" w:beforeAutospacing="0" w:after="0" w:afterAutospacing="0" w:line="360" w:lineRule="auto"/>
              <w:ind w:left="0" w:leftChars="0" w:right="0" w:firstLine="420" w:firstLineChars="200"/>
              <w:textAlignment w:val="auto"/>
              <w:rPr>
                <w:rFonts w:hint="default" w:ascii="Times New Roman" w:hAnsi="Times New Roman" w:eastAsia="宋体"/>
                <w:b w:val="0"/>
                <w:bCs w:val="0"/>
                <w:color w:val="auto"/>
                <w:sz w:val="21"/>
                <w:szCs w:val="21"/>
                <w:lang w:eastAsia="zh-CN"/>
              </w:rPr>
            </w:pPr>
            <w:r>
              <w:rPr>
                <w:rFonts w:hint="eastAsia" w:cs="Times New Roman"/>
                <w:b w:val="0"/>
                <w:bCs w:val="0"/>
                <w:color w:val="auto"/>
                <w:sz w:val="21"/>
                <w:szCs w:val="21"/>
                <w:lang w:val="en-US" w:eastAsia="zh-CN"/>
              </w:rPr>
              <w:t>《淮安高新技术产业开发区开发建设规划（2023-2035年）环境影响报告书》</w:t>
            </w:r>
            <w:r>
              <w:rPr>
                <w:rFonts w:hint="eastAsia" w:cs="Times New Roman"/>
                <w:b w:val="0"/>
                <w:bCs w:val="0"/>
                <w:color w:val="auto"/>
                <w:sz w:val="21"/>
                <w:szCs w:val="21"/>
                <w:lang w:val="en-US" w:eastAsia="zh-CN"/>
              </w:rPr>
              <w:t>已上报，目前正在审查过程中</w:t>
            </w:r>
          </w:p>
          <w:p w14:paraId="0684AE8F">
            <w:pPr>
              <w:keepNext w:val="0"/>
              <w:keepLines w:val="0"/>
              <w:pageBreakBefore w:val="0"/>
              <w:widowControl w:val="0"/>
              <w:suppressLineNumbers w:val="0"/>
              <w:kinsoku/>
              <w:wordWrap/>
              <w:overflowPunct/>
              <w:topLinePunct w:val="0"/>
              <w:autoSpaceDE w:val="0"/>
              <w:autoSpaceDN w:val="0"/>
              <w:bidi w:val="0"/>
              <w:adjustRightInd w:val="0"/>
              <w:snapToGrid w:val="0"/>
              <w:spacing w:before="0" w:beforeLines="-2147483648" w:beforeAutospacing="0" w:after="0" w:afterAutospacing="0" w:line="360" w:lineRule="auto"/>
              <w:ind w:left="0" w:leftChars="0" w:right="0" w:firstLine="420" w:firstLineChars="200"/>
              <w:textAlignment w:val="auto"/>
              <w:rPr>
                <w:rFonts w:hint="default" w:ascii="Times New Roman" w:hAnsi="Times New Roman" w:eastAsia="宋体"/>
                <w:b w:val="0"/>
                <w:bCs w:val="0"/>
                <w:color w:val="auto"/>
                <w:sz w:val="21"/>
                <w:szCs w:val="21"/>
                <w:lang w:eastAsia="zh-CN"/>
              </w:rPr>
            </w:pPr>
          </w:p>
          <w:p w14:paraId="665B7394">
            <w:pPr>
              <w:keepNext w:val="0"/>
              <w:keepLines w:val="0"/>
              <w:pageBreakBefore w:val="0"/>
              <w:widowControl w:val="0"/>
              <w:suppressLineNumbers w:val="0"/>
              <w:kinsoku/>
              <w:wordWrap/>
              <w:overflowPunct/>
              <w:topLinePunct w:val="0"/>
              <w:autoSpaceDE w:val="0"/>
              <w:autoSpaceDN w:val="0"/>
              <w:bidi w:val="0"/>
              <w:adjustRightInd w:val="0"/>
              <w:snapToGrid w:val="0"/>
              <w:spacing w:before="0" w:beforeLines="-2147483648" w:beforeAutospacing="0" w:after="0" w:afterAutospacing="0" w:line="360" w:lineRule="auto"/>
              <w:ind w:left="0" w:leftChars="0" w:right="0" w:firstLine="420" w:firstLineChars="200"/>
              <w:textAlignment w:val="auto"/>
              <w:rPr>
                <w:rFonts w:hint="default" w:ascii="Times New Roman" w:hAnsi="Times New Roman" w:eastAsia="宋体"/>
                <w:b w:val="0"/>
                <w:bCs w:val="0"/>
                <w:color w:val="auto"/>
                <w:sz w:val="21"/>
                <w:szCs w:val="21"/>
                <w:lang w:eastAsia="zh-CN"/>
              </w:rPr>
            </w:pPr>
          </w:p>
          <w:p w14:paraId="34CC13FF">
            <w:pPr>
              <w:keepNext w:val="0"/>
              <w:keepLines w:val="0"/>
              <w:pageBreakBefore w:val="0"/>
              <w:widowControl w:val="0"/>
              <w:suppressLineNumbers w:val="0"/>
              <w:kinsoku/>
              <w:wordWrap/>
              <w:overflowPunct/>
              <w:topLinePunct w:val="0"/>
              <w:autoSpaceDE w:val="0"/>
              <w:autoSpaceDN w:val="0"/>
              <w:bidi w:val="0"/>
              <w:adjustRightInd w:val="0"/>
              <w:snapToGrid w:val="0"/>
              <w:spacing w:before="0" w:beforeLines="-2147483648" w:beforeAutospacing="0" w:after="0" w:afterAutospacing="0" w:line="360" w:lineRule="auto"/>
              <w:ind w:left="0" w:leftChars="0" w:right="0" w:firstLine="420" w:firstLineChars="200"/>
              <w:textAlignment w:val="auto"/>
              <w:rPr>
                <w:rFonts w:hint="default" w:ascii="Times New Roman" w:hAnsi="Times New Roman" w:eastAsia="宋体"/>
                <w:b w:val="0"/>
                <w:bCs w:val="0"/>
                <w:color w:val="auto"/>
                <w:sz w:val="21"/>
                <w:szCs w:val="21"/>
                <w:lang w:eastAsia="zh-CN"/>
              </w:rPr>
            </w:pPr>
          </w:p>
          <w:p w14:paraId="46CDD91F">
            <w:pPr>
              <w:keepNext w:val="0"/>
              <w:keepLines w:val="0"/>
              <w:pageBreakBefore w:val="0"/>
              <w:widowControl w:val="0"/>
              <w:suppressLineNumbers w:val="0"/>
              <w:kinsoku/>
              <w:wordWrap/>
              <w:overflowPunct/>
              <w:topLinePunct w:val="0"/>
              <w:autoSpaceDE w:val="0"/>
              <w:autoSpaceDN w:val="0"/>
              <w:bidi w:val="0"/>
              <w:adjustRightInd w:val="0"/>
              <w:snapToGrid w:val="0"/>
              <w:spacing w:before="0" w:beforeLines="-2147483648" w:beforeAutospacing="0" w:after="0" w:afterAutospacing="0" w:line="360" w:lineRule="auto"/>
              <w:ind w:left="0" w:leftChars="0" w:right="0" w:firstLine="420" w:firstLineChars="200"/>
              <w:textAlignment w:val="auto"/>
              <w:rPr>
                <w:rFonts w:hint="default" w:ascii="Times New Roman" w:hAnsi="Times New Roman" w:eastAsia="宋体"/>
                <w:b w:val="0"/>
                <w:bCs w:val="0"/>
                <w:color w:val="auto"/>
                <w:sz w:val="21"/>
                <w:szCs w:val="21"/>
                <w:lang w:eastAsia="zh-CN"/>
              </w:rPr>
            </w:pPr>
          </w:p>
          <w:p w14:paraId="06746BEC">
            <w:pPr>
              <w:keepNext w:val="0"/>
              <w:keepLines w:val="0"/>
              <w:pageBreakBefore w:val="0"/>
              <w:widowControl w:val="0"/>
              <w:suppressLineNumbers w:val="0"/>
              <w:kinsoku/>
              <w:wordWrap/>
              <w:overflowPunct/>
              <w:topLinePunct w:val="0"/>
              <w:autoSpaceDE w:val="0"/>
              <w:autoSpaceDN w:val="0"/>
              <w:bidi w:val="0"/>
              <w:adjustRightInd w:val="0"/>
              <w:snapToGrid w:val="0"/>
              <w:spacing w:before="0" w:beforeLines="-2147483648" w:beforeAutospacing="0" w:after="0" w:afterAutospacing="0" w:line="360" w:lineRule="auto"/>
              <w:ind w:left="0" w:leftChars="0" w:right="0" w:firstLine="420" w:firstLineChars="200"/>
              <w:textAlignment w:val="auto"/>
              <w:rPr>
                <w:rFonts w:hint="default" w:ascii="Times New Roman" w:hAnsi="Times New Roman" w:eastAsia="宋体"/>
                <w:b w:val="0"/>
                <w:bCs w:val="0"/>
                <w:color w:val="auto"/>
                <w:sz w:val="21"/>
                <w:szCs w:val="21"/>
                <w:lang w:eastAsia="zh-CN"/>
              </w:rPr>
            </w:pPr>
          </w:p>
          <w:p w14:paraId="364A92B4">
            <w:pPr>
              <w:keepNext w:val="0"/>
              <w:keepLines w:val="0"/>
              <w:pageBreakBefore w:val="0"/>
              <w:widowControl w:val="0"/>
              <w:suppressLineNumbers w:val="0"/>
              <w:kinsoku/>
              <w:wordWrap/>
              <w:overflowPunct/>
              <w:topLinePunct w:val="0"/>
              <w:autoSpaceDE w:val="0"/>
              <w:autoSpaceDN w:val="0"/>
              <w:bidi w:val="0"/>
              <w:adjustRightInd w:val="0"/>
              <w:snapToGrid w:val="0"/>
              <w:spacing w:before="0" w:beforeLines="-2147483648" w:beforeAutospacing="0" w:after="0" w:afterAutospacing="0" w:line="360" w:lineRule="auto"/>
              <w:ind w:left="0" w:leftChars="0" w:right="0" w:firstLine="420" w:firstLineChars="200"/>
              <w:textAlignment w:val="auto"/>
              <w:rPr>
                <w:rFonts w:hint="default" w:ascii="Times New Roman" w:hAnsi="Times New Roman" w:eastAsia="宋体"/>
                <w:b w:val="0"/>
                <w:bCs w:val="0"/>
                <w:color w:val="auto"/>
                <w:sz w:val="21"/>
                <w:szCs w:val="21"/>
                <w:lang w:eastAsia="zh-CN"/>
              </w:rPr>
            </w:pPr>
          </w:p>
          <w:p w14:paraId="6285803C">
            <w:pPr>
              <w:keepNext w:val="0"/>
              <w:keepLines w:val="0"/>
              <w:pageBreakBefore w:val="0"/>
              <w:widowControl w:val="0"/>
              <w:suppressLineNumbers w:val="0"/>
              <w:kinsoku/>
              <w:wordWrap/>
              <w:overflowPunct/>
              <w:topLinePunct w:val="0"/>
              <w:autoSpaceDE w:val="0"/>
              <w:autoSpaceDN w:val="0"/>
              <w:bidi w:val="0"/>
              <w:adjustRightInd w:val="0"/>
              <w:snapToGrid w:val="0"/>
              <w:spacing w:before="0" w:beforeLines="-2147483648" w:beforeAutospacing="0" w:after="0" w:afterAutospacing="0" w:line="360" w:lineRule="auto"/>
              <w:ind w:left="0" w:leftChars="0" w:right="0" w:firstLine="420" w:firstLineChars="200"/>
              <w:textAlignment w:val="auto"/>
              <w:rPr>
                <w:rFonts w:hint="default" w:ascii="Times New Roman" w:hAnsi="Times New Roman" w:eastAsia="宋体"/>
                <w:b w:val="0"/>
                <w:bCs w:val="0"/>
                <w:color w:val="auto"/>
                <w:sz w:val="21"/>
                <w:szCs w:val="21"/>
                <w:lang w:eastAsia="zh-CN"/>
              </w:rPr>
            </w:pPr>
          </w:p>
          <w:p w14:paraId="33E27CAC">
            <w:pPr>
              <w:keepNext w:val="0"/>
              <w:keepLines w:val="0"/>
              <w:pageBreakBefore w:val="0"/>
              <w:widowControl w:val="0"/>
              <w:suppressLineNumbers w:val="0"/>
              <w:kinsoku/>
              <w:wordWrap/>
              <w:overflowPunct/>
              <w:topLinePunct w:val="0"/>
              <w:autoSpaceDE w:val="0"/>
              <w:autoSpaceDN w:val="0"/>
              <w:bidi w:val="0"/>
              <w:adjustRightInd w:val="0"/>
              <w:snapToGrid w:val="0"/>
              <w:spacing w:before="0" w:beforeLines="-2147483648" w:beforeAutospacing="0" w:after="0" w:afterAutospacing="0" w:line="360" w:lineRule="auto"/>
              <w:ind w:left="0" w:leftChars="0" w:right="0" w:firstLine="420" w:firstLineChars="200"/>
              <w:textAlignment w:val="auto"/>
              <w:rPr>
                <w:rFonts w:hint="default" w:ascii="Times New Roman" w:hAnsi="Times New Roman" w:eastAsia="宋体"/>
                <w:b w:val="0"/>
                <w:bCs w:val="0"/>
                <w:color w:val="auto"/>
                <w:sz w:val="21"/>
                <w:szCs w:val="21"/>
                <w:lang w:eastAsia="zh-CN"/>
              </w:rPr>
            </w:pPr>
          </w:p>
          <w:p w14:paraId="158044CF">
            <w:pPr>
              <w:keepNext w:val="0"/>
              <w:keepLines w:val="0"/>
              <w:pageBreakBefore w:val="0"/>
              <w:widowControl w:val="0"/>
              <w:suppressLineNumbers w:val="0"/>
              <w:kinsoku/>
              <w:wordWrap/>
              <w:overflowPunct/>
              <w:topLinePunct w:val="0"/>
              <w:autoSpaceDE w:val="0"/>
              <w:autoSpaceDN w:val="0"/>
              <w:bidi w:val="0"/>
              <w:adjustRightInd w:val="0"/>
              <w:snapToGrid w:val="0"/>
              <w:spacing w:before="0" w:beforeLines="-2147483648" w:beforeAutospacing="0" w:after="0" w:afterAutospacing="0" w:line="360" w:lineRule="auto"/>
              <w:ind w:left="0" w:leftChars="0" w:right="0" w:firstLine="420" w:firstLineChars="200"/>
              <w:textAlignment w:val="auto"/>
              <w:rPr>
                <w:rFonts w:hint="default" w:ascii="Times New Roman" w:hAnsi="Times New Roman" w:eastAsia="宋体"/>
                <w:b w:val="0"/>
                <w:bCs w:val="0"/>
                <w:color w:val="auto"/>
                <w:sz w:val="21"/>
                <w:szCs w:val="21"/>
                <w:lang w:eastAsia="zh-CN"/>
              </w:rPr>
            </w:pPr>
          </w:p>
          <w:p w14:paraId="36E156BE">
            <w:pPr>
              <w:keepNext w:val="0"/>
              <w:keepLines w:val="0"/>
              <w:pageBreakBefore w:val="0"/>
              <w:widowControl w:val="0"/>
              <w:suppressLineNumbers w:val="0"/>
              <w:kinsoku/>
              <w:wordWrap/>
              <w:overflowPunct/>
              <w:topLinePunct w:val="0"/>
              <w:autoSpaceDE w:val="0"/>
              <w:autoSpaceDN w:val="0"/>
              <w:bidi w:val="0"/>
              <w:adjustRightInd w:val="0"/>
              <w:snapToGrid w:val="0"/>
              <w:spacing w:before="0" w:beforeLines="-2147483648" w:beforeAutospacing="0" w:after="0" w:afterAutospacing="0" w:line="360" w:lineRule="auto"/>
              <w:ind w:left="0" w:leftChars="0" w:right="0" w:firstLine="420" w:firstLineChars="200"/>
              <w:textAlignment w:val="auto"/>
              <w:rPr>
                <w:rFonts w:hint="default" w:ascii="Times New Roman" w:hAnsi="Times New Roman" w:eastAsia="宋体"/>
                <w:b w:val="0"/>
                <w:bCs w:val="0"/>
                <w:color w:val="auto"/>
                <w:sz w:val="21"/>
                <w:szCs w:val="21"/>
                <w:lang w:eastAsia="zh-CN"/>
              </w:rPr>
            </w:pPr>
          </w:p>
          <w:p w14:paraId="74075CE8">
            <w:pPr>
              <w:keepNext w:val="0"/>
              <w:keepLines w:val="0"/>
              <w:pageBreakBefore w:val="0"/>
              <w:widowControl w:val="0"/>
              <w:suppressLineNumbers w:val="0"/>
              <w:kinsoku/>
              <w:wordWrap/>
              <w:overflowPunct/>
              <w:topLinePunct w:val="0"/>
              <w:autoSpaceDE w:val="0"/>
              <w:autoSpaceDN w:val="0"/>
              <w:bidi w:val="0"/>
              <w:adjustRightInd w:val="0"/>
              <w:snapToGrid w:val="0"/>
              <w:spacing w:before="0" w:beforeLines="-2147483648" w:beforeAutospacing="0" w:after="0" w:afterAutospacing="0" w:line="360" w:lineRule="auto"/>
              <w:ind w:left="0" w:leftChars="0" w:right="0" w:firstLine="420" w:firstLineChars="200"/>
              <w:textAlignment w:val="auto"/>
              <w:rPr>
                <w:rFonts w:hint="default" w:ascii="Times New Roman" w:hAnsi="Times New Roman" w:eastAsia="宋体"/>
                <w:b w:val="0"/>
                <w:bCs w:val="0"/>
                <w:color w:val="auto"/>
                <w:sz w:val="21"/>
                <w:szCs w:val="21"/>
                <w:lang w:eastAsia="zh-CN"/>
              </w:rPr>
            </w:pPr>
          </w:p>
          <w:p w14:paraId="5815E6B6">
            <w:pPr>
              <w:keepNext w:val="0"/>
              <w:keepLines w:val="0"/>
              <w:pageBreakBefore w:val="0"/>
              <w:widowControl w:val="0"/>
              <w:suppressLineNumbers w:val="0"/>
              <w:kinsoku/>
              <w:wordWrap/>
              <w:overflowPunct/>
              <w:topLinePunct w:val="0"/>
              <w:autoSpaceDE w:val="0"/>
              <w:autoSpaceDN w:val="0"/>
              <w:bidi w:val="0"/>
              <w:adjustRightInd w:val="0"/>
              <w:snapToGrid w:val="0"/>
              <w:spacing w:before="0" w:beforeLines="-2147483648" w:beforeAutospacing="0" w:after="0" w:afterAutospacing="0" w:line="360" w:lineRule="auto"/>
              <w:ind w:left="0" w:leftChars="0" w:right="0" w:firstLine="420" w:firstLineChars="200"/>
              <w:textAlignment w:val="auto"/>
              <w:rPr>
                <w:rFonts w:hint="default" w:ascii="Times New Roman" w:hAnsi="Times New Roman" w:eastAsia="宋体"/>
                <w:b w:val="0"/>
                <w:bCs w:val="0"/>
                <w:color w:val="auto"/>
                <w:sz w:val="21"/>
                <w:szCs w:val="21"/>
                <w:lang w:eastAsia="zh-CN"/>
              </w:rPr>
            </w:pPr>
          </w:p>
          <w:p w14:paraId="01B3D26B">
            <w:pPr>
              <w:keepNext w:val="0"/>
              <w:keepLines w:val="0"/>
              <w:pageBreakBefore w:val="0"/>
              <w:widowControl w:val="0"/>
              <w:suppressLineNumbers w:val="0"/>
              <w:kinsoku/>
              <w:wordWrap/>
              <w:overflowPunct/>
              <w:topLinePunct w:val="0"/>
              <w:autoSpaceDE w:val="0"/>
              <w:autoSpaceDN w:val="0"/>
              <w:bidi w:val="0"/>
              <w:adjustRightInd w:val="0"/>
              <w:snapToGrid w:val="0"/>
              <w:spacing w:before="0" w:beforeLines="-2147483648" w:beforeAutospacing="0" w:after="0" w:afterAutospacing="0" w:line="360" w:lineRule="auto"/>
              <w:ind w:left="0" w:leftChars="0" w:right="0" w:firstLine="420" w:firstLineChars="200"/>
              <w:textAlignment w:val="auto"/>
              <w:rPr>
                <w:rFonts w:hint="default" w:ascii="Times New Roman" w:hAnsi="Times New Roman" w:eastAsia="宋体"/>
                <w:b w:val="0"/>
                <w:bCs w:val="0"/>
                <w:color w:val="auto"/>
                <w:sz w:val="21"/>
                <w:szCs w:val="21"/>
                <w:lang w:eastAsia="zh-CN"/>
              </w:rPr>
            </w:pPr>
          </w:p>
          <w:p w14:paraId="2F462EB1">
            <w:pPr>
              <w:keepNext w:val="0"/>
              <w:keepLines w:val="0"/>
              <w:pageBreakBefore w:val="0"/>
              <w:widowControl w:val="0"/>
              <w:suppressLineNumbers w:val="0"/>
              <w:kinsoku/>
              <w:wordWrap/>
              <w:overflowPunct/>
              <w:topLinePunct w:val="0"/>
              <w:autoSpaceDE w:val="0"/>
              <w:autoSpaceDN w:val="0"/>
              <w:bidi w:val="0"/>
              <w:adjustRightInd w:val="0"/>
              <w:snapToGrid w:val="0"/>
              <w:spacing w:before="0" w:beforeLines="-2147483648" w:beforeAutospacing="0" w:after="0" w:afterAutospacing="0" w:line="360" w:lineRule="auto"/>
              <w:ind w:left="0" w:leftChars="0" w:right="0" w:firstLine="420" w:firstLineChars="200"/>
              <w:textAlignment w:val="auto"/>
              <w:rPr>
                <w:rFonts w:hint="default" w:ascii="Times New Roman" w:hAnsi="Times New Roman" w:eastAsia="宋体"/>
                <w:b w:val="0"/>
                <w:bCs w:val="0"/>
                <w:color w:val="auto"/>
                <w:sz w:val="21"/>
                <w:szCs w:val="21"/>
                <w:lang w:eastAsia="zh-CN"/>
              </w:rPr>
            </w:pPr>
          </w:p>
          <w:p w14:paraId="21AC0055">
            <w:pPr>
              <w:keepNext w:val="0"/>
              <w:keepLines w:val="0"/>
              <w:pageBreakBefore w:val="0"/>
              <w:widowControl w:val="0"/>
              <w:suppressLineNumbers w:val="0"/>
              <w:kinsoku/>
              <w:wordWrap/>
              <w:overflowPunct/>
              <w:topLinePunct w:val="0"/>
              <w:autoSpaceDE w:val="0"/>
              <w:autoSpaceDN w:val="0"/>
              <w:bidi w:val="0"/>
              <w:adjustRightInd w:val="0"/>
              <w:snapToGrid w:val="0"/>
              <w:spacing w:before="0" w:beforeLines="-2147483648" w:beforeAutospacing="0" w:after="0" w:afterAutospacing="0" w:line="360" w:lineRule="auto"/>
              <w:ind w:left="0" w:leftChars="0" w:right="0" w:firstLine="420" w:firstLineChars="200"/>
              <w:textAlignment w:val="auto"/>
              <w:rPr>
                <w:rFonts w:hint="default" w:ascii="Times New Roman" w:hAnsi="Times New Roman" w:eastAsia="宋体"/>
                <w:b w:val="0"/>
                <w:bCs w:val="0"/>
                <w:color w:val="auto"/>
                <w:sz w:val="21"/>
                <w:szCs w:val="21"/>
                <w:lang w:eastAsia="zh-CN"/>
              </w:rPr>
            </w:pPr>
          </w:p>
          <w:p w14:paraId="53B2F485">
            <w:pPr>
              <w:keepNext w:val="0"/>
              <w:keepLines w:val="0"/>
              <w:pageBreakBefore w:val="0"/>
              <w:widowControl w:val="0"/>
              <w:suppressLineNumbers w:val="0"/>
              <w:kinsoku/>
              <w:wordWrap/>
              <w:overflowPunct/>
              <w:topLinePunct w:val="0"/>
              <w:autoSpaceDE w:val="0"/>
              <w:autoSpaceDN w:val="0"/>
              <w:bidi w:val="0"/>
              <w:adjustRightInd w:val="0"/>
              <w:snapToGrid w:val="0"/>
              <w:spacing w:before="0" w:beforeLines="-2147483648" w:beforeAutospacing="0" w:after="0" w:afterAutospacing="0" w:line="360" w:lineRule="auto"/>
              <w:ind w:left="0" w:leftChars="0" w:right="0" w:firstLine="420" w:firstLineChars="200"/>
              <w:textAlignment w:val="auto"/>
              <w:rPr>
                <w:rFonts w:hint="default" w:ascii="Times New Roman" w:hAnsi="Times New Roman" w:eastAsia="宋体"/>
                <w:b w:val="0"/>
                <w:bCs w:val="0"/>
                <w:color w:val="auto"/>
                <w:sz w:val="21"/>
                <w:szCs w:val="21"/>
                <w:lang w:eastAsia="zh-CN"/>
              </w:rPr>
            </w:pPr>
          </w:p>
          <w:p w14:paraId="217D6BB4">
            <w:pPr>
              <w:keepNext w:val="0"/>
              <w:keepLines w:val="0"/>
              <w:pageBreakBefore w:val="0"/>
              <w:widowControl w:val="0"/>
              <w:suppressLineNumbers w:val="0"/>
              <w:kinsoku/>
              <w:wordWrap/>
              <w:overflowPunct/>
              <w:topLinePunct w:val="0"/>
              <w:autoSpaceDE w:val="0"/>
              <w:autoSpaceDN w:val="0"/>
              <w:bidi w:val="0"/>
              <w:adjustRightInd w:val="0"/>
              <w:snapToGrid w:val="0"/>
              <w:spacing w:before="0" w:beforeLines="-2147483648" w:beforeAutospacing="0" w:after="0" w:afterAutospacing="0" w:line="360" w:lineRule="auto"/>
              <w:ind w:left="0" w:leftChars="0" w:right="0" w:firstLine="420" w:firstLineChars="200"/>
              <w:textAlignment w:val="auto"/>
              <w:rPr>
                <w:rFonts w:hint="default" w:ascii="Times New Roman" w:hAnsi="Times New Roman" w:eastAsia="宋体"/>
                <w:b w:val="0"/>
                <w:bCs w:val="0"/>
                <w:color w:val="auto"/>
                <w:sz w:val="21"/>
                <w:szCs w:val="21"/>
                <w:lang w:eastAsia="zh-CN"/>
              </w:rPr>
            </w:pPr>
          </w:p>
          <w:p w14:paraId="318298AC">
            <w:pPr>
              <w:keepNext w:val="0"/>
              <w:keepLines w:val="0"/>
              <w:pageBreakBefore w:val="0"/>
              <w:widowControl w:val="0"/>
              <w:suppressLineNumbers w:val="0"/>
              <w:kinsoku/>
              <w:wordWrap/>
              <w:overflowPunct/>
              <w:topLinePunct w:val="0"/>
              <w:autoSpaceDE w:val="0"/>
              <w:autoSpaceDN w:val="0"/>
              <w:bidi w:val="0"/>
              <w:adjustRightInd w:val="0"/>
              <w:snapToGrid w:val="0"/>
              <w:spacing w:before="0" w:beforeLines="-2147483648" w:beforeAutospacing="0" w:after="0" w:afterAutospacing="0" w:line="360" w:lineRule="auto"/>
              <w:ind w:left="0" w:leftChars="0" w:right="0" w:firstLine="420" w:firstLineChars="200"/>
              <w:textAlignment w:val="auto"/>
              <w:rPr>
                <w:rFonts w:hint="default" w:ascii="Times New Roman" w:hAnsi="Times New Roman" w:eastAsia="宋体"/>
                <w:b w:val="0"/>
                <w:bCs w:val="0"/>
                <w:color w:val="auto"/>
                <w:sz w:val="21"/>
                <w:szCs w:val="21"/>
                <w:lang w:eastAsia="zh-CN"/>
              </w:rPr>
            </w:pPr>
          </w:p>
          <w:p w14:paraId="09BAD39F">
            <w:pPr>
              <w:keepNext w:val="0"/>
              <w:keepLines w:val="0"/>
              <w:pageBreakBefore w:val="0"/>
              <w:widowControl w:val="0"/>
              <w:suppressLineNumbers w:val="0"/>
              <w:kinsoku/>
              <w:wordWrap/>
              <w:overflowPunct/>
              <w:topLinePunct w:val="0"/>
              <w:autoSpaceDE w:val="0"/>
              <w:autoSpaceDN w:val="0"/>
              <w:bidi w:val="0"/>
              <w:adjustRightInd w:val="0"/>
              <w:snapToGrid w:val="0"/>
              <w:spacing w:before="0" w:beforeLines="-2147483648" w:beforeAutospacing="0" w:after="0" w:afterAutospacing="0" w:line="360" w:lineRule="auto"/>
              <w:ind w:left="0" w:leftChars="0" w:right="0" w:firstLine="420" w:firstLineChars="200"/>
              <w:textAlignment w:val="auto"/>
              <w:rPr>
                <w:rFonts w:hint="default" w:ascii="Times New Roman" w:hAnsi="Times New Roman" w:eastAsia="宋体"/>
                <w:b w:val="0"/>
                <w:bCs w:val="0"/>
                <w:color w:val="auto"/>
                <w:sz w:val="21"/>
                <w:szCs w:val="21"/>
                <w:lang w:eastAsia="zh-CN"/>
              </w:rPr>
            </w:pPr>
          </w:p>
          <w:p w14:paraId="2537327B">
            <w:pPr>
              <w:keepNext w:val="0"/>
              <w:keepLines w:val="0"/>
              <w:pageBreakBefore w:val="0"/>
              <w:widowControl w:val="0"/>
              <w:suppressLineNumbers w:val="0"/>
              <w:kinsoku/>
              <w:wordWrap/>
              <w:overflowPunct/>
              <w:topLinePunct w:val="0"/>
              <w:autoSpaceDE w:val="0"/>
              <w:autoSpaceDN w:val="0"/>
              <w:bidi w:val="0"/>
              <w:adjustRightInd w:val="0"/>
              <w:snapToGrid w:val="0"/>
              <w:spacing w:before="0" w:beforeLines="-2147483648" w:beforeAutospacing="0" w:after="0" w:afterAutospacing="0" w:line="360" w:lineRule="auto"/>
              <w:ind w:left="0" w:leftChars="0" w:right="0" w:firstLine="420" w:firstLineChars="200"/>
              <w:textAlignment w:val="auto"/>
              <w:rPr>
                <w:rFonts w:hint="default" w:ascii="Times New Roman" w:hAnsi="Times New Roman" w:eastAsia="宋体"/>
                <w:b w:val="0"/>
                <w:bCs w:val="0"/>
                <w:color w:val="auto"/>
                <w:sz w:val="21"/>
                <w:szCs w:val="21"/>
                <w:lang w:eastAsia="zh-CN"/>
              </w:rPr>
            </w:pPr>
          </w:p>
          <w:p w14:paraId="6D72257F">
            <w:pPr>
              <w:keepNext w:val="0"/>
              <w:keepLines w:val="0"/>
              <w:pageBreakBefore w:val="0"/>
              <w:widowControl w:val="0"/>
              <w:suppressLineNumbers w:val="0"/>
              <w:kinsoku/>
              <w:wordWrap/>
              <w:overflowPunct/>
              <w:topLinePunct w:val="0"/>
              <w:autoSpaceDE w:val="0"/>
              <w:autoSpaceDN w:val="0"/>
              <w:bidi w:val="0"/>
              <w:adjustRightInd w:val="0"/>
              <w:snapToGrid w:val="0"/>
              <w:spacing w:before="0" w:beforeLines="-2147483648" w:beforeAutospacing="0" w:after="0" w:afterAutospacing="0" w:line="360" w:lineRule="auto"/>
              <w:ind w:left="0" w:leftChars="0" w:right="0" w:firstLine="0" w:firstLineChars="0"/>
              <w:textAlignment w:val="auto"/>
              <w:rPr>
                <w:rFonts w:hint="default" w:ascii="Times New Roman" w:hAnsi="Times New Roman" w:eastAsia="宋体"/>
                <w:b w:val="0"/>
                <w:bCs w:val="0"/>
                <w:color w:val="auto"/>
                <w:sz w:val="21"/>
                <w:szCs w:val="21"/>
                <w:lang w:eastAsia="zh-CN"/>
              </w:rPr>
            </w:pPr>
          </w:p>
          <w:p w14:paraId="036FFF26">
            <w:pPr>
              <w:keepNext w:val="0"/>
              <w:keepLines w:val="0"/>
              <w:pageBreakBefore w:val="0"/>
              <w:widowControl w:val="0"/>
              <w:suppressLineNumbers w:val="0"/>
              <w:kinsoku/>
              <w:wordWrap/>
              <w:overflowPunct/>
              <w:topLinePunct w:val="0"/>
              <w:autoSpaceDE w:val="0"/>
              <w:autoSpaceDN w:val="0"/>
              <w:bidi w:val="0"/>
              <w:adjustRightInd w:val="0"/>
              <w:snapToGrid w:val="0"/>
              <w:spacing w:before="0" w:beforeLines="-2147483648" w:beforeAutospacing="0" w:after="0" w:afterAutospacing="0" w:line="360" w:lineRule="auto"/>
              <w:ind w:left="0" w:leftChars="0" w:right="0" w:firstLine="420" w:firstLineChars="200"/>
              <w:textAlignment w:val="auto"/>
              <w:rPr>
                <w:rFonts w:hint="default" w:ascii="Times New Roman" w:hAnsi="Times New Roman" w:eastAsia="宋体"/>
                <w:b w:val="0"/>
                <w:bCs w:val="0"/>
                <w:color w:val="auto"/>
                <w:sz w:val="21"/>
                <w:szCs w:val="21"/>
                <w:lang w:eastAsia="zh-CN"/>
              </w:rPr>
            </w:pPr>
          </w:p>
          <w:p w14:paraId="1467CA05">
            <w:pPr>
              <w:keepNext w:val="0"/>
              <w:keepLines w:val="0"/>
              <w:pageBreakBefore w:val="0"/>
              <w:widowControl w:val="0"/>
              <w:suppressLineNumbers w:val="0"/>
              <w:kinsoku/>
              <w:wordWrap/>
              <w:overflowPunct/>
              <w:topLinePunct w:val="0"/>
              <w:autoSpaceDE w:val="0"/>
              <w:autoSpaceDN w:val="0"/>
              <w:bidi w:val="0"/>
              <w:adjustRightInd w:val="0"/>
              <w:snapToGrid w:val="0"/>
              <w:spacing w:before="0" w:beforeLines="-2147483648" w:beforeAutospacing="0" w:after="0" w:afterAutospacing="0" w:line="360" w:lineRule="auto"/>
              <w:ind w:left="0" w:leftChars="0" w:right="0" w:firstLine="420" w:firstLineChars="200"/>
              <w:textAlignment w:val="auto"/>
              <w:rPr>
                <w:rFonts w:hint="default" w:ascii="Times New Roman" w:hAnsi="Times New Roman" w:eastAsia="宋体"/>
                <w:b w:val="0"/>
                <w:bCs w:val="0"/>
                <w:color w:val="auto"/>
                <w:sz w:val="21"/>
                <w:szCs w:val="21"/>
                <w:lang w:eastAsia="zh-CN"/>
              </w:rPr>
            </w:pPr>
          </w:p>
          <w:p w14:paraId="29936F52">
            <w:pPr>
              <w:keepNext w:val="0"/>
              <w:keepLines w:val="0"/>
              <w:pageBreakBefore w:val="0"/>
              <w:widowControl w:val="0"/>
              <w:suppressLineNumbers w:val="0"/>
              <w:kinsoku/>
              <w:wordWrap/>
              <w:overflowPunct/>
              <w:topLinePunct w:val="0"/>
              <w:autoSpaceDE w:val="0"/>
              <w:autoSpaceDN w:val="0"/>
              <w:bidi w:val="0"/>
              <w:adjustRightInd w:val="0"/>
              <w:snapToGrid w:val="0"/>
              <w:spacing w:before="0" w:beforeLines="-2147483648" w:beforeAutospacing="0" w:after="0" w:afterAutospacing="0" w:line="360" w:lineRule="auto"/>
              <w:ind w:left="0" w:leftChars="0" w:right="0" w:rightChars="0" w:firstLine="420" w:firstLineChars="200"/>
              <w:textAlignment w:val="auto"/>
              <w:rPr>
                <w:rFonts w:hint="default" w:ascii="Times New Roman" w:hAnsi="Times New Roman" w:eastAsia="宋体" w:cs="Times New Roman"/>
                <w:color w:val="auto"/>
                <w:sz w:val="21"/>
                <w:szCs w:val="21"/>
              </w:rPr>
            </w:pPr>
          </w:p>
        </w:tc>
      </w:tr>
      <w:tr w14:paraId="3AE74E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13456" w:hRule="atLeast"/>
          <w:jc w:val="center"/>
        </w:trPr>
        <w:tc>
          <w:tcPr>
            <w:tcW w:w="448" w:type="dxa"/>
            <w:vAlign w:val="center"/>
          </w:tcPr>
          <w:p w14:paraId="652CA21D">
            <w:pPr>
              <w:keepNext w:val="0"/>
              <w:keepLines w:val="0"/>
              <w:suppressLineNumbers w:val="0"/>
              <w:autoSpaceDE w:val="0"/>
              <w:autoSpaceDN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kern w:val="0"/>
              </w:rPr>
            </w:pPr>
            <w:r>
              <w:rPr>
                <w:rFonts w:hint="default" w:ascii="Times New Roman" w:hAnsi="Times New Roman" w:eastAsia="宋体" w:cs="Times New Roman"/>
                <w:b/>
                <w:bCs/>
                <w:color w:val="auto"/>
                <w:kern w:val="0"/>
              </w:rPr>
              <w:t>规划及规划环境影响评价符合性分析</w:t>
            </w:r>
          </w:p>
        </w:tc>
        <w:tc>
          <w:tcPr>
            <w:tcW w:w="8440" w:type="dxa"/>
            <w:gridSpan w:val="4"/>
          </w:tcPr>
          <w:p w14:paraId="5A5BF180">
            <w:pPr>
              <w:keepNext w:val="0"/>
              <w:keepLines w:val="0"/>
              <w:suppressLineNumbers w:val="0"/>
              <w:spacing w:before="0" w:beforeAutospacing="0" w:after="0" w:afterAutospacing="0"/>
              <w:ind w:left="0" w:right="0"/>
              <w:rPr>
                <w:rFonts w:hint="eastAsia" w:cs="Times New Roman"/>
                <w:b/>
                <w:bCs w:val="0"/>
                <w:color w:val="auto"/>
                <w:kern w:val="0"/>
                <w:lang w:val="en-US" w:eastAsia="zh-CN"/>
              </w:rPr>
            </w:pPr>
            <w:r>
              <w:rPr>
                <w:rFonts w:hint="eastAsia" w:cs="Times New Roman"/>
                <w:b/>
                <w:bCs w:val="0"/>
                <w:color w:val="auto"/>
                <w:kern w:val="0"/>
                <w:lang w:val="en-US" w:eastAsia="zh-CN"/>
              </w:rPr>
              <w:t>一、高新区及其新渡工业集中区扩区规划及规划环评</w:t>
            </w:r>
          </w:p>
          <w:p w14:paraId="27E66283">
            <w:pPr>
              <w:keepNext w:val="0"/>
              <w:keepLines w:val="0"/>
              <w:suppressLineNumbers w:val="0"/>
              <w:spacing w:before="0" w:beforeAutospacing="0" w:after="0" w:afterAutospacing="0"/>
              <w:ind w:left="0" w:right="0"/>
              <w:rPr>
                <w:rFonts w:hint="default" w:cs="Times New Roman"/>
                <w:b/>
                <w:bCs w:val="0"/>
                <w:color w:val="auto"/>
                <w:kern w:val="0"/>
                <w:lang w:val="en-US" w:eastAsia="zh-CN"/>
              </w:rPr>
            </w:pPr>
            <w:r>
              <w:rPr>
                <w:rFonts w:hint="eastAsia" w:cs="Times New Roman"/>
                <w:b/>
                <w:bCs w:val="0"/>
                <w:color w:val="auto"/>
                <w:kern w:val="0"/>
                <w:lang w:val="en-US" w:eastAsia="zh-CN"/>
              </w:rPr>
              <w:t>1、高新区简介</w:t>
            </w:r>
          </w:p>
          <w:p w14:paraId="536BEB15">
            <w:pPr>
              <w:keepNext w:val="0"/>
              <w:keepLines w:val="0"/>
              <w:suppressLineNumbers w:val="0"/>
              <w:spacing w:before="0" w:beforeAutospacing="0" w:after="0" w:afterAutospacing="0"/>
              <w:ind w:left="0" w:right="0"/>
              <w:rPr>
                <w:rFonts w:hint="eastAsia" w:cs="Times New Roman"/>
                <w:b w:val="0"/>
                <w:bCs/>
                <w:color w:val="auto"/>
                <w:kern w:val="0"/>
                <w:lang w:val="en-US" w:eastAsia="zh-CN"/>
              </w:rPr>
            </w:pPr>
            <w:r>
              <w:rPr>
                <w:rFonts w:hint="eastAsia" w:cs="Times New Roman"/>
                <w:b w:val="0"/>
                <w:bCs/>
                <w:color w:val="auto"/>
                <w:kern w:val="0"/>
                <w:lang w:val="en-US" w:eastAsia="zh-CN"/>
              </w:rPr>
              <w:t>淮安高新技术产业开发区早期前身为“淮阴区工业园”，位于淮安市北部。开发区于2001年开始建设，2006年4月被江苏省人民政府批准为省级开发区（苏政复〔2006〕35号）并更名为“淮阴经济开发区”，2012年11月获批更名为江苏省淮安高新技术产业开发区（苏政复〔2012〕93号），2017年2月13日正式获批升格为国家级高新技术产业开发区（国函〔2017〕12号）。</w:t>
            </w:r>
          </w:p>
          <w:p w14:paraId="59F688FE">
            <w:pPr>
              <w:pStyle w:val="76"/>
              <w:keepNext w:val="0"/>
              <w:keepLines w:val="0"/>
              <w:suppressLineNumbers w:val="0"/>
              <w:spacing w:before="0" w:beforeAutospacing="0" w:after="0" w:afterAutospacing="0"/>
              <w:ind w:left="0" w:right="0" w:firstLine="480"/>
              <w:rPr>
                <w:rFonts w:hint="eastAsia" w:ascii="Times New Roman" w:hAnsi="Times New Roman" w:eastAsia="宋体" w:cs="Times New Roman"/>
                <w:b w:val="0"/>
                <w:bCs/>
                <w:color w:val="auto"/>
                <w:kern w:val="0"/>
                <w:sz w:val="24"/>
                <w:szCs w:val="24"/>
                <w:lang w:val="en-US" w:eastAsia="zh-CN" w:bidi="ar-SA"/>
              </w:rPr>
            </w:pPr>
            <w:bookmarkStart w:id="7" w:name="_Hlk129940042"/>
            <w:r>
              <w:rPr>
                <w:rFonts w:hint="eastAsia" w:ascii="Times New Roman" w:hAnsi="Times New Roman" w:eastAsia="宋体" w:cs="Times New Roman"/>
                <w:b w:val="0"/>
                <w:bCs/>
                <w:color w:val="auto"/>
                <w:kern w:val="0"/>
                <w:sz w:val="24"/>
                <w:szCs w:val="24"/>
                <w:lang w:val="en-US" w:eastAsia="zh-CN" w:bidi="ar-SA"/>
              </w:rPr>
              <w:t>2005年，园区编制了《淮阴区工业园区域环境影响报告书》（江苏淮阴经济开发区一期）并获得了原江苏省环境保护厅批复（苏环管〔2005〕252号），批复面积为5.81km</w:t>
            </w:r>
            <w:r>
              <w:rPr>
                <w:rFonts w:hint="eastAsia" w:ascii="Times New Roman" w:hAnsi="Times New Roman" w:eastAsia="宋体" w:cs="Times New Roman"/>
                <w:b w:val="0"/>
                <w:bCs/>
                <w:color w:val="auto"/>
                <w:kern w:val="0"/>
                <w:sz w:val="24"/>
                <w:szCs w:val="24"/>
                <w:vertAlign w:val="superscript"/>
                <w:lang w:val="en-US" w:eastAsia="zh-CN" w:bidi="ar-SA"/>
              </w:rPr>
              <w:t>2</w:t>
            </w:r>
            <w:r>
              <w:rPr>
                <w:rFonts w:hint="eastAsia" w:ascii="Times New Roman" w:hAnsi="Times New Roman" w:eastAsia="宋体" w:cs="Times New Roman"/>
                <w:b w:val="0"/>
                <w:bCs/>
                <w:color w:val="auto"/>
                <w:kern w:val="0"/>
                <w:sz w:val="24"/>
                <w:szCs w:val="24"/>
                <w:lang w:val="en-US" w:eastAsia="zh-CN" w:bidi="ar-SA"/>
              </w:rPr>
              <w:t>，四至范围为：盐河以北、承德路以东、新长铁路以南以及西地区。</w:t>
            </w:r>
          </w:p>
          <w:p w14:paraId="61F26D29">
            <w:pPr>
              <w:pStyle w:val="76"/>
              <w:keepNext w:val="0"/>
              <w:keepLines w:val="0"/>
              <w:suppressLineNumbers w:val="0"/>
              <w:spacing w:before="0" w:beforeAutospacing="0" w:after="0" w:afterAutospacing="0"/>
              <w:ind w:left="0" w:right="0" w:firstLine="480"/>
              <w:rPr>
                <w:rFonts w:hint="eastAsia" w:ascii="Times New Roman" w:hAnsi="Times New Roman" w:eastAsia="宋体" w:cs="Times New Roman"/>
                <w:b w:val="0"/>
                <w:bCs/>
                <w:color w:val="auto"/>
                <w:kern w:val="0"/>
                <w:sz w:val="24"/>
                <w:szCs w:val="24"/>
                <w:lang w:val="en-US" w:eastAsia="zh-CN" w:bidi="ar-SA"/>
              </w:rPr>
            </w:pPr>
            <w:r>
              <w:rPr>
                <w:rFonts w:hint="eastAsia" w:ascii="Times New Roman" w:hAnsi="Times New Roman" w:eastAsia="宋体" w:cs="Times New Roman"/>
                <w:b w:val="0"/>
                <w:bCs/>
                <w:color w:val="auto"/>
                <w:kern w:val="0"/>
                <w:sz w:val="24"/>
                <w:szCs w:val="24"/>
                <w:lang w:val="en-US" w:eastAsia="zh-CN" w:bidi="ar-SA"/>
              </w:rPr>
              <w:t>2007年，园区编制了《江苏淮阴经济开发区二期环境影响报告书》并获得了原江苏省环境保护厅批复（苏环管〔2007〕198号），批复面积为9.7km</w:t>
            </w:r>
            <w:r>
              <w:rPr>
                <w:rFonts w:hint="eastAsia" w:ascii="Times New Roman" w:hAnsi="Times New Roman" w:eastAsia="宋体" w:cs="Times New Roman"/>
                <w:b w:val="0"/>
                <w:bCs/>
                <w:color w:val="auto"/>
                <w:kern w:val="0"/>
                <w:sz w:val="24"/>
                <w:szCs w:val="24"/>
                <w:vertAlign w:val="superscript"/>
                <w:lang w:val="en-US" w:eastAsia="zh-CN" w:bidi="ar-SA"/>
              </w:rPr>
              <w:t>2</w:t>
            </w:r>
            <w:r>
              <w:rPr>
                <w:rFonts w:hint="eastAsia" w:ascii="Times New Roman" w:hAnsi="Times New Roman" w:eastAsia="宋体" w:cs="Times New Roman"/>
                <w:b w:val="0"/>
                <w:bCs/>
                <w:color w:val="auto"/>
                <w:kern w:val="0"/>
                <w:sz w:val="24"/>
                <w:szCs w:val="24"/>
                <w:lang w:val="en-US" w:eastAsia="zh-CN" w:bidi="ar-SA"/>
              </w:rPr>
              <w:t>，四至范围为：新长铁路以北，香港路以东、305省道以南，宁连一级公路以西。</w:t>
            </w:r>
          </w:p>
          <w:p w14:paraId="2C52A586">
            <w:pPr>
              <w:pStyle w:val="76"/>
              <w:keepNext w:val="0"/>
              <w:keepLines w:val="0"/>
              <w:suppressLineNumbers w:val="0"/>
              <w:spacing w:before="0" w:beforeAutospacing="0" w:after="0" w:afterAutospacing="0"/>
              <w:ind w:left="0" w:right="0" w:firstLine="480"/>
              <w:rPr>
                <w:rFonts w:hint="eastAsia" w:ascii="Times New Roman" w:hAnsi="Times New Roman" w:eastAsia="宋体" w:cs="Times New Roman"/>
                <w:b w:val="0"/>
                <w:bCs/>
                <w:color w:val="auto"/>
                <w:kern w:val="0"/>
                <w:sz w:val="24"/>
                <w:szCs w:val="24"/>
                <w:lang w:val="en-US" w:eastAsia="zh-CN" w:bidi="ar-SA"/>
              </w:rPr>
            </w:pPr>
            <w:r>
              <w:rPr>
                <w:rFonts w:hint="eastAsia" w:ascii="Times New Roman" w:hAnsi="Times New Roman" w:eastAsia="宋体" w:cs="Times New Roman"/>
                <w:b w:val="0"/>
                <w:bCs/>
                <w:color w:val="auto"/>
                <w:kern w:val="0"/>
                <w:sz w:val="24"/>
                <w:szCs w:val="24"/>
                <w:lang w:val="en-US" w:eastAsia="zh-CN" w:bidi="ar-SA"/>
              </w:rPr>
              <w:t>2012年，园区编制了《江苏淮阴经济开发区规划环境影响跟踪评价报告书》并获得了原江苏省环境保护厅的审核意见（苏环审〔2013〕162号）。由于淮阴经济开发区二期范围中有0.35km</w:t>
            </w:r>
            <w:r>
              <w:rPr>
                <w:rFonts w:hint="eastAsia" w:ascii="Times New Roman" w:hAnsi="Times New Roman" w:eastAsia="宋体" w:cs="Times New Roman"/>
                <w:b w:val="0"/>
                <w:bCs/>
                <w:color w:val="auto"/>
                <w:kern w:val="0"/>
                <w:sz w:val="24"/>
                <w:szCs w:val="24"/>
                <w:vertAlign w:val="superscript"/>
                <w:lang w:val="en-US" w:eastAsia="zh-CN" w:bidi="ar-SA"/>
              </w:rPr>
              <w:t>2</w:t>
            </w:r>
            <w:r>
              <w:rPr>
                <w:rFonts w:hint="eastAsia" w:ascii="Times New Roman" w:hAnsi="Times New Roman" w:eastAsia="宋体" w:cs="Times New Roman"/>
                <w:b w:val="0"/>
                <w:bCs/>
                <w:color w:val="auto"/>
                <w:kern w:val="0"/>
                <w:sz w:val="24"/>
                <w:szCs w:val="24"/>
                <w:lang w:val="en-US" w:eastAsia="zh-CN" w:bidi="ar-SA"/>
              </w:rPr>
              <w:t>与一期范围重合，因此跟踪评价的总规划面积为15.16km</w:t>
            </w:r>
            <w:r>
              <w:rPr>
                <w:rFonts w:hint="eastAsia" w:ascii="Times New Roman" w:hAnsi="Times New Roman" w:eastAsia="宋体" w:cs="Times New Roman"/>
                <w:b w:val="0"/>
                <w:bCs/>
                <w:color w:val="auto"/>
                <w:kern w:val="0"/>
                <w:sz w:val="24"/>
                <w:szCs w:val="24"/>
                <w:vertAlign w:val="superscript"/>
                <w:lang w:val="en-US" w:eastAsia="zh-CN" w:bidi="ar-SA"/>
              </w:rPr>
              <w:t>2</w:t>
            </w:r>
            <w:r>
              <w:rPr>
                <w:rFonts w:hint="eastAsia" w:ascii="Times New Roman" w:hAnsi="Times New Roman" w:eastAsia="宋体" w:cs="Times New Roman"/>
                <w:b w:val="0"/>
                <w:bCs/>
                <w:color w:val="auto"/>
                <w:kern w:val="0"/>
                <w:sz w:val="24"/>
                <w:szCs w:val="24"/>
                <w:lang w:val="en-US" w:eastAsia="zh-CN" w:bidi="ar-SA"/>
              </w:rPr>
              <w:t>。</w:t>
            </w:r>
          </w:p>
          <w:p w14:paraId="4DDF6E11">
            <w:pPr>
              <w:pStyle w:val="76"/>
              <w:keepNext w:val="0"/>
              <w:keepLines w:val="0"/>
              <w:suppressLineNumbers w:val="0"/>
              <w:spacing w:before="0" w:beforeAutospacing="0" w:after="0" w:afterAutospacing="0"/>
              <w:ind w:left="0" w:right="0" w:firstLine="480"/>
              <w:rPr>
                <w:rFonts w:hint="eastAsia" w:ascii="Times New Roman" w:hAnsi="Times New Roman" w:eastAsia="宋体" w:cs="Times New Roman"/>
                <w:b w:val="0"/>
                <w:bCs/>
                <w:color w:val="auto"/>
                <w:kern w:val="0"/>
                <w:sz w:val="24"/>
                <w:szCs w:val="24"/>
                <w:lang w:val="en-US" w:eastAsia="zh-CN" w:bidi="ar-SA"/>
              </w:rPr>
            </w:pPr>
            <w:r>
              <w:rPr>
                <w:rFonts w:hint="eastAsia" w:ascii="Times New Roman" w:hAnsi="Times New Roman" w:eastAsia="宋体" w:cs="Times New Roman"/>
                <w:b w:val="0"/>
                <w:bCs/>
                <w:color w:val="auto"/>
                <w:kern w:val="0"/>
                <w:sz w:val="24"/>
                <w:szCs w:val="24"/>
                <w:lang w:val="en-US" w:eastAsia="zh-CN" w:bidi="ar-SA"/>
              </w:rPr>
              <w:t>为抓住更好的发展机遇，结合聚集发展和集约发展的要求，淮安市政府于2009年在紧邻江苏淮阴经济开发区东侧成立了淮安市淮阴区新渡工业集中区（以下简称“新渡工业集中区”）。新渡工业集中区于2010年和2011年分别获得了集中区及集中区扩区环境影响报告书的批复（淮环发〔2010〕29号、淮环发〔2011〕125号）。</w:t>
            </w:r>
            <w:bookmarkEnd w:id="7"/>
          </w:p>
          <w:p w14:paraId="33B3BD89">
            <w:pPr>
              <w:pStyle w:val="76"/>
              <w:keepNext w:val="0"/>
              <w:keepLines w:val="0"/>
              <w:suppressLineNumbers w:val="0"/>
              <w:spacing w:before="0" w:beforeAutospacing="0" w:after="0" w:afterAutospacing="0"/>
              <w:ind w:left="0" w:right="0" w:firstLine="480"/>
              <w:rPr>
                <w:rFonts w:hint="eastAsia" w:cs="Times New Roman"/>
                <w:b w:val="0"/>
                <w:bCs/>
                <w:color w:val="auto"/>
                <w:kern w:val="0"/>
                <w:lang w:val="en-US" w:eastAsia="zh-CN"/>
              </w:rPr>
            </w:pPr>
            <w:r>
              <w:rPr>
                <w:rFonts w:hint="eastAsia" w:cs="Times New Roman"/>
                <w:b w:val="0"/>
                <w:bCs/>
                <w:color w:val="auto"/>
                <w:kern w:val="0"/>
                <w:lang w:val="en-US" w:eastAsia="zh-CN"/>
              </w:rPr>
              <w:t>淮安高新区升格为国家级高新技术产业开发区后，考虑国家级园区平台带来的招商引资已辐射到周边区域，为满足区内发展需求，重新整合区内资源，相关单位委托编制了《淮安高新技术产业开发区开发建设规划（2023-2035年）》。本次规划范围包括原江苏淮阴经济开发区一期、二期部分范围和纳入淮安高新区管辖范围的新渡工业集中区部分范围。</w:t>
            </w:r>
          </w:p>
          <w:p w14:paraId="57953832">
            <w:pPr>
              <w:pStyle w:val="76"/>
              <w:keepNext w:val="0"/>
              <w:keepLines w:val="0"/>
              <w:suppressLineNumbers w:val="0"/>
              <w:spacing w:before="0" w:beforeAutospacing="0" w:after="0" w:afterAutospacing="0"/>
              <w:ind w:left="0" w:right="0" w:firstLine="480"/>
              <w:rPr>
                <w:rFonts w:hint="eastAsia" w:cs="Times New Roman"/>
                <w:b w:val="0"/>
                <w:bCs/>
                <w:color w:val="auto"/>
                <w:kern w:val="0"/>
                <w:lang w:val="en-US" w:eastAsia="zh-CN"/>
              </w:rPr>
            </w:pPr>
            <w:r>
              <w:rPr>
                <w:rFonts w:hint="eastAsia" w:cs="Times New Roman"/>
                <w:b w:val="0"/>
                <w:bCs/>
                <w:color w:val="auto"/>
                <w:kern w:val="0"/>
                <w:lang w:val="en-US" w:eastAsia="zh-CN"/>
              </w:rPr>
              <w:t>目前</w:t>
            </w:r>
            <w:r>
              <w:rPr>
                <w:rFonts w:hint="eastAsia" w:cs="Times New Roman"/>
                <w:b w:val="0"/>
                <w:bCs w:val="0"/>
                <w:color w:val="auto"/>
                <w:sz w:val="24"/>
                <w:lang w:val="en-US" w:eastAsia="zh-CN"/>
              </w:rPr>
              <w:t>《淮安高新技术产业开发区开发建设规划（2023-2035年）环境影响报告书》</w:t>
            </w:r>
            <w:r>
              <w:rPr>
                <w:rFonts w:hint="eastAsia" w:cs="Times New Roman"/>
                <w:b w:val="0"/>
                <w:bCs w:val="0"/>
                <w:color w:val="auto"/>
                <w:sz w:val="24"/>
                <w:lang w:val="en-US" w:eastAsia="zh-CN"/>
              </w:rPr>
              <w:t>正在上报审查过程中。依据正在审查的</w:t>
            </w:r>
            <w:r>
              <w:rPr>
                <w:rFonts w:hint="eastAsia" w:cs="Times New Roman"/>
                <w:b w:val="0"/>
                <w:bCs w:val="0"/>
                <w:color w:val="auto"/>
                <w:sz w:val="24"/>
                <w:lang w:val="en-US" w:eastAsia="zh-CN"/>
              </w:rPr>
              <w:t>《淮安高新技术产业开发区开发建设规划（2023-2035年）环境影响报告书》，相关规划内容简介如下：</w:t>
            </w:r>
          </w:p>
          <w:p w14:paraId="6EA2BB56">
            <w:pPr>
              <w:keepNext w:val="0"/>
              <w:keepLines w:val="0"/>
              <w:suppressLineNumbers w:val="0"/>
              <w:spacing w:before="0" w:beforeAutospacing="0" w:after="0" w:afterAutospacing="0"/>
              <w:ind w:left="0" w:right="0"/>
              <w:rPr>
                <w:rFonts w:hint="eastAsia" w:cs="Times New Roman"/>
                <w:b w:val="0"/>
                <w:bCs/>
                <w:color w:val="auto"/>
                <w:kern w:val="0"/>
                <w:lang w:val="en-US" w:eastAsia="zh-CN"/>
              </w:rPr>
            </w:pPr>
            <w:r>
              <w:rPr>
                <w:rFonts w:hint="eastAsia" w:cs="Times New Roman"/>
                <w:b w:val="0"/>
                <w:bCs/>
                <w:color w:val="auto"/>
                <w:kern w:val="0"/>
                <w:lang w:val="en-US" w:eastAsia="zh-CN"/>
              </w:rPr>
              <w:t>（1）规划范围</w:t>
            </w:r>
          </w:p>
          <w:p w14:paraId="5C2FAEED">
            <w:pPr>
              <w:keepNext w:val="0"/>
              <w:keepLines w:val="0"/>
              <w:suppressLineNumbers w:val="0"/>
              <w:spacing w:before="0" w:beforeAutospacing="0" w:after="0" w:afterAutospacing="0"/>
              <w:ind w:left="0" w:right="0"/>
              <w:rPr>
                <w:rFonts w:hint="eastAsia" w:cs="Times New Roman"/>
                <w:b w:val="0"/>
                <w:bCs/>
                <w:color w:val="auto"/>
                <w:kern w:val="0"/>
                <w:lang w:val="en-US" w:eastAsia="zh-CN"/>
              </w:rPr>
            </w:pPr>
            <w:r>
              <w:rPr>
                <w:rFonts w:hint="eastAsia" w:cs="Times New Roman"/>
                <w:b w:val="0"/>
                <w:bCs/>
                <w:color w:val="auto"/>
                <w:kern w:val="0"/>
                <w:lang w:val="en-US" w:eastAsia="zh-CN"/>
              </w:rPr>
              <w:t>总规划范围1922.67公顷，分为西区、东区两个区域。其中，西区规划范围北至233国道、西至翔宇北道、南至盐河、东至广州路，西区面积908.18公顷；东区规划范围北至233国道、西至夏码大沟、南至盐河、东至中原路，东区面积1014.49公顷。</w:t>
            </w:r>
          </w:p>
          <w:p w14:paraId="70547204">
            <w:pPr>
              <w:keepNext w:val="0"/>
              <w:keepLines w:val="0"/>
              <w:suppressLineNumbers w:val="0"/>
              <w:spacing w:before="0" w:beforeAutospacing="0" w:after="0" w:afterAutospacing="0"/>
              <w:ind w:left="0" w:right="0"/>
              <w:rPr>
                <w:rFonts w:hint="eastAsia" w:cs="Times New Roman"/>
                <w:b w:val="0"/>
                <w:bCs/>
                <w:color w:val="auto"/>
                <w:kern w:val="0"/>
                <w:lang w:val="en-US" w:eastAsia="zh-CN"/>
              </w:rPr>
            </w:pPr>
            <w:r>
              <w:rPr>
                <w:rFonts w:hint="eastAsia" w:cs="Times New Roman"/>
                <w:b w:val="0"/>
                <w:bCs/>
                <w:color w:val="auto"/>
                <w:kern w:val="0"/>
                <w:lang w:val="en-US" w:eastAsia="zh-CN"/>
              </w:rPr>
              <w:t>拟建项目位于新渡工业集中区(淮安高新技术产业开发区西区)，具体位置为</w:t>
            </w:r>
            <w:r>
              <w:rPr>
                <w:rFonts w:hint="default" w:ascii="Times New Roman" w:hAnsi="Times New Roman" w:eastAsia="宋体" w:cs="Times New Roman"/>
                <w:b w:val="0"/>
                <w:bCs/>
                <w:color w:val="auto"/>
                <w:kern w:val="0"/>
                <w:lang w:val="en-US" w:eastAsia="zh-CN"/>
              </w:rPr>
              <w:t>淮安高新技术产业开发区钱塘江路333号智能装备科技园25-4号楼</w:t>
            </w:r>
            <w:r>
              <w:rPr>
                <w:rFonts w:hint="eastAsia" w:cs="Times New Roman"/>
                <w:b w:val="0"/>
                <w:bCs/>
                <w:color w:val="auto"/>
                <w:kern w:val="0"/>
                <w:lang w:val="en-US" w:eastAsia="zh-CN"/>
              </w:rPr>
              <w:t>，叠图对照淮安高新技术产业开发区西区土地利用规划图，其选址在淮安高新技术产业开发区新渡工业集中区规划的工业用地范围内</w:t>
            </w:r>
            <w:r>
              <w:rPr>
                <w:rFonts w:hint="eastAsia" w:ascii="Times New Roman" w:hAnsi="Times New Roman" w:eastAsia="宋体" w:cs="Times New Roman"/>
                <w:b w:val="0"/>
                <w:bCs/>
                <w:color w:val="auto"/>
                <w:kern w:val="0"/>
                <w:lang w:val="en-US" w:eastAsia="zh-CN"/>
              </w:rPr>
              <w:t>，符合</w:t>
            </w:r>
            <w:r>
              <w:rPr>
                <w:rFonts w:hint="eastAsia" w:cs="Times New Roman"/>
                <w:b w:val="0"/>
                <w:bCs/>
                <w:color w:val="auto"/>
                <w:kern w:val="0"/>
                <w:lang w:val="en-US" w:eastAsia="zh-CN"/>
              </w:rPr>
              <w:t>淮安高新技术产业开发区</w:t>
            </w:r>
            <w:r>
              <w:rPr>
                <w:rFonts w:hint="eastAsia" w:ascii="Times New Roman" w:hAnsi="Times New Roman" w:eastAsia="宋体" w:cs="Times New Roman"/>
                <w:b w:val="0"/>
                <w:bCs/>
                <w:color w:val="auto"/>
                <w:kern w:val="0"/>
                <w:lang w:val="en-US" w:eastAsia="zh-CN"/>
              </w:rPr>
              <w:t>用地规划要求。</w:t>
            </w:r>
          </w:p>
          <w:p w14:paraId="3FBA442A">
            <w:pPr>
              <w:keepNext w:val="0"/>
              <w:keepLines w:val="0"/>
              <w:suppressLineNumbers w:val="0"/>
              <w:spacing w:before="0" w:beforeAutospacing="0" w:after="0" w:afterAutospacing="0"/>
              <w:ind w:left="0" w:right="0"/>
              <w:rPr>
                <w:rFonts w:hint="eastAsia" w:cs="Times New Roman"/>
                <w:b w:val="0"/>
                <w:bCs/>
                <w:color w:val="auto"/>
                <w:kern w:val="0"/>
                <w:lang w:val="en-US" w:eastAsia="zh-CN"/>
              </w:rPr>
            </w:pPr>
            <w:r>
              <w:rPr>
                <w:rFonts w:hint="eastAsia" w:cs="Times New Roman"/>
                <w:b w:val="0"/>
                <w:bCs/>
                <w:color w:val="auto"/>
                <w:kern w:val="0"/>
                <w:lang w:val="en-US" w:eastAsia="zh-CN"/>
              </w:rPr>
              <w:t>（2）规划时段</w:t>
            </w:r>
          </w:p>
          <w:p w14:paraId="4544CCBC">
            <w:pPr>
              <w:keepNext w:val="0"/>
              <w:keepLines w:val="0"/>
              <w:suppressLineNumbers w:val="0"/>
              <w:spacing w:before="0" w:beforeAutospacing="0" w:after="0" w:afterAutospacing="0"/>
              <w:ind w:left="0" w:right="0"/>
              <w:rPr>
                <w:rFonts w:hint="eastAsia" w:cs="Times New Roman"/>
                <w:b w:val="0"/>
                <w:bCs/>
                <w:color w:val="auto"/>
                <w:kern w:val="0"/>
                <w:lang w:val="en-US" w:eastAsia="zh-CN"/>
              </w:rPr>
            </w:pPr>
            <w:r>
              <w:rPr>
                <w:rFonts w:hint="eastAsia" w:cs="Times New Roman"/>
                <w:b w:val="0"/>
                <w:bCs/>
                <w:color w:val="auto"/>
                <w:kern w:val="0"/>
                <w:lang w:val="en-US" w:eastAsia="zh-CN"/>
              </w:rPr>
              <w:t>规划</w:t>
            </w:r>
            <w:r>
              <w:rPr>
                <w:rFonts w:hint="eastAsia" w:ascii="Times New Roman" w:hAnsi="Times New Roman" w:eastAsia="宋体" w:cs="Times New Roman"/>
                <w:b w:val="0"/>
                <w:bCs/>
                <w:color w:val="auto"/>
                <w:kern w:val="0"/>
                <w:lang w:val="en-US" w:eastAsia="zh-CN"/>
              </w:rPr>
              <w:t>基准年为2023年，规划期限为2023-2035年，近期至2025年，远期至2035年。</w:t>
            </w:r>
          </w:p>
          <w:p w14:paraId="58FE526B">
            <w:pPr>
              <w:keepNext w:val="0"/>
              <w:keepLines w:val="0"/>
              <w:suppressLineNumbers w:val="0"/>
              <w:spacing w:before="0" w:beforeAutospacing="0" w:after="0" w:afterAutospacing="0"/>
              <w:ind w:left="0" w:right="0"/>
              <w:rPr>
                <w:rFonts w:hint="eastAsia" w:cs="Times New Roman"/>
                <w:b w:val="0"/>
                <w:bCs/>
                <w:color w:val="auto"/>
                <w:kern w:val="0"/>
                <w:lang w:val="en-US" w:eastAsia="zh-CN"/>
              </w:rPr>
            </w:pPr>
            <w:r>
              <w:rPr>
                <w:rFonts w:hint="eastAsia" w:cs="Times New Roman"/>
                <w:b w:val="0"/>
                <w:bCs/>
                <w:color w:val="auto"/>
                <w:kern w:val="0"/>
                <w:lang w:val="en-US" w:eastAsia="zh-CN"/>
              </w:rPr>
              <w:t>（3）产业发展目标及定位</w:t>
            </w:r>
          </w:p>
          <w:p w14:paraId="3BCBF816">
            <w:pPr>
              <w:keepNext w:val="0"/>
              <w:keepLines w:val="0"/>
              <w:suppressLineNumbers w:val="0"/>
              <w:spacing w:before="0" w:beforeAutospacing="0" w:after="0" w:afterAutospacing="0"/>
              <w:ind w:left="0" w:right="0"/>
              <w:rPr>
                <w:rFonts w:hint="eastAsia" w:cs="Times New Roman"/>
                <w:b w:val="0"/>
                <w:bCs/>
                <w:color w:val="auto"/>
                <w:kern w:val="0"/>
                <w:lang w:val="en-US" w:eastAsia="zh-CN"/>
              </w:rPr>
            </w:pPr>
            <w:r>
              <w:rPr>
                <w:rFonts w:hint="eastAsia" w:cs="Times New Roman"/>
                <w:b w:val="0"/>
                <w:bCs/>
                <w:color w:val="auto"/>
                <w:kern w:val="0"/>
                <w:lang w:val="en-US" w:eastAsia="zh-CN"/>
              </w:rPr>
              <w:t>高新区本轮规划在现有产业基础上，结合国家战略导向和全球高新技术产业发展趋势，到2025年，全面提升绿色食品、新型装备制造、新一代信息技术3大主导产业发展能级，重点布局发展新材料产业和前沿技术创新领域，培育若干特色先导产业，加快形成“3+2”先进制造业新体系。优先发展新材料、新能源等产业基础较好、技术较为成熟、市场需求较大的先导产业；到2035年，形成并充分发挥高新技术产业集聚优势，延伸和探索发展新能源汽车及零部件、下一代信息网络和智能终端、前沿新材料、基因技术等前沿技术创新领域，培育形成淮阴区乃至全市经济的新增长点。</w:t>
            </w:r>
          </w:p>
          <w:p w14:paraId="26459098">
            <w:pPr>
              <w:keepNext w:val="0"/>
              <w:keepLines w:val="0"/>
              <w:suppressLineNumbers w:val="0"/>
              <w:spacing w:before="0" w:beforeAutospacing="0" w:after="0" w:afterAutospacing="0"/>
              <w:ind w:left="0" w:right="0"/>
              <w:rPr>
                <w:rFonts w:hint="eastAsia" w:cs="Times New Roman"/>
                <w:b w:val="0"/>
                <w:bCs/>
                <w:color w:val="auto"/>
                <w:kern w:val="0"/>
                <w:lang w:val="en-US" w:eastAsia="zh-CN"/>
              </w:rPr>
            </w:pPr>
            <w:r>
              <w:rPr>
                <w:rFonts w:hint="eastAsia" w:cs="Times New Roman"/>
                <w:b w:val="0"/>
                <w:bCs/>
                <w:color w:val="auto"/>
                <w:kern w:val="0"/>
                <w:lang w:val="en-US" w:eastAsia="zh-CN"/>
              </w:rPr>
              <w:t>拟建项目属于耐火材料制造项目，不属于园区产业定位中的限制及禁止类产业，为允许类项目，此外本项目不属于化工、电镀、酿造、印染、水泥等项目，综上所述，本项目符合园区产业定位的要求。</w:t>
            </w:r>
          </w:p>
          <w:p w14:paraId="637819E7">
            <w:pPr>
              <w:keepNext w:val="0"/>
              <w:keepLines w:val="0"/>
              <w:suppressLineNumbers w:val="0"/>
              <w:spacing w:before="0" w:beforeAutospacing="0" w:after="0" w:afterAutospacing="0"/>
              <w:ind w:left="0" w:right="0"/>
              <w:rPr>
                <w:rFonts w:hint="default" w:cs="Times New Roman"/>
                <w:b w:val="0"/>
                <w:bCs/>
                <w:color w:val="auto"/>
                <w:kern w:val="0"/>
                <w:lang w:val="en-US" w:eastAsia="zh-CN"/>
              </w:rPr>
            </w:pPr>
            <w:r>
              <w:rPr>
                <w:rFonts w:hint="eastAsia" w:cs="Times New Roman"/>
                <w:b w:val="0"/>
                <w:bCs/>
                <w:color w:val="auto"/>
                <w:kern w:val="0"/>
                <w:lang w:val="en-US" w:eastAsia="zh-CN"/>
              </w:rPr>
              <w:t>2、</w:t>
            </w:r>
            <w:r>
              <w:rPr>
                <w:rFonts w:hint="eastAsia" w:cs="Times New Roman"/>
                <w:b/>
                <w:bCs w:val="0"/>
                <w:color w:val="auto"/>
                <w:kern w:val="0"/>
                <w:lang w:val="en-US" w:eastAsia="zh-CN"/>
              </w:rPr>
              <w:t>新渡工业集中区简介</w:t>
            </w:r>
          </w:p>
          <w:p w14:paraId="10DBBB2E">
            <w:pPr>
              <w:keepNext w:val="0"/>
              <w:keepLines w:val="0"/>
              <w:suppressLineNumbers w:val="0"/>
              <w:spacing w:before="0" w:beforeAutospacing="0" w:after="0" w:afterAutospacing="0"/>
              <w:ind w:left="0" w:right="0"/>
              <w:rPr>
                <w:rFonts w:hint="eastAsia" w:cs="Times New Roman"/>
                <w:b w:val="0"/>
                <w:bCs/>
                <w:color w:val="auto"/>
                <w:kern w:val="0"/>
                <w:lang w:val="en-US" w:eastAsia="zh-CN"/>
              </w:rPr>
            </w:pPr>
            <w:r>
              <w:rPr>
                <w:rFonts w:hint="eastAsia" w:cs="Times New Roman"/>
                <w:b w:val="0"/>
                <w:bCs/>
                <w:color w:val="auto"/>
                <w:kern w:val="0"/>
                <w:lang w:val="en-US" w:eastAsia="zh-CN"/>
              </w:rPr>
              <w:t>淮安市政府于2009年成立了淮安市淮阴区新渡工业集中区，江苏淮阴经济开发区管理委员会（现为淮安高新技术产业开发区管理委员会）于2009年3月组织编制了《淮安市淮阴区新渡工业集中区环境影响报告书》，并于2010年1月通过了淮安市环境保护局审批（淮环发[2010]29号）</w:t>
            </w:r>
            <w:r>
              <w:rPr>
                <w:rFonts w:hint="eastAsia"/>
                <w:color w:val="auto"/>
                <w:lang w:eastAsia="zh-CN"/>
              </w:rPr>
              <w:t>，详见附件</w:t>
            </w:r>
            <w:r>
              <w:rPr>
                <w:rFonts w:hint="eastAsia"/>
                <w:color w:val="auto"/>
                <w:lang w:val="en-US" w:eastAsia="zh-CN"/>
              </w:rPr>
              <w:t>9</w:t>
            </w:r>
            <w:r>
              <w:rPr>
                <w:rFonts w:hint="eastAsia" w:cs="Times New Roman"/>
                <w:b w:val="0"/>
                <w:bCs/>
                <w:color w:val="auto"/>
                <w:kern w:val="0"/>
                <w:lang w:val="en-US" w:eastAsia="zh-CN"/>
              </w:rPr>
              <w:t>。2011年淮安市政府拟对原有新渡工业集中区进行</w:t>
            </w:r>
            <w:r>
              <w:rPr>
                <w:rFonts w:hint="eastAsia" w:cs="Times New Roman"/>
                <w:b w:val="0"/>
                <w:bCs/>
                <w:color w:val="auto"/>
                <w:kern w:val="0"/>
                <w:lang w:val="en-US" w:eastAsia="zh-CN"/>
              </w:rPr>
              <w:t>扩区规划</w:t>
            </w:r>
            <w:r>
              <w:rPr>
                <w:rFonts w:hint="eastAsia" w:cs="Times New Roman"/>
                <w:b w:val="0"/>
                <w:bCs/>
                <w:color w:val="auto"/>
                <w:kern w:val="0"/>
                <w:lang w:val="en-US" w:eastAsia="zh-CN"/>
              </w:rPr>
              <w:t>，扩区后园区总规划面积将达到18.7平方公里，同时园区管理委员会组织编制了《淮安市淮阴区新渡工业集中区扩区环境影响报告书》，并于2011年5月通过了淮安市环境保护局审批（淮环发[2011]125号）</w:t>
            </w:r>
            <w:r>
              <w:rPr>
                <w:rFonts w:hint="eastAsia"/>
                <w:color w:val="auto"/>
                <w:lang w:eastAsia="zh-CN"/>
              </w:rPr>
              <w:t>，详见附件</w:t>
            </w:r>
            <w:r>
              <w:rPr>
                <w:rFonts w:hint="eastAsia"/>
                <w:color w:val="auto"/>
                <w:lang w:val="en-US" w:eastAsia="zh-CN"/>
              </w:rPr>
              <w:t>9</w:t>
            </w:r>
            <w:r>
              <w:rPr>
                <w:rFonts w:hint="eastAsia" w:cs="Times New Roman"/>
                <w:b w:val="0"/>
                <w:bCs/>
                <w:color w:val="auto"/>
                <w:kern w:val="0"/>
                <w:lang w:val="en-US" w:eastAsia="zh-CN"/>
              </w:rPr>
              <w:t>。</w:t>
            </w:r>
          </w:p>
          <w:p w14:paraId="54E2E57B">
            <w:pPr>
              <w:keepNext w:val="0"/>
              <w:keepLines w:val="0"/>
              <w:suppressLineNumbers w:val="0"/>
              <w:spacing w:before="0" w:beforeAutospacing="0" w:after="0" w:afterAutospacing="0"/>
              <w:ind w:left="0" w:right="0"/>
              <w:rPr>
                <w:rFonts w:hint="eastAsia" w:cs="Times New Roman"/>
                <w:b w:val="0"/>
                <w:bCs/>
                <w:color w:val="auto"/>
                <w:kern w:val="0"/>
                <w:lang w:val="en-US" w:eastAsia="zh-CN"/>
              </w:rPr>
            </w:pPr>
            <w:r>
              <w:rPr>
                <w:rFonts w:hint="eastAsia" w:cs="Times New Roman"/>
                <w:b w:val="0"/>
                <w:bCs/>
                <w:color w:val="auto"/>
                <w:kern w:val="0"/>
                <w:lang w:val="en-US" w:eastAsia="zh-CN"/>
              </w:rPr>
              <w:t>（1）规划面积及规划范围</w:t>
            </w:r>
          </w:p>
          <w:p w14:paraId="7CCAC555">
            <w:pPr>
              <w:keepNext w:val="0"/>
              <w:keepLines w:val="0"/>
              <w:suppressLineNumbers w:val="0"/>
              <w:spacing w:before="0" w:beforeAutospacing="0" w:after="0" w:afterAutospacing="0"/>
              <w:ind w:left="0" w:right="0"/>
              <w:rPr>
                <w:rFonts w:hint="eastAsia" w:cs="Times New Roman"/>
                <w:b w:val="0"/>
                <w:bCs/>
                <w:color w:val="auto"/>
                <w:kern w:val="0"/>
                <w:lang w:val="en-US" w:eastAsia="zh-CN"/>
              </w:rPr>
            </w:pPr>
            <w:r>
              <w:rPr>
                <w:rFonts w:hint="eastAsia" w:cs="Times New Roman"/>
                <w:b w:val="0"/>
                <w:bCs/>
                <w:color w:val="auto"/>
                <w:kern w:val="0"/>
                <w:lang w:val="en-US" w:eastAsia="zh-CN"/>
              </w:rPr>
              <w:t>新渡工业集中区功能定位为淮安市东北部重要的工业集中区和物流园区。新渡工业集中区扩区后范围为宁连一级公路以东、S237省道以南、京沪高速公路以西、盐河以北，面积约18.7平方公里。</w:t>
            </w:r>
          </w:p>
          <w:p w14:paraId="5C9BC9D4">
            <w:pPr>
              <w:keepNext w:val="0"/>
              <w:keepLines w:val="0"/>
              <w:suppressLineNumbers w:val="0"/>
              <w:spacing w:before="0" w:beforeAutospacing="0" w:after="0" w:afterAutospacing="0"/>
              <w:ind w:left="0" w:right="0"/>
              <w:rPr>
                <w:rFonts w:hint="eastAsia" w:cs="Times New Roman"/>
                <w:b w:val="0"/>
                <w:bCs/>
                <w:color w:val="auto"/>
                <w:kern w:val="0"/>
                <w:lang w:val="en-US" w:eastAsia="zh-CN"/>
              </w:rPr>
            </w:pPr>
            <w:r>
              <w:rPr>
                <w:rFonts w:hint="eastAsia" w:cs="Times New Roman"/>
                <w:b w:val="0"/>
                <w:bCs/>
                <w:color w:val="auto"/>
                <w:kern w:val="0"/>
                <w:lang w:val="en-US" w:eastAsia="zh-CN"/>
              </w:rPr>
              <w:t>拟建项目位于</w:t>
            </w:r>
            <w:r>
              <w:rPr>
                <w:rFonts w:hint="eastAsia" w:cs="Times New Roman"/>
                <w:b w:val="0"/>
                <w:bCs/>
                <w:color w:val="auto"/>
                <w:kern w:val="0"/>
                <w:lang w:val="en-US" w:eastAsia="zh-CN"/>
              </w:rPr>
              <w:t>新渡工业集中区(淮安高新技术产业开发区西区)</w:t>
            </w:r>
            <w:r>
              <w:rPr>
                <w:rFonts w:hint="default" w:ascii="Times New Roman" w:hAnsi="Times New Roman" w:eastAsia="宋体" w:cs="Times New Roman"/>
                <w:b w:val="0"/>
                <w:bCs/>
                <w:color w:val="auto"/>
                <w:kern w:val="0"/>
                <w:lang w:val="en-US" w:eastAsia="zh-CN"/>
              </w:rPr>
              <w:t>钱塘江路333号智能装备科技园25-4号楼</w:t>
            </w:r>
            <w:r>
              <w:rPr>
                <w:rFonts w:hint="eastAsia" w:cs="Times New Roman"/>
                <w:b w:val="0"/>
                <w:bCs/>
                <w:color w:val="auto"/>
                <w:kern w:val="0"/>
                <w:lang w:val="en-US" w:eastAsia="zh-CN"/>
              </w:rPr>
              <w:t>，选址在新渡工业集中区扩区规划的工业用地范围内</w:t>
            </w:r>
            <w:r>
              <w:rPr>
                <w:rFonts w:hint="eastAsia" w:ascii="Times New Roman" w:hAnsi="Times New Roman" w:eastAsia="宋体" w:cs="Times New Roman"/>
                <w:b w:val="0"/>
                <w:bCs/>
                <w:color w:val="auto"/>
                <w:kern w:val="0"/>
                <w:lang w:val="en-US" w:eastAsia="zh-CN"/>
              </w:rPr>
              <w:t>，符合新渡工业集中区用地规划要求。</w:t>
            </w:r>
          </w:p>
          <w:p w14:paraId="6366EA46">
            <w:pPr>
              <w:keepNext w:val="0"/>
              <w:keepLines w:val="0"/>
              <w:suppressLineNumbers w:val="0"/>
              <w:spacing w:before="0" w:beforeAutospacing="0" w:after="0" w:afterAutospacing="0"/>
              <w:ind w:left="0" w:right="0"/>
              <w:rPr>
                <w:rFonts w:hint="eastAsia" w:cs="Times New Roman"/>
                <w:b w:val="0"/>
                <w:bCs/>
                <w:color w:val="auto"/>
                <w:kern w:val="0"/>
                <w:lang w:val="en-US" w:eastAsia="zh-CN"/>
              </w:rPr>
            </w:pPr>
            <w:r>
              <w:rPr>
                <w:rFonts w:hint="eastAsia" w:cs="Times New Roman"/>
                <w:b w:val="0"/>
                <w:bCs/>
                <w:color w:val="auto"/>
                <w:kern w:val="0"/>
                <w:lang w:val="en-US" w:eastAsia="zh-CN"/>
              </w:rPr>
              <w:t>（2）产业定位和布局</w:t>
            </w:r>
          </w:p>
          <w:p w14:paraId="3BF82E21">
            <w:pPr>
              <w:keepNext w:val="0"/>
              <w:keepLines w:val="0"/>
              <w:suppressLineNumbers w:val="0"/>
              <w:spacing w:before="0" w:beforeAutospacing="0" w:after="0" w:afterAutospacing="0"/>
              <w:ind w:left="0" w:right="0"/>
              <w:rPr>
                <w:rFonts w:hint="eastAsia" w:cs="Times New Roman"/>
                <w:b w:val="0"/>
                <w:bCs/>
                <w:color w:val="auto"/>
                <w:kern w:val="0"/>
                <w:lang w:val="en-US" w:eastAsia="zh-CN"/>
              </w:rPr>
            </w:pPr>
            <w:r>
              <w:rPr>
                <w:rFonts w:hint="eastAsia" w:cs="Times New Roman"/>
                <w:b w:val="0"/>
                <w:bCs/>
                <w:color w:val="auto"/>
                <w:kern w:val="0"/>
                <w:lang w:val="en-US" w:eastAsia="zh-CN"/>
              </w:rPr>
              <w:t>新渡工业集中区产业定位以轻工、</w:t>
            </w:r>
            <w:r>
              <w:rPr>
                <w:rFonts w:hint="eastAsia" w:cs="Times New Roman"/>
                <w:b w:val="0"/>
                <w:bCs/>
                <w:color w:val="auto"/>
                <w:kern w:val="0"/>
                <w:lang w:val="en-US" w:eastAsia="zh-CN"/>
              </w:rPr>
              <w:t>机械、</w:t>
            </w:r>
            <w:r>
              <w:rPr>
                <w:rFonts w:hint="eastAsia" w:cs="Times New Roman"/>
                <w:b w:val="0"/>
                <w:bCs/>
                <w:color w:val="auto"/>
                <w:kern w:val="0"/>
                <w:lang w:val="en-US" w:eastAsia="zh-CN"/>
              </w:rPr>
              <w:t>电子、建材、食品、</w:t>
            </w:r>
            <w:r>
              <w:rPr>
                <w:rFonts w:hint="eastAsia" w:cs="Times New Roman"/>
                <w:b w:val="0"/>
                <w:bCs/>
                <w:color w:val="auto"/>
                <w:kern w:val="0"/>
                <w:lang w:val="en-US" w:eastAsia="zh-CN"/>
              </w:rPr>
              <w:t>服装加工</w:t>
            </w:r>
            <w:r>
              <w:rPr>
                <w:rFonts w:hint="eastAsia" w:cs="Times New Roman"/>
                <w:b w:val="0"/>
                <w:bCs/>
                <w:color w:val="auto"/>
                <w:kern w:val="0"/>
                <w:lang w:val="en-US" w:eastAsia="zh-CN"/>
              </w:rPr>
              <w:t>产业为主，化工、电镀、酿造、印染、水泥等重污染项目不得进入园区，禁止引进国家经济政策、环保政策、技术政策禁止的项目，并执行国家、省、市相关审批权限规定。</w:t>
            </w:r>
          </w:p>
          <w:p w14:paraId="7F8EE08D">
            <w:pPr>
              <w:keepNext w:val="0"/>
              <w:keepLines w:val="0"/>
              <w:suppressLineNumbers w:val="0"/>
              <w:spacing w:before="0" w:beforeAutospacing="0" w:after="0" w:afterAutospacing="0"/>
              <w:ind w:left="0" w:right="0"/>
              <w:rPr>
                <w:rFonts w:hint="default" w:ascii="Times New Roman" w:hAnsi="Times New Roman" w:eastAsia="宋体" w:cs="Times New Roman"/>
                <w:b w:val="0"/>
                <w:bCs/>
                <w:color w:val="auto"/>
                <w:kern w:val="0"/>
                <w:lang w:val="en-US" w:eastAsia="zh-CN"/>
              </w:rPr>
            </w:pPr>
            <w:r>
              <w:rPr>
                <w:rFonts w:hint="default" w:ascii="Times New Roman" w:hAnsi="Times New Roman" w:eastAsia="宋体" w:cs="Times New Roman"/>
                <w:b w:val="0"/>
                <w:bCs/>
                <w:color w:val="auto"/>
                <w:kern w:val="0"/>
                <w:lang w:val="en-US" w:eastAsia="zh-CN"/>
              </w:rPr>
              <w:t>根据2011年5月24日淮安市环境保护局出具的《关于淮安市淮阴区新渡工业集中区扩区项目环境影响报告书的批复》（淮环发[2011]125号）可知，</w:t>
            </w:r>
            <w:r>
              <w:rPr>
                <w:rFonts w:hint="eastAsia" w:cs="Times New Roman"/>
                <w:b w:val="0"/>
                <w:bCs/>
                <w:color w:val="auto"/>
                <w:kern w:val="0"/>
                <w:lang w:val="en-US" w:eastAsia="zh-CN"/>
              </w:rPr>
              <w:t>拟建</w:t>
            </w:r>
            <w:r>
              <w:rPr>
                <w:rFonts w:hint="eastAsia" w:ascii="Times New Roman" w:hAnsi="Times New Roman" w:eastAsia="宋体" w:cs="Times New Roman"/>
                <w:b w:val="0"/>
                <w:bCs/>
                <w:color w:val="auto"/>
                <w:kern w:val="0"/>
                <w:lang w:val="en-US" w:eastAsia="zh-CN"/>
              </w:rPr>
              <w:t>项目</w:t>
            </w:r>
            <w:r>
              <w:rPr>
                <w:rFonts w:hint="default" w:ascii="Times New Roman" w:hAnsi="Times New Roman" w:eastAsia="宋体" w:cs="Times New Roman"/>
                <w:b w:val="0"/>
                <w:bCs/>
                <w:color w:val="auto"/>
                <w:kern w:val="0"/>
                <w:lang w:val="en-US" w:eastAsia="zh-CN"/>
              </w:rPr>
              <w:t>与环评批复相关要求符合性见表1.1-1。</w:t>
            </w:r>
          </w:p>
          <w:p w14:paraId="706FF61F">
            <w:pPr>
              <w:keepNext w:val="0"/>
              <w:keepLines w:val="0"/>
              <w:suppressLineNumbers w:val="0"/>
              <w:autoSpaceDE/>
              <w:autoSpaceDN/>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kern w:val="0"/>
              </w:rPr>
            </w:pPr>
            <w:r>
              <w:rPr>
                <w:rFonts w:hint="default" w:ascii="Times New Roman" w:hAnsi="Times New Roman" w:eastAsia="宋体" w:cs="Times New Roman"/>
                <w:b/>
                <w:bCs/>
                <w:color w:val="auto"/>
                <w:kern w:val="0"/>
              </w:rPr>
              <w:t>表1</w:t>
            </w:r>
            <w:r>
              <w:rPr>
                <w:rFonts w:hint="default" w:ascii="Times New Roman" w:hAnsi="Times New Roman" w:eastAsia="宋体" w:cs="Times New Roman"/>
                <w:b/>
                <w:bCs/>
                <w:color w:val="auto"/>
                <w:kern w:val="0"/>
                <w:lang w:val="en-US" w:eastAsia="zh-CN"/>
              </w:rPr>
              <w:t>.1</w:t>
            </w:r>
            <w:r>
              <w:rPr>
                <w:rFonts w:hint="default" w:ascii="Times New Roman" w:hAnsi="Times New Roman" w:eastAsia="宋体" w:cs="Times New Roman"/>
                <w:b/>
                <w:bCs/>
                <w:color w:val="auto"/>
                <w:kern w:val="0"/>
              </w:rPr>
              <w:t>-</w:t>
            </w:r>
            <w:r>
              <w:rPr>
                <w:rFonts w:hint="default" w:ascii="Times New Roman" w:hAnsi="Times New Roman" w:eastAsia="宋体" w:cs="Times New Roman"/>
                <w:b/>
                <w:bCs/>
                <w:color w:val="auto"/>
                <w:kern w:val="0"/>
                <w:lang w:val="en-US" w:eastAsia="zh-CN"/>
              </w:rPr>
              <w:t>1</w:t>
            </w:r>
            <w:r>
              <w:rPr>
                <w:rFonts w:hint="default" w:ascii="Times New Roman" w:hAnsi="Times New Roman" w:eastAsia="宋体" w:cs="Times New Roman"/>
                <w:b/>
                <w:bCs/>
                <w:color w:val="auto"/>
                <w:kern w:val="0"/>
              </w:rPr>
              <w:t xml:space="preserve">  </w:t>
            </w:r>
            <w:r>
              <w:rPr>
                <w:rFonts w:hint="eastAsia" w:cs="Times New Roman"/>
                <w:b/>
                <w:bCs/>
                <w:color w:val="auto"/>
                <w:kern w:val="0"/>
                <w:lang w:val="en-US" w:eastAsia="zh-CN"/>
              </w:rPr>
              <w:t>拟建</w:t>
            </w:r>
            <w:r>
              <w:rPr>
                <w:rFonts w:hint="eastAsia" w:ascii="Times New Roman" w:hAnsi="Times New Roman" w:eastAsia="宋体" w:cs="Times New Roman"/>
                <w:b/>
                <w:bCs/>
                <w:color w:val="auto"/>
                <w:kern w:val="0"/>
                <w:lang w:val="en-US" w:eastAsia="zh-CN"/>
              </w:rPr>
              <w:t>项目</w:t>
            </w:r>
            <w:r>
              <w:rPr>
                <w:rFonts w:hint="default" w:ascii="Times New Roman" w:hAnsi="Times New Roman" w:eastAsia="宋体" w:cs="Times New Roman"/>
                <w:b/>
                <w:bCs/>
                <w:color w:val="auto"/>
                <w:kern w:val="0"/>
              </w:rPr>
              <w:t>与园区规划环评</w:t>
            </w:r>
            <w:r>
              <w:rPr>
                <w:rFonts w:hint="default" w:ascii="Times New Roman" w:hAnsi="Times New Roman" w:eastAsia="宋体" w:cs="Times New Roman"/>
                <w:b/>
                <w:bCs/>
                <w:color w:val="auto"/>
                <w:kern w:val="0"/>
                <w:lang w:eastAsia="zh-CN"/>
              </w:rPr>
              <w:t>及批复</w:t>
            </w:r>
            <w:r>
              <w:rPr>
                <w:rFonts w:hint="default" w:ascii="Times New Roman" w:hAnsi="Times New Roman" w:eastAsia="宋体" w:cs="Times New Roman"/>
                <w:b/>
                <w:bCs/>
                <w:color w:val="auto"/>
                <w:kern w:val="0"/>
              </w:rPr>
              <w:t>相符性分析表</w:t>
            </w:r>
          </w:p>
          <w:tbl>
            <w:tblPr>
              <w:tblStyle w:val="27"/>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28" w:type="dxa"/>
                <w:bottom w:w="0" w:type="dxa"/>
                <w:right w:w="28" w:type="dxa"/>
              </w:tblCellMar>
            </w:tblPr>
            <w:tblGrid>
              <w:gridCol w:w="750"/>
              <w:gridCol w:w="3529"/>
              <w:gridCol w:w="3076"/>
              <w:gridCol w:w="1029"/>
            </w:tblGrid>
            <w:tr w14:paraId="7544808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40" w:hRule="atLeast"/>
              </w:trPr>
              <w:tc>
                <w:tcPr>
                  <w:tcW w:w="447" w:type="pct"/>
                  <w:vAlign w:val="center"/>
                </w:tcPr>
                <w:p w14:paraId="4C800FA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kern w:val="0"/>
                      <w:sz w:val="18"/>
                      <w:szCs w:val="18"/>
                      <w:lang w:eastAsia="zh-CN"/>
                    </w:rPr>
                  </w:pPr>
                  <w:r>
                    <w:rPr>
                      <w:rFonts w:hint="default" w:ascii="Times New Roman" w:hAnsi="Times New Roman" w:eastAsia="宋体" w:cs="Times New Roman"/>
                      <w:b/>
                      <w:bCs/>
                      <w:color w:val="auto"/>
                      <w:kern w:val="0"/>
                      <w:sz w:val="18"/>
                      <w:szCs w:val="18"/>
                      <w:lang w:eastAsia="zh-CN"/>
                    </w:rPr>
                    <w:t>序号</w:t>
                  </w:r>
                </w:p>
              </w:tc>
              <w:tc>
                <w:tcPr>
                  <w:tcW w:w="2104" w:type="pct"/>
                  <w:vAlign w:val="center"/>
                </w:tcPr>
                <w:p w14:paraId="3C869D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kern w:val="0"/>
                      <w:sz w:val="18"/>
                      <w:szCs w:val="18"/>
                    </w:rPr>
                  </w:pPr>
                  <w:r>
                    <w:rPr>
                      <w:rFonts w:hint="default" w:ascii="Times New Roman" w:hAnsi="Times New Roman" w:eastAsia="宋体" w:cs="Times New Roman"/>
                      <w:b/>
                      <w:bCs/>
                      <w:color w:val="auto"/>
                      <w:kern w:val="0"/>
                      <w:sz w:val="18"/>
                      <w:szCs w:val="18"/>
                    </w:rPr>
                    <w:t>园区规划环评</w:t>
                  </w:r>
                  <w:r>
                    <w:rPr>
                      <w:rFonts w:hint="default" w:ascii="Times New Roman" w:hAnsi="Times New Roman" w:eastAsia="宋体" w:cs="Times New Roman"/>
                      <w:b/>
                      <w:bCs/>
                      <w:color w:val="auto"/>
                      <w:kern w:val="0"/>
                      <w:sz w:val="18"/>
                      <w:szCs w:val="18"/>
                      <w:lang w:eastAsia="zh-CN"/>
                    </w:rPr>
                    <w:t>批复</w:t>
                  </w:r>
                  <w:r>
                    <w:rPr>
                      <w:rFonts w:hint="default" w:ascii="Times New Roman" w:hAnsi="Times New Roman" w:eastAsia="宋体" w:cs="Times New Roman"/>
                      <w:b/>
                      <w:bCs/>
                      <w:color w:val="auto"/>
                      <w:kern w:val="0"/>
                      <w:sz w:val="18"/>
                      <w:szCs w:val="18"/>
                    </w:rPr>
                    <w:t>要求</w:t>
                  </w:r>
                </w:p>
              </w:tc>
              <w:tc>
                <w:tcPr>
                  <w:tcW w:w="1834" w:type="pct"/>
                  <w:vAlign w:val="center"/>
                </w:tcPr>
                <w:p w14:paraId="24B791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kern w:val="0"/>
                      <w:sz w:val="18"/>
                      <w:szCs w:val="18"/>
                    </w:rPr>
                  </w:pPr>
                  <w:r>
                    <w:rPr>
                      <w:rFonts w:hint="eastAsia" w:cs="Times New Roman"/>
                      <w:b/>
                      <w:bCs/>
                      <w:color w:val="auto"/>
                      <w:kern w:val="0"/>
                      <w:sz w:val="18"/>
                      <w:szCs w:val="18"/>
                      <w:lang w:eastAsia="zh-CN"/>
                    </w:rPr>
                    <w:t>本</w:t>
                  </w:r>
                  <w:r>
                    <w:rPr>
                      <w:rFonts w:hint="default" w:ascii="Times New Roman" w:hAnsi="Times New Roman" w:eastAsia="宋体" w:cs="Times New Roman"/>
                      <w:b/>
                      <w:bCs/>
                      <w:color w:val="auto"/>
                      <w:kern w:val="0"/>
                      <w:sz w:val="18"/>
                      <w:szCs w:val="18"/>
                      <w:lang w:eastAsia="zh-CN"/>
                    </w:rPr>
                    <w:t>项目</w:t>
                  </w:r>
                  <w:r>
                    <w:rPr>
                      <w:rFonts w:hint="default" w:ascii="Times New Roman" w:hAnsi="Times New Roman" w:eastAsia="宋体" w:cs="Times New Roman"/>
                      <w:b/>
                      <w:bCs/>
                      <w:color w:val="auto"/>
                      <w:kern w:val="0"/>
                      <w:sz w:val="18"/>
                      <w:szCs w:val="18"/>
                    </w:rPr>
                    <w:t>情况</w:t>
                  </w:r>
                </w:p>
              </w:tc>
              <w:tc>
                <w:tcPr>
                  <w:tcW w:w="613" w:type="pct"/>
                  <w:vAlign w:val="center"/>
                </w:tcPr>
                <w:p w14:paraId="10201A2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kern w:val="0"/>
                      <w:sz w:val="18"/>
                      <w:szCs w:val="18"/>
                    </w:rPr>
                  </w:pPr>
                  <w:r>
                    <w:rPr>
                      <w:rFonts w:hint="default" w:ascii="Times New Roman" w:hAnsi="Times New Roman" w:eastAsia="宋体" w:cs="Times New Roman"/>
                      <w:b/>
                      <w:bCs/>
                      <w:color w:val="auto"/>
                      <w:kern w:val="0"/>
                      <w:sz w:val="18"/>
                      <w:szCs w:val="18"/>
                    </w:rPr>
                    <w:t>相符性分析</w:t>
                  </w:r>
                </w:p>
              </w:tc>
            </w:tr>
            <w:tr w14:paraId="23F26CD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40" w:hRule="atLeast"/>
              </w:trPr>
              <w:tc>
                <w:tcPr>
                  <w:tcW w:w="447" w:type="pct"/>
                  <w:vAlign w:val="center"/>
                </w:tcPr>
                <w:p w14:paraId="000FF7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0"/>
                      <w:sz w:val="18"/>
                      <w:szCs w:val="18"/>
                      <w:lang w:val="en-US" w:eastAsia="zh-CN"/>
                    </w:rPr>
                  </w:pPr>
                  <w:r>
                    <w:rPr>
                      <w:rFonts w:hint="default" w:ascii="Times New Roman" w:hAnsi="Times New Roman" w:eastAsia="宋体" w:cs="Times New Roman"/>
                      <w:color w:val="auto"/>
                      <w:kern w:val="0"/>
                      <w:sz w:val="18"/>
                      <w:szCs w:val="18"/>
                      <w:lang w:val="en-US" w:eastAsia="zh-CN"/>
                    </w:rPr>
                    <w:t>1</w:t>
                  </w:r>
                </w:p>
              </w:tc>
              <w:tc>
                <w:tcPr>
                  <w:tcW w:w="2104" w:type="pct"/>
                  <w:vAlign w:val="center"/>
                </w:tcPr>
                <w:p w14:paraId="29F1E58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入区项目必须严格执行建设项目环境影响评价制度和“三同时”制度，鼓励与扶持企业内部和企业之间副产品与能源梯级利用，废弃物减量化、资源化、循环利用。</w:t>
                  </w:r>
                </w:p>
              </w:tc>
              <w:tc>
                <w:tcPr>
                  <w:tcW w:w="1834" w:type="pct"/>
                  <w:vAlign w:val="center"/>
                </w:tcPr>
                <w:p w14:paraId="36BEC02A">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eastAsia" w:cs="Times New Roman"/>
                      <w:bCs/>
                      <w:color w:val="auto"/>
                      <w:sz w:val="18"/>
                      <w:szCs w:val="18"/>
                      <w:lang w:val="en-US" w:eastAsia="zh-CN"/>
                    </w:rPr>
                    <w:t>拟建</w:t>
                  </w:r>
                  <w:r>
                    <w:rPr>
                      <w:rFonts w:hint="default" w:ascii="Times New Roman" w:hAnsi="Times New Roman" w:eastAsia="宋体" w:cs="Times New Roman"/>
                      <w:bCs/>
                      <w:color w:val="auto"/>
                      <w:sz w:val="18"/>
                      <w:szCs w:val="18"/>
                      <w:lang w:val="en-US" w:eastAsia="zh-CN"/>
                    </w:rPr>
                    <w:t>项目严格执行建设项目环境影响评价制度和“三同时”制度。项目产生的渣铁外售综合利用或安全处置，项目各类固废均安全高效处置，不产生二次污染；项目资源能源利用符合资源利用上线要求</w:t>
                  </w:r>
                  <w:r>
                    <w:rPr>
                      <w:rFonts w:hint="default" w:ascii="Times New Roman" w:hAnsi="Times New Roman" w:eastAsia="宋体" w:cs="Times New Roman"/>
                      <w:color w:val="auto"/>
                      <w:sz w:val="18"/>
                      <w:szCs w:val="18"/>
                    </w:rPr>
                    <w:t>。</w:t>
                  </w:r>
                </w:p>
              </w:tc>
              <w:tc>
                <w:tcPr>
                  <w:tcW w:w="613" w:type="pct"/>
                  <w:vAlign w:val="center"/>
                </w:tcPr>
                <w:p w14:paraId="14A3D8F5">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符合</w:t>
                  </w:r>
                </w:p>
              </w:tc>
            </w:tr>
            <w:tr w14:paraId="0699125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40" w:hRule="atLeast"/>
              </w:trPr>
              <w:tc>
                <w:tcPr>
                  <w:tcW w:w="447" w:type="pct"/>
                  <w:vAlign w:val="center"/>
                </w:tcPr>
                <w:p w14:paraId="009DAE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olor w:val="auto"/>
                      <w:kern w:val="0"/>
                      <w:sz w:val="18"/>
                      <w:szCs w:val="18"/>
                      <w:lang w:val="en-US" w:eastAsia="zh-CN"/>
                    </w:rPr>
                  </w:pPr>
                  <w:r>
                    <w:rPr>
                      <w:rFonts w:hint="default" w:ascii="Times New Roman" w:hAnsi="Times New Roman" w:eastAsia="宋体" w:cs="Times New Roman"/>
                      <w:color w:val="auto"/>
                      <w:kern w:val="0"/>
                      <w:sz w:val="18"/>
                      <w:szCs w:val="18"/>
                      <w:lang w:val="en-US" w:eastAsia="zh-CN"/>
                    </w:rPr>
                    <w:t>2</w:t>
                  </w:r>
                </w:p>
              </w:tc>
              <w:tc>
                <w:tcPr>
                  <w:tcW w:w="2104" w:type="pct"/>
                  <w:vAlign w:val="center"/>
                </w:tcPr>
                <w:p w14:paraId="1AD837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必须加强对入区企业的污染控制，鼓励和优先发展生产工艺、设备和环保设施先进及污染低、技术含量高、节能、节约资源的项目。新渡工业集中区产业定位以轻工、机械电子、建材、食品、纺织、医药、新能源、新材料产业为主，化工、电镀、酿造、印染、水泥等重污染项目不得进入园区。应严格对照《产业结构调整指导目录（2011年本）等国家与地方政策要求，禁止引进国家经济政策、环保政策、技术政策禁止的项目，并执行国家、省、市相关审批权限规定。</w:t>
                  </w:r>
                </w:p>
              </w:tc>
              <w:tc>
                <w:tcPr>
                  <w:tcW w:w="1834" w:type="pct"/>
                  <w:vAlign w:val="center"/>
                </w:tcPr>
                <w:p w14:paraId="6B5F2C1A">
                  <w:pPr>
                    <w:keepNext w:val="0"/>
                    <w:keepLines w:val="0"/>
                    <w:pageBreakBefore w:val="0"/>
                    <w:widowControl/>
                    <w:suppressLineNumbers w:val="0"/>
                    <w:kinsoku/>
                    <w:wordWrap/>
                    <w:overflowPunct/>
                    <w:topLinePunct w:val="0"/>
                    <w:bidi w:val="0"/>
                    <w:adjustRightIn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eastAsia" w:cs="Times New Roman"/>
                      <w:bCs/>
                      <w:color w:val="auto"/>
                      <w:sz w:val="18"/>
                      <w:szCs w:val="18"/>
                      <w:lang w:val="en-US" w:eastAsia="zh-CN"/>
                    </w:rPr>
                    <w:t>拟建</w:t>
                  </w:r>
                  <w:r>
                    <w:rPr>
                      <w:rFonts w:hint="default" w:ascii="Times New Roman" w:hAnsi="Times New Roman" w:eastAsia="宋体" w:cs="Times New Roman"/>
                      <w:bCs/>
                      <w:color w:val="auto"/>
                      <w:sz w:val="18"/>
                      <w:szCs w:val="18"/>
                      <w:lang w:val="en-US" w:eastAsia="zh-CN"/>
                    </w:rPr>
                    <w:t>项目属于</w:t>
                  </w:r>
                  <w:r>
                    <w:rPr>
                      <w:rFonts w:hint="eastAsia" w:cs="Times New Roman"/>
                      <w:bCs/>
                      <w:color w:val="auto"/>
                      <w:sz w:val="18"/>
                      <w:szCs w:val="18"/>
                      <w:lang w:val="en-US" w:eastAsia="zh-CN"/>
                    </w:rPr>
                    <w:t>耐火材料制造项目</w:t>
                  </w:r>
                  <w:r>
                    <w:rPr>
                      <w:rFonts w:hint="default" w:ascii="Times New Roman" w:hAnsi="Times New Roman" w:eastAsia="宋体" w:cs="Times New Roman"/>
                      <w:bCs/>
                      <w:color w:val="auto"/>
                      <w:sz w:val="18"/>
                      <w:szCs w:val="18"/>
                      <w:lang w:val="en-US" w:eastAsia="zh-CN"/>
                    </w:rPr>
                    <w:t>，</w:t>
                  </w:r>
                  <w:r>
                    <w:rPr>
                      <w:rFonts w:hint="eastAsia" w:cs="Times New Roman"/>
                      <w:bCs/>
                      <w:color w:val="auto"/>
                      <w:sz w:val="18"/>
                      <w:szCs w:val="18"/>
                      <w:lang w:val="en-US" w:eastAsia="zh-CN"/>
                    </w:rPr>
                    <w:t>拟建</w:t>
                  </w:r>
                  <w:r>
                    <w:rPr>
                      <w:rFonts w:hint="default" w:ascii="Times New Roman" w:hAnsi="Times New Roman" w:eastAsia="宋体" w:cs="Times New Roman"/>
                      <w:bCs/>
                      <w:color w:val="auto"/>
                      <w:sz w:val="18"/>
                      <w:szCs w:val="18"/>
                      <w:lang w:val="en-US" w:eastAsia="zh-CN"/>
                    </w:rPr>
                    <w:t>项目采用较先进的生产工艺设备且项目不属于化工、电镀、酿造、印染等重污染项目。经查《产业结构调整指导目录》（2024年本）（国家发展和改革委员会令第7号），项目不属于鼓励类、限制类、淘汰类项目，视为允许类项目。</w:t>
                  </w:r>
                </w:p>
              </w:tc>
              <w:tc>
                <w:tcPr>
                  <w:tcW w:w="613" w:type="pct"/>
                  <w:vAlign w:val="center"/>
                </w:tcPr>
                <w:p w14:paraId="26A91C89">
                  <w:pPr>
                    <w:keepNext w:val="0"/>
                    <w:keepLines w:val="0"/>
                    <w:pageBreakBefore w:val="0"/>
                    <w:widowControl/>
                    <w:suppressLineNumbers w:val="0"/>
                    <w:kinsoku/>
                    <w:wordWrap/>
                    <w:overflowPunct/>
                    <w:topLinePunct w:val="0"/>
                    <w:bidi w:val="0"/>
                    <w:adjustRightIn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符合</w:t>
                  </w:r>
                </w:p>
              </w:tc>
            </w:tr>
            <w:tr w14:paraId="416D87C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40" w:hRule="atLeast"/>
              </w:trPr>
              <w:tc>
                <w:tcPr>
                  <w:tcW w:w="447" w:type="pct"/>
                  <w:vAlign w:val="center"/>
                </w:tcPr>
                <w:p w14:paraId="4A082A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olor w:val="auto"/>
                      <w:kern w:val="0"/>
                      <w:sz w:val="18"/>
                      <w:szCs w:val="18"/>
                      <w:lang w:val="en-US" w:eastAsia="zh-CN"/>
                    </w:rPr>
                  </w:pPr>
                  <w:r>
                    <w:rPr>
                      <w:rFonts w:hint="default" w:ascii="Times New Roman" w:hAnsi="Times New Roman" w:eastAsia="宋体" w:cs="Times New Roman"/>
                      <w:color w:val="auto"/>
                      <w:kern w:val="0"/>
                      <w:sz w:val="18"/>
                      <w:szCs w:val="18"/>
                      <w:lang w:val="en-US" w:eastAsia="zh-CN"/>
                    </w:rPr>
                    <w:t>3</w:t>
                  </w:r>
                </w:p>
              </w:tc>
              <w:tc>
                <w:tcPr>
                  <w:tcW w:w="2104" w:type="pct"/>
                  <w:vAlign w:val="center"/>
                </w:tcPr>
                <w:p w14:paraId="61C8D26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kern w:val="0"/>
                      <w:sz w:val="18"/>
                      <w:szCs w:val="18"/>
                    </w:rPr>
                  </w:pPr>
                  <w:r>
                    <w:rPr>
                      <w:rFonts w:hint="default" w:ascii="Times New Roman" w:hAnsi="Times New Roman" w:eastAsia="宋体" w:cs="Times New Roman"/>
                      <w:b w:val="0"/>
                      <w:bCs w:val="0"/>
                      <w:color w:val="auto"/>
                      <w:kern w:val="0"/>
                      <w:sz w:val="18"/>
                      <w:szCs w:val="18"/>
                    </w:rPr>
                    <w:t>区内企业不得自建燃煤锅炉，确因工艺需要建设的加热设施需使用天然气、轻质柴油等清洁能源。入区企业生产废气需经有效处理后达标排放，并严格控制和减少各类废气的无组织排放。区内污水接入拟建的新渡工业集中区污水处理厂集中处理，按照“雨污分流、清污分流、中水回用”的要求建设区内截污管网和中水回用管网。区内工业固废应分类收集处理或综合利用，危险废物由企业委托有相应危废资质的单位进行安全处置。</w:t>
                  </w:r>
                </w:p>
              </w:tc>
              <w:tc>
                <w:tcPr>
                  <w:tcW w:w="1834" w:type="pct"/>
                  <w:vAlign w:val="center"/>
                </w:tcPr>
                <w:p w14:paraId="41841636">
                  <w:pPr>
                    <w:keepNext w:val="0"/>
                    <w:keepLines w:val="0"/>
                    <w:pageBreakBefore w:val="0"/>
                    <w:widowControl/>
                    <w:numPr>
                      <w:ilvl w:val="0"/>
                      <w:numId w:val="5"/>
                    </w:numPr>
                    <w:suppressLineNumbers w:val="0"/>
                    <w:kinsoku/>
                    <w:wordWrap/>
                    <w:overflowPunct/>
                    <w:topLinePunct w:val="0"/>
                    <w:bidi w:val="0"/>
                    <w:adjustRightIn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18"/>
                      <w:szCs w:val="18"/>
                      <w:lang w:val="en-US" w:eastAsia="zh-CN"/>
                    </w:rPr>
                  </w:pPr>
                  <w:r>
                    <w:rPr>
                      <w:rFonts w:hint="eastAsia" w:cs="Times New Roman"/>
                      <w:bCs/>
                      <w:color w:val="auto"/>
                      <w:sz w:val="18"/>
                      <w:szCs w:val="18"/>
                      <w:lang w:val="en-US" w:eastAsia="zh-CN"/>
                    </w:rPr>
                    <w:t>拟建</w:t>
                  </w:r>
                  <w:r>
                    <w:rPr>
                      <w:rFonts w:hint="default" w:ascii="Times New Roman" w:hAnsi="Times New Roman" w:eastAsia="宋体" w:cs="Times New Roman"/>
                      <w:bCs/>
                      <w:color w:val="auto"/>
                      <w:sz w:val="18"/>
                      <w:szCs w:val="18"/>
                      <w:lang w:val="en-US" w:eastAsia="zh-CN"/>
                    </w:rPr>
                    <w:t>项目不涉及锅炉的使用。</w:t>
                  </w:r>
                </w:p>
                <w:p w14:paraId="74A2DF70">
                  <w:pPr>
                    <w:keepNext w:val="0"/>
                    <w:keepLines w:val="0"/>
                    <w:pageBreakBefore w:val="0"/>
                    <w:widowControl/>
                    <w:numPr>
                      <w:ilvl w:val="0"/>
                      <w:numId w:val="5"/>
                    </w:numPr>
                    <w:suppressLineNumbers w:val="0"/>
                    <w:kinsoku/>
                    <w:wordWrap/>
                    <w:overflowPunct/>
                    <w:topLinePunct w:val="0"/>
                    <w:bidi w:val="0"/>
                    <w:adjustRightIn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Cs/>
                      <w:color w:val="auto"/>
                      <w:sz w:val="18"/>
                      <w:szCs w:val="18"/>
                      <w:lang w:val="en-US" w:eastAsia="zh-CN"/>
                    </w:rPr>
                  </w:pPr>
                  <w:r>
                    <w:rPr>
                      <w:rFonts w:hint="eastAsia" w:cs="Times New Roman"/>
                      <w:bCs/>
                      <w:color w:val="auto"/>
                      <w:sz w:val="18"/>
                      <w:szCs w:val="18"/>
                      <w:lang w:val="en-US" w:eastAsia="zh-CN"/>
                    </w:rPr>
                    <w:t>拟建</w:t>
                  </w:r>
                  <w:r>
                    <w:rPr>
                      <w:rFonts w:hint="default" w:ascii="Times New Roman" w:hAnsi="Times New Roman" w:eastAsia="宋体" w:cs="Times New Roman"/>
                      <w:bCs/>
                      <w:color w:val="auto"/>
                      <w:sz w:val="18"/>
                      <w:szCs w:val="18"/>
                      <w:lang w:val="en-US" w:eastAsia="zh-CN"/>
                    </w:rPr>
                    <w:t>项目各类废气均经收集后高效处理，废气处理系统划分合理，覆盖面大，最大程度降低了无组织颗粒物的排放。</w:t>
                  </w:r>
                </w:p>
                <w:p w14:paraId="7927E2EA">
                  <w:pPr>
                    <w:keepNext w:val="0"/>
                    <w:keepLines w:val="0"/>
                    <w:pageBreakBefore w:val="0"/>
                    <w:widowControl/>
                    <w:numPr>
                      <w:ilvl w:val="0"/>
                      <w:numId w:val="5"/>
                    </w:numPr>
                    <w:suppressLineNumbers w:val="0"/>
                    <w:kinsoku/>
                    <w:wordWrap/>
                    <w:overflowPunct/>
                    <w:topLinePunct w:val="0"/>
                    <w:bidi w:val="0"/>
                    <w:adjustRightIn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Cs/>
                      <w:color w:val="auto"/>
                      <w:sz w:val="18"/>
                      <w:szCs w:val="18"/>
                      <w:lang w:val="en-US" w:eastAsia="zh-CN"/>
                    </w:rPr>
                  </w:pPr>
                  <w:r>
                    <w:rPr>
                      <w:rFonts w:hint="eastAsia" w:cs="Times New Roman"/>
                      <w:bCs/>
                      <w:color w:val="auto"/>
                      <w:sz w:val="18"/>
                      <w:szCs w:val="18"/>
                      <w:lang w:val="en-US" w:eastAsia="zh-CN"/>
                    </w:rPr>
                    <w:t>拟建</w:t>
                  </w:r>
                  <w:r>
                    <w:rPr>
                      <w:rFonts w:hint="default" w:ascii="Times New Roman" w:hAnsi="Times New Roman" w:eastAsia="宋体" w:cs="Times New Roman"/>
                      <w:bCs/>
                      <w:color w:val="auto"/>
                      <w:sz w:val="18"/>
                      <w:szCs w:val="18"/>
                      <w:lang w:val="en-US" w:eastAsia="zh-CN"/>
                    </w:rPr>
                    <w:t>项目</w:t>
                  </w:r>
                  <w:r>
                    <w:rPr>
                      <w:rFonts w:hint="eastAsia" w:cs="Times New Roman"/>
                      <w:bCs/>
                      <w:color w:val="auto"/>
                      <w:sz w:val="18"/>
                      <w:szCs w:val="18"/>
                      <w:lang w:val="en-US" w:eastAsia="zh-CN"/>
                    </w:rPr>
                    <w:t>将</w:t>
                  </w:r>
                  <w:r>
                    <w:rPr>
                      <w:rFonts w:hint="default" w:ascii="Times New Roman" w:hAnsi="Times New Roman" w:eastAsia="宋体" w:cs="Times New Roman"/>
                      <w:bCs/>
                      <w:color w:val="auto"/>
                      <w:sz w:val="18"/>
                      <w:szCs w:val="18"/>
                      <w:lang w:val="en-US" w:eastAsia="zh-CN"/>
                    </w:rPr>
                    <w:t>按照“雨污分流、清污分流、”的要求设置</w:t>
                  </w:r>
                  <w:r>
                    <w:rPr>
                      <w:rFonts w:hint="eastAsia" w:cs="Times New Roman"/>
                      <w:bCs/>
                      <w:color w:val="auto"/>
                      <w:sz w:val="18"/>
                      <w:szCs w:val="18"/>
                      <w:lang w:val="en-US" w:eastAsia="zh-CN"/>
                    </w:rPr>
                    <w:t>雨污</w:t>
                  </w:r>
                  <w:r>
                    <w:rPr>
                      <w:rFonts w:hint="default" w:ascii="Times New Roman" w:hAnsi="Times New Roman" w:eastAsia="宋体" w:cs="Times New Roman"/>
                      <w:bCs/>
                      <w:color w:val="auto"/>
                      <w:sz w:val="18"/>
                      <w:szCs w:val="18"/>
                      <w:lang w:val="en-US" w:eastAsia="zh-CN"/>
                    </w:rPr>
                    <w:t>管网，项目</w:t>
                  </w:r>
                  <w:r>
                    <w:rPr>
                      <w:rFonts w:hint="eastAsia" w:cs="Times New Roman"/>
                      <w:bCs/>
                      <w:color w:val="auto"/>
                      <w:sz w:val="18"/>
                      <w:szCs w:val="18"/>
                      <w:lang w:val="en-US" w:eastAsia="zh-CN"/>
                    </w:rPr>
                    <w:t>生活污水经化粪池处理后通过污水管网排入新渡片区污水处理厂</w:t>
                  </w:r>
                  <w:r>
                    <w:rPr>
                      <w:rFonts w:hint="default" w:ascii="Times New Roman" w:hAnsi="Times New Roman" w:eastAsia="宋体" w:cs="Times New Roman"/>
                      <w:bCs/>
                      <w:color w:val="auto"/>
                      <w:sz w:val="18"/>
                      <w:szCs w:val="18"/>
                      <w:lang w:val="en-US" w:eastAsia="zh-CN"/>
                    </w:rPr>
                    <w:t>。</w:t>
                  </w:r>
                </w:p>
                <w:p w14:paraId="33BE7BF4">
                  <w:pPr>
                    <w:keepNext w:val="0"/>
                    <w:keepLines w:val="0"/>
                    <w:pageBreakBefore w:val="0"/>
                    <w:widowControl/>
                    <w:numPr>
                      <w:ilvl w:val="0"/>
                      <w:numId w:val="0"/>
                    </w:numPr>
                    <w:suppressLineNumbers w:val="0"/>
                    <w:kinsoku/>
                    <w:wordWrap/>
                    <w:overflowPunct/>
                    <w:topLinePunct w:val="0"/>
                    <w:bidi w:val="0"/>
                    <w:adjustRightIn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Cs/>
                      <w:color w:val="auto"/>
                      <w:sz w:val="18"/>
                      <w:szCs w:val="18"/>
                      <w:lang w:val="en-US" w:eastAsia="zh-CN"/>
                    </w:rPr>
                  </w:pPr>
                  <w:r>
                    <w:rPr>
                      <w:rFonts w:hint="default" w:ascii="Times New Roman" w:hAnsi="Times New Roman" w:eastAsia="宋体" w:cs="Times New Roman"/>
                      <w:bCs/>
                      <w:color w:val="auto"/>
                      <w:sz w:val="18"/>
                      <w:szCs w:val="18"/>
                      <w:lang w:val="en-US" w:eastAsia="zh-CN"/>
                    </w:rPr>
                    <w:t>（4）</w:t>
                  </w:r>
                  <w:r>
                    <w:rPr>
                      <w:rFonts w:hint="eastAsia" w:cs="Times New Roman"/>
                      <w:bCs/>
                      <w:color w:val="auto"/>
                      <w:sz w:val="18"/>
                      <w:szCs w:val="18"/>
                      <w:lang w:val="en-US" w:eastAsia="zh-CN"/>
                    </w:rPr>
                    <w:t>拟建</w:t>
                  </w:r>
                  <w:r>
                    <w:rPr>
                      <w:rFonts w:hint="default" w:ascii="Times New Roman" w:hAnsi="Times New Roman" w:eastAsia="宋体" w:cs="Times New Roman"/>
                      <w:bCs/>
                      <w:color w:val="auto"/>
                      <w:sz w:val="18"/>
                      <w:szCs w:val="18"/>
                      <w:lang w:val="en-US" w:eastAsia="zh-CN"/>
                    </w:rPr>
                    <w:t>项目产生的工业固废经分类收集、暂存后合理处置或者综合利用。</w:t>
                  </w:r>
                </w:p>
              </w:tc>
              <w:tc>
                <w:tcPr>
                  <w:tcW w:w="613" w:type="pct"/>
                  <w:vAlign w:val="center"/>
                </w:tcPr>
                <w:p w14:paraId="21021EB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符合</w:t>
                  </w:r>
                </w:p>
              </w:tc>
            </w:tr>
            <w:tr w14:paraId="7D161AC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40" w:hRule="atLeast"/>
              </w:trPr>
              <w:tc>
                <w:tcPr>
                  <w:tcW w:w="447" w:type="pct"/>
                  <w:vAlign w:val="center"/>
                </w:tcPr>
                <w:p w14:paraId="6D38C3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b w:val="0"/>
                      <w:bCs w:val="0"/>
                      <w:color w:val="auto"/>
                      <w:kern w:val="0"/>
                      <w:sz w:val="18"/>
                      <w:szCs w:val="18"/>
                      <w:lang w:val="en-US" w:eastAsia="zh-CN"/>
                    </w:rPr>
                  </w:pPr>
                  <w:r>
                    <w:rPr>
                      <w:rFonts w:hint="default" w:ascii="Times New Roman" w:hAnsi="Times New Roman" w:eastAsia="宋体" w:cs="Times New Roman"/>
                      <w:b w:val="0"/>
                      <w:bCs w:val="0"/>
                      <w:color w:val="auto"/>
                      <w:kern w:val="0"/>
                      <w:sz w:val="18"/>
                      <w:szCs w:val="18"/>
                      <w:lang w:val="en-US" w:eastAsia="zh-CN"/>
                    </w:rPr>
                    <w:t>4</w:t>
                  </w:r>
                </w:p>
              </w:tc>
              <w:tc>
                <w:tcPr>
                  <w:tcW w:w="2104" w:type="pct"/>
                  <w:vAlign w:val="center"/>
                </w:tcPr>
                <w:p w14:paraId="34276A0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b w:val="0"/>
                      <w:bCs w:val="0"/>
                      <w:color w:val="auto"/>
                      <w:kern w:val="0"/>
                      <w:sz w:val="18"/>
                      <w:szCs w:val="18"/>
                    </w:rPr>
                  </w:pPr>
                  <w:r>
                    <w:rPr>
                      <w:rFonts w:hint="default" w:ascii="Times New Roman" w:hAnsi="Times New Roman" w:eastAsia="宋体" w:cs="Times New Roman"/>
                      <w:b w:val="0"/>
                      <w:bCs w:val="0"/>
                      <w:color w:val="auto"/>
                      <w:kern w:val="0"/>
                      <w:sz w:val="18"/>
                      <w:szCs w:val="18"/>
                    </w:rPr>
                    <w:t>须高度重视和加强新渡工业集中区的环境安全管理工作，制定并落实区内建设项目环境风险防范措施和事故应急预案，防止事故性污染的发生。</w:t>
                  </w:r>
                </w:p>
              </w:tc>
              <w:tc>
                <w:tcPr>
                  <w:tcW w:w="1834" w:type="pct"/>
                  <w:vAlign w:val="center"/>
                </w:tcPr>
                <w:p w14:paraId="10AE3C63">
                  <w:pPr>
                    <w:keepNext w:val="0"/>
                    <w:keepLines w:val="0"/>
                    <w:pageBreakBefore w:val="0"/>
                    <w:widowControl/>
                    <w:suppressLineNumbers w:val="0"/>
                    <w:kinsoku/>
                    <w:wordWrap/>
                    <w:overflowPunct/>
                    <w:topLinePunct w:val="0"/>
                    <w:bidi w:val="0"/>
                    <w:adjustRightIn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18"/>
                      <w:szCs w:val="18"/>
                      <w:lang w:val="en-US" w:eastAsia="zh-CN"/>
                    </w:rPr>
                  </w:pPr>
                  <w:r>
                    <w:rPr>
                      <w:rFonts w:hint="eastAsia" w:cs="Times New Roman"/>
                      <w:bCs/>
                      <w:color w:val="auto"/>
                      <w:sz w:val="18"/>
                      <w:szCs w:val="18"/>
                      <w:lang w:val="en-US" w:eastAsia="zh-CN"/>
                    </w:rPr>
                    <w:t>拟建</w:t>
                  </w:r>
                  <w:r>
                    <w:rPr>
                      <w:rFonts w:hint="default" w:ascii="Times New Roman" w:hAnsi="Times New Roman" w:eastAsia="宋体" w:cs="Times New Roman"/>
                      <w:bCs/>
                      <w:color w:val="auto"/>
                      <w:sz w:val="18"/>
                      <w:szCs w:val="18"/>
                      <w:lang w:val="en-US" w:eastAsia="zh-CN"/>
                    </w:rPr>
                    <w:t>项目拟按照要求配套各类应急物资，落实相应的环境风险防范措施</w:t>
                  </w:r>
                  <w:r>
                    <w:rPr>
                      <w:rFonts w:hint="eastAsia" w:cs="Times New Roman"/>
                      <w:bCs/>
                      <w:color w:val="auto"/>
                      <w:sz w:val="18"/>
                      <w:szCs w:val="18"/>
                      <w:lang w:val="en-US" w:eastAsia="zh-CN"/>
                    </w:rPr>
                    <w:t>。</w:t>
                  </w:r>
                </w:p>
              </w:tc>
              <w:tc>
                <w:tcPr>
                  <w:tcW w:w="613" w:type="pct"/>
                  <w:vAlign w:val="center"/>
                </w:tcPr>
                <w:p w14:paraId="643B276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符合</w:t>
                  </w:r>
                </w:p>
              </w:tc>
            </w:tr>
            <w:tr w14:paraId="43E7569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40" w:hRule="atLeast"/>
              </w:trPr>
              <w:tc>
                <w:tcPr>
                  <w:tcW w:w="447" w:type="pct"/>
                  <w:vAlign w:val="center"/>
                </w:tcPr>
                <w:p w14:paraId="677BDF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olor w:val="auto"/>
                      <w:kern w:val="0"/>
                      <w:sz w:val="18"/>
                      <w:szCs w:val="18"/>
                      <w:lang w:val="en-US" w:eastAsia="zh-CN"/>
                    </w:rPr>
                  </w:pPr>
                  <w:r>
                    <w:rPr>
                      <w:rFonts w:hint="default" w:ascii="Times New Roman" w:hAnsi="Times New Roman" w:eastAsia="宋体" w:cs="Times New Roman"/>
                      <w:color w:val="auto"/>
                      <w:kern w:val="0"/>
                      <w:sz w:val="18"/>
                      <w:szCs w:val="18"/>
                      <w:lang w:val="en-US" w:eastAsia="zh-CN"/>
                    </w:rPr>
                    <w:t>5</w:t>
                  </w:r>
                </w:p>
              </w:tc>
              <w:tc>
                <w:tcPr>
                  <w:tcW w:w="2104" w:type="pct"/>
                  <w:vAlign w:val="center"/>
                </w:tcPr>
                <w:p w14:paraId="4B7937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kern w:val="0"/>
                      <w:sz w:val="18"/>
                      <w:szCs w:val="18"/>
                    </w:rPr>
                  </w:pPr>
                  <w:r>
                    <w:rPr>
                      <w:rFonts w:hint="default" w:ascii="Times New Roman" w:hAnsi="Times New Roman" w:eastAsia="宋体" w:cs="Times New Roman"/>
                      <w:b w:val="0"/>
                      <w:bCs w:val="0"/>
                      <w:color w:val="auto"/>
                      <w:kern w:val="0"/>
                      <w:sz w:val="18"/>
                      <w:szCs w:val="18"/>
                    </w:rPr>
                    <w:t>重点企业须安装在线监控装置，并与环保部门联网。</w:t>
                  </w:r>
                </w:p>
              </w:tc>
              <w:tc>
                <w:tcPr>
                  <w:tcW w:w="1834" w:type="pct"/>
                  <w:vAlign w:val="center"/>
                </w:tcPr>
                <w:p w14:paraId="181F143F">
                  <w:pPr>
                    <w:keepNext w:val="0"/>
                    <w:keepLines w:val="0"/>
                    <w:pageBreakBefore w:val="0"/>
                    <w:widowControl/>
                    <w:suppressLineNumbers w:val="0"/>
                    <w:kinsoku/>
                    <w:wordWrap/>
                    <w:overflowPunct/>
                    <w:topLinePunct w:val="0"/>
                    <w:bidi w:val="0"/>
                    <w:adjustRightIn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18"/>
                      <w:szCs w:val="18"/>
                      <w:lang w:val="en-US" w:eastAsia="zh-CN"/>
                    </w:rPr>
                  </w:pPr>
                  <w:r>
                    <w:rPr>
                      <w:rFonts w:hint="eastAsia" w:cs="Times New Roman"/>
                      <w:bCs/>
                      <w:color w:val="auto"/>
                      <w:sz w:val="18"/>
                      <w:szCs w:val="18"/>
                      <w:lang w:val="en-US" w:eastAsia="zh-CN"/>
                    </w:rPr>
                    <w:t>拟建项目不涉及</w:t>
                  </w:r>
                </w:p>
              </w:tc>
              <w:tc>
                <w:tcPr>
                  <w:tcW w:w="613" w:type="pct"/>
                  <w:vAlign w:val="center"/>
                </w:tcPr>
                <w:p w14:paraId="6F5160C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符合</w:t>
                  </w:r>
                </w:p>
              </w:tc>
            </w:tr>
          </w:tbl>
          <w:p w14:paraId="498B9156">
            <w:pPr>
              <w:keepNext w:val="0"/>
              <w:keepLines w:val="0"/>
              <w:suppressLineNumbers w:val="0"/>
              <w:spacing w:before="0" w:beforeAutospacing="0" w:after="0" w:afterAutospacing="0"/>
              <w:ind w:left="0" w:right="0"/>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综上所述，</w:t>
            </w:r>
            <w:r>
              <w:rPr>
                <w:rFonts w:hint="eastAsia" w:ascii="Times New Roman" w:hAnsi="Times New Roman" w:eastAsia="宋体" w:cs="Times New Roman"/>
                <w:color w:val="auto"/>
                <w:lang w:val="en-US" w:eastAsia="zh-CN"/>
              </w:rPr>
              <w:t>本</w:t>
            </w:r>
            <w:r>
              <w:rPr>
                <w:rFonts w:hint="default" w:ascii="Times New Roman" w:hAnsi="Times New Roman" w:eastAsia="宋体" w:cs="Times New Roman"/>
                <w:color w:val="auto"/>
                <w:lang w:val="en-US" w:eastAsia="zh-CN"/>
              </w:rPr>
              <w:t>项目</w:t>
            </w:r>
            <w:r>
              <w:rPr>
                <w:rFonts w:hint="eastAsia" w:cs="Times New Roman"/>
                <w:color w:val="auto"/>
                <w:lang w:val="en-US" w:eastAsia="zh-CN"/>
              </w:rPr>
              <w:t>属于耐火材料制造</w:t>
            </w:r>
            <w:r>
              <w:rPr>
                <w:rFonts w:hint="default" w:ascii="Times New Roman" w:hAnsi="Times New Roman" w:eastAsia="宋体" w:cs="Times New Roman"/>
                <w:color w:val="auto"/>
                <w:lang w:val="en-US" w:eastAsia="zh-CN"/>
              </w:rPr>
              <w:t>项目，不属于</w:t>
            </w:r>
            <w:r>
              <w:rPr>
                <w:rFonts w:hint="eastAsia" w:cs="Times New Roman"/>
                <w:color w:val="auto"/>
                <w:lang w:val="en-US" w:eastAsia="zh-CN"/>
              </w:rPr>
              <w:t>高新区</w:t>
            </w:r>
            <w:r>
              <w:rPr>
                <w:rFonts w:hint="eastAsia" w:cs="Times New Roman"/>
                <w:color w:val="auto"/>
                <w:lang w:val="en-US" w:eastAsia="zh-CN"/>
              </w:rPr>
              <w:t>规划的</w:t>
            </w:r>
            <w:r>
              <w:rPr>
                <w:rFonts w:hint="default" w:ascii="Times New Roman" w:hAnsi="Times New Roman" w:eastAsia="宋体" w:cs="Times New Roman"/>
                <w:color w:val="auto"/>
                <w:lang w:val="en-US" w:eastAsia="zh-CN"/>
              </w:rPr>
              <w:t>新渡工业集中区限制和禁止的项目，</w:t>
            </w:r>
            <w:r>
              <w:rPr>
                <w:rFonts w:hint="eastAsia" w:cs="Times New Roman"/>
                <w:color w:val="auto"/>
                <w:lang w:val="en-US" w:eastAsia="zh-CN"/>
              </w:rPr>
              <w:t>为允许类产业，</w:t>
            </w:r>
            <w:r>
              <w:rPr>
                <w:rFonts w:hint="default" w:ascii="Times New Roman" w:hAnsi="Times New Roman" w:eastAsia="宋体" w:cs="Times New Roman"/>
                <w:color w:val="auto"/>
                <w:lang w:val="en-US" w:eastAsia="zh-CN"/>
              </w:rPr>
              <w:t>符合园区产业定位要求。</w:t>
            </w:r>
            <w:r>
              <w:rPr>
                <w:rFonts w:hint="eastAsia" w:cs="Times New Roman"/>
                <w:color w:val="auto"/>
                <w:lang w:val="en-US" w:eastAsia="zh-CN"/>
              </w:rPr>
              <w:t>拟建</w:t>
            </w:r>
            <w:r>
              <w:rPr>
                <w:rFonts w:hint="default" w:ascii="Times New Roman" w:hAnsi="Times New Roman" w:eastAsia="宋体" w:cs="Times New Roman"/>
                <w:color w:val="auto"/>
                <w:lang w:val="en-US" w:eastAsia="zh-CN"/>
              </w:rPr>
              <w:t>项目位于规划新渡工业集中区范围内的工业用地上，符合新渡工业集中区规划环评及批复要求</w:t>
            </w:r>
            <w:r>
              <w:rPr>
                <w:rFonts w:hint="default" w:ascii="Times New Roman" w:hAnsi="Times New Roman" w:eastAsia="宋体" w:cs="Times New Roman"/>
                <w:color w:val="auto"/>
              </w:rPr>
              <w:t>。</w:t>
            </w:r>
          </w:p>
          <w:p w14:paraId="75AF08A1">
            <w:pPr>
              <w:keepNext w:val="0"/>
              <w:keepLines w:val="0"/>
              <w:suppressLineNumbers w:val="0"/>
              <w:spacing w:before="0" w:beforeLines="-2147483648" w:beforeAutospacing="0" w:after="0" w:afterAutospacing="0"/>
              <w:ind w:left="0" w:leftChars="0" w:right="0" w:firstLine="0" w:firstLineChars="0"/>
              <w:rPr>
                <w:rFonts w:hint="default" w:ascii="Times New Roman" w:hAnsi="Times New Roman" w:eastAsia="宋体" w:cs="Times New Roman"/>
                <w:bCs/>
                <w:color w:val="auto"/>
              </w:rPr>
            </w:pPr>
          </w:p>
        </w:tc>
      </w:tr>
      <w:tr w14:paraId="577E4B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448" w:type="dxa"/>
            <w:vAlign w:val="center"/>
          </w:tcPr>
          <w:p w14:paraId="5D621A82">
            <w:pPr>
              <w:keepNext w:val="0"/>
              <w:keepLines w:val="0"/>
              <w:suppressLineNumbers w:val="0"/>
              <w:autoSpaceDE w:val="0"/>
              <w:autoSpaceDN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kern w:val="0"/>
                <w:lang w:val="en-US" w:eastAsia="zh-CN"/>
              </w:rPr>
            </w:pPr>
            <w:r>
              <w:rPr>
                <w:rFonts w:hint="default" w:ascii="Times New Roman" w:hAnsi="Times New Roman" w:eastAsia="宋体" w:cs="Times New Roman"/>
                <w:b/>
                <w:bCs/>
                <w:color w:val="auto"/>
                <w:kern w:val="0"/>
                <w:lang w:val="en-US" w:eastAsia="zh-CN"/>
              </w:rPr>
              <w:t>其他相符性分析</w:t>
            </w:r>
          </w:p>
        </w:tc>
        <w:tc>
          <w:tcPr>
            <w:tcW w:w="8440" w:type="dxa"/>
            <w:gridSpan w:val="4"/>
          </w:tcPr>
          <w:p w14:paraId="0B220401">
            <w:pPr>
              <w:keepNext w:val="0"/>
              <w:keepLines w:val="0"/>
              <w:numPr>
                <w:ilvl w:val="0"/>
                <w:numId w:val="6"/>
              </w:numPr>
              <w:suppressLineNumbers w:val="0"/>
              <w:spacing w:before="156" w:beforeLines="50" w:beforeAutospacing="0" w:after="0" w:afterAutospacing="0"/>
              <w:ind w:left="0" w:right="0" w:firstLine="482"/>
              <w:rPr>
                <w:rFonts w:hint="default" w:ascii="Times New Roman" w:hAnsi="Times New Roman" w:eastAsia="宋体" w:cs="Times New Roman"/>
                <w:b/>
                <w:bCs/>
                <w:color w:val="auto"/>
              </w:rPr>
            </w:pPr>
            <w:r>
              <w:rPr>
                <w:rFonts w:hint="default" w:ascii="Times New Roman" w:hAnsi="Times New Roman" w:eastAsia="宋体" w:cs="Times New Roman"/>
                <w:b/>
                <w:bCs/>
                <w:color w:val="auto"/>
              </w:rPr>
              <w:t>“三线一单”相符性分析</w:t>
            </w:r>
          </w:p>
          <w:p w14:paraId="0DAC745B">
            <w:pPr>
              <w:keepNext w:val="0"/>
              <w:keepLines w:val="0"/>
              <w:numPr>
                <w:ilvl w:val="0"/>
                <w:numId w:val="0"/>
              </w:numPr>
              <w:suppressLineNumbers w:val="0"/>
              <w:spacing w:before="0" w:beforeAutospacing="0" w:after="0" w:afterAutospacing="0"/>
              <w:ind w:left="0" w:right="0" w:firstLine="480" w:firstLineChars="200"/>
              <w:rPr>
                <w:rFonts w:hint="default" w:ascii="Times New Roman" w:hAnsi="Times New Roman" w:eastAsia="宋体" w:cs="Times New Roman"/>
                <w:color w:val="auto"/>
              </w:rPr>
            </w:pPr>
            <w:r>
              <w:rPr>
                <w:rFonts w:hint="default" w:ascii="Times New Roman" w:hAnsi="Times New Roman" w:eastAsia="宋体" w:cs="Times New Roman"/>
                <w:color w:val="auto"/>
                <w:kern w:val="2"/>
                <w:sz w:val="24"/>
                <w:szCs w:val="24"/>
                <w:lang w:val="en-US" w:eastAsia="zh-CN" w:bidi="ar-SA"/>
              </w:rPr>
              <w:t>（1）</w:t>
            </w:r>
            <w:r>
              <w:rPr>
                <w:rFonts w:hint="default" w:ascii="Times New Roman" w:hAnsi="Times New Roman" w:eastAsia="宋体" w:cs="Times New Roman"/>
                <w:color w:val="auto"/>
              </w:rPr>
              <w:t>生态红线</w:t>
            </w:r>
          </w:p>
          <w:p w14:paraId="65FC899F">
            <w:pPr>
              <w:keepNext w:val="0"/>
              <w:keepLines w:val="0"/>
              <w:suppressLineNumbers w:val="0"/>
              <w:spacing w:before="0" w:beforeAutospacing="0" w:after="0" w:afterAutospacing="0"/>
              <w:ind w:left="0" w:right="0" w:firstLine="480"/>
              <w:rPr>
                <w:rFonts w:hint="default" w:ascii="Times New Roman" w:hAnsi="Times New Roman" w:eastAsia="宋体" w:cs="Times New Roman"/>
                <w:color w:val="auto"/>
              </w:rPr>
            </w:pPr>
            <w:r>
              <w:rPr>
                <w:rFonts w:hint="default" w:ascii="Times New Roman" w:hAnsi="Times New Roman" w:eastAsia="宋体" w:cs="Times New Roman"/>
                <w:color w:val="auto"/>
              </w:rPr>
              <w:t>①与《省政府关于印发江苏省国家级生态保护红线规划的通知》（苏政发〔2018〕74号）</w:t>
            </w:r>
            <w:r>
              <w:rPr>
                <w:rFonts w:hint="default" w:ascii="Times New Roman" w:hAnsi="Times New Roman" w:eastAsia="宋体" w:cs="Times New Roman"/>
                <w:color w:val="auto"/>
                <w:lang w:eastAsia="zh-CN"/>
              </w:rPr>
              <w:t>、</w:t>
            </w:r>
            <w:r>
              <w:rPr>
                <w:rFonts w:hint="default" w:ascii="Times New Roman" w:hAnsi="Times New Roman" w:eastAsia="宋体" w:cs="Times New Roman"/>
                <w:color w:val="auto"/>
              </w:rPr>
              <w:t>《江苏省生态空间管控区域规划》的通知（苏政发[2020]1号）相符性分析</w:t>
            </w:r>
          </w:p>
          <w:p w14:paraId="0B0F93DE">
            <w:pPr>
              <w:keepNext w:val="0"/>
              <w:keepLines w:val="0"/>
              <w:suppressLineNumbers w:val="0"/>
              <w:spacing w:before="0" w:beforeAutospacing="0" w:after="0" w:afterAutospacing="0"/>
              <w:ind w:left="0" w:right="0" w:firstLine="480"/>
              <w:rPr>
                <w:rFonts w:hint="default" w:ascii="Times New Roman" w:hAnsi="Times New Roman" w:eastAsia="宋体" w:cs="Times New Roman"/>
                <w:color w:val="auto"/>
              </w:rPr>
            </w:pPr>
            <w:r>
              <w:rPr>
                <w:rFonts w:hint="default" w:ascii="Times New Roman" w:hAnsi="Times New Roman" w:eastAsia="宋体" w:cs="Times New Roman"/>
                <w:color w:val="auto"/>
              </w:rPr>
              <w:t>根据《省政府关于印发江苏省国家级生态保护红线规划的通知》（苏政发[2018]74号）省政府关于印发《江苏省生态空间管控区域规划》的通知（苏政发[2020]1号），距离本项目最近的生态空间管控区域为废黄河（淮阴区）重要湿地，位于本项目南</w:t>
            </w:r>
            <w:r>
              <w:rPr>
                <w:rFonts w:hint="eastAsia" w:cs="Times New Roman"/>
                <w:color w:val="auto"/>
                <w:lang w:eastAsia="zh-CN"/>
              </w:rPr>
              <w:t>侧</w:t>
            </w:r>
            <w:r>
              <w:rPr>
                <w:rFonts w:hint="default" w:ascii="Times New Roman" w:hAnsi="Times New Roman" w:eastAsia="宋体" w:cs="Times New Roman"/>
                <w:color w:val="auto"/>
                <w:lang w:eastAsia="zh-CN"/>
              </w:rPr>
              <w:t>约</w:t>
            </w:r>
            <w:r>
              <w:rPr>
                <w:rFonts w:hint="eastAsia" w:cs="Times New Roman"/>
                <w:color w:val="auto"/>
                <w:lang w:val="en-US" w:eastAsia="zh-CN"/>
              </w:rPr>
              <w:t>1.75</w:t>
            </w:r>
            <w:r>
              <w:rPr>
                <w:rFonts w:hint="default" w:ascii="Times New Roman" w:hAnsi="Times New Roman" w:eastAsia="宋体" w:cs="Times New Roman"/>
                <w:color w:val="auto"/>
              </w:rPr>
              <w:t>km，</w:t>
            </w:r>
            <w:r>
              <w:rPr>
                <w:rFonts w:hint="eastAsia" w:cs="Times New Roman"/>
                <w:color w:val="auto"/>
                <w:lang w:eastAsia="zh-CN"/>
              </w:rPr>
              <w:t>拟建</w:t>
            </w:r>
            <w:r>
              <w:rPr>
                <w:rFonts w:hint="default" w:ascii="Times New Roman" w:hAnsi="Times New Roman" w:eastAsia="宋体" w:cs="Times New Roman"/>
                <w:color w:val="auto"/>
              </w:rPr>
              <w:t>项目</w:t>
            </w:r>
            <w:r>
              <w:rPr>
                <w:rFonts w:hint="default" w:ascii="Times New Roman" w:hAnsi="Times New Roman" w:eastAsia="宋体" w:cs="Times New Roman"/>
                <w:color w:val="auto"/>
                <w:lang w:eastAsia="zh-CN"/>
              </w:rPr>
              <w:t>不占用生态红线，</w:t>
            </w:r>
            <w:r>
              <w:rPr>
                <w:rFonts w:hint="default" w:ascii="Times New Roman" w:hAnsi="Times New Roman" w:eastAsia="宋体" w:cs="Times New Roman"/>
                <w:color w:val="auto"/>
              </w:rPr>
              <w:t>不在其生态空间范围内。</w:t>
            </w:r>
            <w:r>
              <w:rPr>
                <w:rFonts w:hint="eastAsia" w:cs="Times New Roman"/>
                <w:color w:val="auto"/>
                <w:lang w:eastAsia="zh-CN"/>
              </w:rPr>
              <w:t>拟建</w:t>
            </w:r>
            <w:r>
              <w:rPr>
                <w:rFonts w:hint="default" w:ascii="Times New Roman" w:hAnsi="Times New Roman" w:eastAsia="宋体" w:cs="Times New Roman"/>
                <w:color w:val="auto"/>
              </w:rPr>
              <w:t>项目与江苏省生态保护红线位置关系</w:t>
            </w:r>
            <w:r>
              <w:rPr>
                <w:rFonts w:hint="default" w:ascii="Times New Roman" w:hAnsi="Times New Roman" w:eastAsia="宋体" w:cs="Times New Roman"/>
                <w:color w:val="auto"/>
                <w:lang w:eastAsia="zh-CN"/>
              </w:rPr>
              <w:t>见附图</w:t>
            </w:r>
            <w:r>
              <w:rPr>
                <w:rFonts w:hint="eastAsia" w:cs="Times New Roman"/>
                <w:color w:val="auto"/>
                <w:lang w:val="en-US" w:eastAsia="zh-CN"/>
              </w:rPr>
              <w:t>1</w:t>
            </w:r>
            <w:r>
              <w:rPr>
                <w:rFonts w:hint="default" w:ascii="Times New Roman" w:hAnsi="Times New Roman" w:eastAsia="宋体" w:cs="Times New Roman"/>
                <w:color w:val="auto"/>
                <w:lang w:val="en-US" w:eastAsia="zh-CN"/>
              </w:rPr>
              <w:t>、</w:t>
            </w:r>
            <w:r>
              <w:rPr>
                <w:rFonts w:hint="eastAsia" w:cs="Times New Roman"/>
                <w:color w:val="auto"/>
                <w:lang w:eastAsia="zh-CN"/>
              </w:rPr>
              <w:t>拟建</w:t>
            </w:r>
            <w:r>
              <w:rPr>
                <w:rFonts w:hint="default" w:ascii="Times New Roman" w:hAnsi="Times New Roman" w:eastAsia="宋体" w:cs="Times New Roman"/>
                <w:color w:val="auto"/>
                <w:lang w:val="en-US" w:eastAsia="zh-CN"/>
              </w:rPr>
              <w:t>项目与江苏省生态空间管控区域位置关系见附图</w:t>
            </w:r>
            <w:r>
              <w:rPr>
                <w:rFonts w:hint="eastAsia" w:cs="Times New Roman"/>
                <w:color w:val="auto"/>
                <w:lang w:val="en-US" w:eastAsia="zh-CN"/>
              </w:rPr>
              <w:t>2</w:t>
            </w:r>
            <w:r>
              <w:rPr>
                <w:rFonts w:hint="default" w:ascii="Times New Roman" w:hAnsi="Times New Roman" w:eastAsia="宋体" w:cs="Times New Roman"/>
                <w:color w:val="auto"/>
              </w:rPr>
              <w:t>。</w:t>
            </w:r>
          </w:p>
          <w:p w14:paraId="1646B469">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rPr>
            </w:pPr>
            <w:r>
              <w:rPr>
                <w:rFonts w:hint="default" w:ascii="Times New Roman" w:hAnsi="Times New Roman" w:eastAsia="宋体" w:cs="Times New Roman"/>
                <w:b/>
                <w:bCs/>
                <w:color w:val="auto"/>
              </w:rPr>
              <w:t>表1</w:t>
            </w:r>
            <w:r>
              <w:rPr>
                <w:rFonts w:hint="default" w:ascii="Times New Roman" w:hAnsi="Times New Roman" w:eastAsia="宋体" w:cs="Times New Roman"/>
                <w:b/>
                <w:bCs/>
                <w:color w:val="auto"/>
                <w:lang w:val="en-US" w:eastAsia="zh-CN"/>
              </w:rPr>
              <w:t>.1</w:t>
            </w:r>
            <w:r>
              <w:rPr>
                <w:rFonts w:hint="default" w:ascii="Times New Roman" w:hAnsi="Times New Roman" w:eastAsia="宋体" w:cs="Times New Roman"/>
                <w:b/>
                <w:bCs/>
                <w:color w:val="auto"/>
              </w:rPr>
              <w:t>-</w:t>
            </w:r>
            <w:r>
              <w:rPr>
                <w:rFonts w:hint="default" w:ascii="Times New Roman" w:hAnsi="Times New Roman" w:eastAsia="宋体" w:cs="Times New Roman"/>
                <w:b/>
                <w:bCs/>
                <w:color w:val="auto"/>
                <w:lang w:val="en-US" w:eastAsia="zh-CN"/>
              </w:rPr>
              <w:t>2</w:t>
            </w:r>
            <w:r>
              <w:rPr>
                <w:rFonts w:hint="default" w:ascii="Times New Roman" w:hAnsi="Times New Roman" w:eastAsia="宋体" w:cs="Times New Roman"/>
                <w:b/>
                <w:bCs/>
                <w:color w:val="auto"/>
              </w:rPr>
              <w:t xml:space="preserve">  </w:t>
            </w:r>
            <w:r>
              <w:rPr>
                <w:rFonts w:hint="default" w:ascii="Times New Roman" w:hAnsi="Times New Roman" w:eastAsia="宋体" w:cs="Times New Roman"/>
                <w:b/>
                <w:bCs/>
                <w:color w:val="auto"/>
                <w:lang w:eastAsia="zh-CN"/>
              </w:rPr>
              <w:t>建设项目</w:t>
            </w:r>
            <w:r>
              <w:rPr>
                <w:rFonts w:hint="default" w:ascii="Times New Roman" w:hAnsi="Times New Roman" w:eastAsia="宋体" w:cs="Times New Roman"/>
                <w:b/>
                <w:bCs/>
                <w:color w:val="auto"/>
              </w:rPr>
              <w:t>与周边生态红线</w:t>
            </w:r>
            <w:r>
              <w:rPr>
                <w:rFonts w:hint="default" w:ascii="Times New Roman" w:hAnsi="Times New Roman" w:eastAsia="宋体" w:cs="Times New Roman"/>
                <w:b/>
                <w:bCs/>
                <w:color w:val="auto"/>
                <w:lang w:eastAsia="zh-CN"/>
              </w:rPr>
              <w:t>、生态管控区</w:t>
            </w:r>
            <w:r>
              <w:rPr>
                <w:rFonts w:hint="default" w:ascii="Times New Roman" w:hAnsi="Times New Roman" w:eastAsia="宋体" w:cs="Times New Roman"/>
                <w:b/>
                <w:bCs/>
                <w:color w:val="auto"/>
              </w:rPr>
              <w:t>相符性分析</w:t>
            </w:r>
          </w:p>
          <w:tbl>
            <w:tblPr>
              <w:tblStyle w:val="27"/>
              <w:tblW w:w="4998" w:type="pct"/>
              <w:tblInd w:w="0" w:type="dxa"/>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28" w:type="dxa"/>
                <w:bottom w:w="0" w:type="dxa"/>
                <w:right w:w="28" w:type="dxa"/>
              </w:tblCellMar>
            </w:tblPr>
            <w:tblGrid>
              <w:gridCol w:w="776"/>
              <w:gridCol w:w="558"/>
              <w:gridCol w:w="744"/>
              <w:gridCol w:w="1727"/>
              <w:gridCol w:w="1772"/>
              <w:gridCol w:w="632"/>
              <w:gridCol w:w="745"/>
              <w:gridCol w:w="452"/>
              <w:gridCol w:w="975"/>
            </w:tblGrid>
            <w:tr w14:paraId="1C6B1413">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63" w:type="pct"/>
                  <w:vMerge w:val="restart"/>
                  <w:tcBorders>
                    <w:tl2br w:val="nil"/>
                    <w:tr2bl w:val="nil"/>
                  </w:tcBorders>
                  <w:noWrap w:val="0"/>
                  <w:vAlign w:val="center"/>
                </w:tcPr>
                <w:p w14:paraId="1BA223D5">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生态空间保护区域名称</w:t>
                  </w:r>
                </w:p>
              </w:tc>
              <w:tc>
                <w:tcPr>
                  <w:tcW w:w="333" w:type="pct"/>
                  <w:vMerge w:val="restart"/>
                  <w:tcBorders>
                    <w:tl2br w:val="nil"/>
                    <w:tr2bl w:val="nil"/>
                  </w:tcBorders>
                  <w:noWrap w:val="0"/>
                  <w:vAlign w:val="center"/>
                </w:tcPr>
                <w:p w14:paraId="755C2902">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县(市、区)</w:t>
                  </w:r>
                </w:p>
              </w:tc>
              <w:tc>
                <w:tcPr>
                  <w:tcW w:w="444" w:type="pct"/>
                  <w:vMerge w:val="restart"/>
                  <w:tcBorders>
                    <w:tl2br w:val="nil"/>
                    <w:tr2bl w:val="nil"/>
                  </w:tcBorders>
                  <w:noWrap w:val="0"/>
                  <w:vAlign w:val="center"/>
                </w:tcPr>
                <w:p w14:paraId="45A271EA">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主导生态功能</w:t>
                  </w:r>
                </w:p>
              </w:tc>
              <w:tc>
                <w:tcPr>
                  <w:tcW w:w="2087" w:type="pct"/>
                  <w:gridSpan w:val="2"/>
                  <w:tcBorders>
                    <w:tl2br w:val="nil"/>
                    <w:tr2bl w:val="nil"/>
                  </w:tcBorders>
                  <w:noWrap w:val="0"/>
                  <w:vAlign w:val="center"/>
                </w:tcPr>
                <w:p w14:paraId="4B300F88">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范围</w:t>
                  </w:r>
                </w:p>
              </w:tc>
              <w:tc>
                <w:tcPr>
                  <w:tcW w:w="1090" w:type="pct"/>
                  <w:gridSpan w:val="3"/>
                  <w:tcBorders>
                    <w:tl2br w:val="nil"/>
                    <w:tr2bl w:val="nil"/>
                  </w:tcBorders>
                  <w:noWrap w:val="0"/>
                  <w:vAlign w:val="center"/>
                </w:tcPr>
                <w:p w14:paraId="7BD72EE9">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面积(平方公里)</w:t>
                  </w:r>
                </w:p>
              </w:tc>
              <w:tc>
                <w:tcPr>
                  <w:tcW w:w="581" w:type="pct"/>
                  <w:vMerge w:val="restart"/>
                  <w:tcBorders>
                    <w:tl2br w:val="nil"/>
                    <w:tr2bl w:val="nil"/>
                  </w:tcBorders>
                  <w:noWrap w:val="0"/>
                  <w:vAlign w:val="center"/>
                </w:tcPr>
                <w:p w14:paraId="6E0B69B6">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相符性分析</w:t>
                  </w:r>
                </w:p>
              </w:tc>
            </w:tr>
            <w:tr w14:paraId="3F0B0301">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63" w:type="pct"/>
                  <w:vMerge w:val="continue"/>
                  <w:tcBorders>
                    <w:tl2br w:val="nil"/>
                    <w:tr2bl w:val="nil"/>
                  </w:tcBorders>
                  <w:noWrap w:val="0"/>
                  <w:vAlign w:val="center"/>
                </w:tcPr>
                <w:p w14:paraId="4F99FB41">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color w:val="auto"/>
                      <w:sz w:val="18"/>
                      <w:szCs w:val="18"/>
                    </w:rPr>
                  </w:pPr>
                </w:p>
              </w:tc>
              <w:tc>
                <w:tcPr>
                  <w:tcW w:w="333" w:type="pct"/>
                  <w:vMerge w:val="continue"/>
                  <w:tcBorders>
                    <w:tl2br w:val="nil"/>
                    <w:tr2bl w:val="nil"/>
                  </w:tcBorders>
                  <w:noWrap w:val="0"/>
                  <w:vAlign w:val="center"/>
                </w:tcPr>
                <w:p w14:paraId="02B8875E">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color w:val="auto"/>
                      <w:sz w:val="18"/>
                      <w:szCs w:val="18"/>
                    </w:rPr>
                  </w:pPr>
                </w:p>
              </w:tc>
              <w:tc>
                <w:tcPr>
                  <w:tcW w:w="444" w:type="pct"/>
                  <w:vMerge w:val="continue"/>
                  <w:tcBorders>
                    <w:tl2br w:val="nil"/>
                    <w:tr2bl w:val="nil"/>
                  </w:tcBorders>
                  <w:noWrap w:val="0"/>
                  <w:vAlign w:val="center"/>
                </w:tcPr>
                <w:p w14:paraId="1AACBC0D">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color w:val="auto"/>
                      <w:sz w:val="18"/>
                      <w:szCs w:val="18"/>
                    </w:rPr>
                  </w:pPr>
                </w:p>
              </w:tc>
              <w:tc>
                <w:tcPr>
                  <w:tcW w:w="1030" w:type="pct"/>
                  <w:tcBorders>
                    <w:tl2br w:val="nil"/>
                    <w:tr2bl w:val="nil"/>
                  </w:tcBorders>
                  <w:noWrap w:val="0"/>
                  <w:vAlign w:val="center"/>
                </w:tcPr>
                <w:p w14:paraId="2FE79438">
                  <w:pPr>
                    <w:keepNext w:val="0"/>
                    <w:keepLines w:val="0"/>
                    <w:suppressLineNumbers w:val="0"/>
                    <w:adjustRightInd w:val="0"/>
                    <w:snapToGrid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国家级生态保护红线范围</w:t>
                  </w:r>
                </w:p>
              </w:tc>
              <w:tc>
                <w:tcPr>
                  <w:tcW w:w="1057" w:type="pct"/>
                  <w:tcBorders>
                    <w:tl2br w:val="nil"/>
                    <w:tr2bl w:val="nil"/>
                  </w:tcBorders>
                  <w:noWrap w:val="0"/>
                  <w:vAlign w:val="center"/>
                </w:tcPr>
                <w:p w14:paraId="5B4E18FD">
                  <w:pPr>
                    <w:keepNext w:val="0"/>
                    <w:keepLines w:val="0"/>
                    <w:suppressLineNumbers w:val="0"/>
                    <w:adjustRightInd w:val="0"/>
                    <w:snapToGrid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生态空间管控区域范围</w:t>
                  </w:r>
                </w:p>
              </w:tc>
              <w:tc>
                <w:tcPr>
                  <w:tcW w:w="377" w:type="pct"/>
                  <w:tcBorders>
                    <w:tl2br w:val="nil"/>
                    <w:tr2bl w:val="nil"/>
                  </w:tcBorders>
                  <w:noWrap w:val="0"/>
                  <w:vAlign w:val="center"/>
                </w:tcPr>
                <w:p w14:paraId="709EFE08">
                  <w:pPr>
                    <w:keepNext w:val="0"/>
                    <w:keepLines w:val="0"/>
                    <w:suppressLineNumbers w:val="0"/>
                    <w:adjustRightInd w:val="0"/>
                    <w:snapToGrid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国家级生态保护红线面积</w:t>
                  </w:r>
                </w:p>
              </w:tc>
              <w:tc>
                <w:tcPr>
                  <w:tcW w:w="444" w:type="pct"/>
                  <w:tcBorders>
                    <w:tl2br w:val="nil"/>
                    <w:tr2bl w:val="nil"/>
                  </w:tcBorders>
                  <w:noWrap w:val="0"/>
                  <w:vAlign w:val="center"/>
                </w:tcPr>
                <w:p w14:paraId="0FFD08A7">
                  <w:pPr>
                    <w:keepNext w:val="0"/>
                    <w:keepLines w:val="0"/>
                    <w:suppressLineNumbers w:val="0"/>
                    <w:adjustRightInd w:val="0"/>
                    <w:snapToGrid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生态空间管控区域面积</w:t>
                  </w:r>
                </w:p>
              </w:tc>
              <w:tc>
                <w:tcPr>
                  <w:tcW w:w="269" w:type="pct"/>
                  <w:tcBorders>
                    <w:tl2br w:val="nil"/>
                    <w:tr2bl w:val="nil"/>
                  </w:tcBorders>
                  <w:noWrap w:val="0"/>
                  <w:vAlign w:val="center"/>
                </w:tcPr>
                <w:p w14:paraId="036C1BE8">
                  <w:pPr>
                    <w:keepNext w:val="0"/>
                    <w:keepLines w:val="0"/>
                    <w:suppressLineNumbers w:val="0"/>
                    <w:adjustRightInd w:val="0"/>
                    <w:snapToGrid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总面积</w:t>
                  </w:r>
                </w:p>
              </w:tc>
              <w:tc>
                <w:tcPr>
                  <w:tcW w:w="581" w:type="pct"/>
                  <w:vMerge w:val="continue"/>
                  <w:tcBorders>
                    <w:tl2br w:val="nil"/>
                    <w:tr2bl w:val="nil"/>
                  </w:tcBorders>
                  <w:noWrap w:val="0"/>
                  <w:vAlign w:val="center"/>
                </w:tcPr>
                <w:p w14:paraId="6D2E04DF">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color w:val="auto"/>
                      <w:sz w:val="18"/>
                      <w:szCs w:val="18"/>
                    </w:rPr>
                  </w:pPr>
                </w:p>
              </w:tc>
            </w:tr>
            <w:tr w14:paraId="623D567F">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63" w:type="pct"/>
                  <w:tcBorders>
                    <w:tl2br w:val="nil"/>
                    <w:tr2bl w:val="nil"/>
                  </w:tcBorders>
                  <w:noWrap w:val="0"/>
                  <w:vAlign w:val="center"/>
                </w:tcPr>
                <w:p w14:paraId="20C791EF">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lang w:val="en-US" w:eastAsia="zh-CN"/>
                    </w:rPr>
                    <w:t>淮阴区饮用水水源保护区</w:t>
                  </w:r>
                </w:p>
              </w:tc>
              <w:tc>
                <w:tcPr>
                  <w:tcW w:w="333" w:type="pct"/>
                  <w:tcBorders>
                    <w:tl2br w:val="nil"/>
                    <w:tr2bl w:val="nil"/>
                  </w:tcBorders>
                  <w:noWrap w:val="0"/>
                  <w:vAlign w:val="center"/>
                </w:tcPr>
                <w:p w14:paraId="42D0FBD0">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lang w:eastAsia="zh-CN"/>
                    </w:rPr>
                  </w:pPr>
                  <w:r>
                    <w:rPr>
                      <w:rFonts w:hint="default" w:ascii="Times New Roman" w:hAnsi="Times New Roman" w:eastAsia="宋体" w:cs="Times New Roman"/>
                      <w:color w:val="auto"/>
                      <w:sz w:val="18"/>
                      <w:szCs w:val="18"/>
                      <w:lang w:eastAsia="zh-CN"/>
                    </w:rPr>
                    <w:t>淮阴区</w:t>
                  </w:r>
                </w:p>
              </w:tc>
              <w:tc>
                <w:tcPr>
                  <w:tcW w:w="444" w:type="pct"/>
                  <w:tcBorders>
                    <w:tl2br w:val="nil"/>
                    <w:tr2bl w:val="nil"/>
                  </w:tcBorders>
                  <w:noWrap w:val="0"/>
                  <w:vAlign w:val="center"/>
                </w:tcPr>
                <w:p w14:paraId="16A98071">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水源水质保护</w:t>
                  </w:r>
                </w:p>
              </w:tc>
              <w:tc>
                <w:tcPr>
                  <w:tcW w:w="1030" w:type="pct"/>
                  <w:tcBorders>
                    <w:tl2br w:val="nil"/>
                    <w:tr2bl w:val="nil"/>
                  </w:tcBorders>
                  <w:noWrap w:val="0"/>
                  <w:vAlign w:val="center"/>
                </w:tcPr>
                <w:p w14:paraId="3FBE7E39">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lang w:val="en-US" w:eastAsia="zh-CN"/>
                    </w:rPr>
                    <w:t>一级保护区：取水口上游1000米至下游500米，及其岸背水坡之间的水域范围和一级保护区水域与两岸背水坡堤脚之间的陆域范围。二级保护区：市区皮家渡—恒坝段一级保护区以外水域以及该水域与两岸背水坡堤脚之间的陆域范围。</w:t>
                  </w:r>
                </w:p>
              </w:tc>
              <w:tc>
                <w:tcPr>
                  <w:tcW w:w="1057" w:type="pct"/>
                  <w:tcBorders>
                    <w:tl2br w:val="nil"/>
                    <w:tr2bl w:val="nil"/>
                  </w:tcBorders>
                  <w:noWrap w:val="0"/>
                  <w:vAlign w:val="center"/>
                </w:tcPr>
                <w:p w14:paraId="5A66A6C9">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w:t>
                  </w:r>
                </w:p>
              </w:tc>
              <w:tc>
                <w:tcPr>
                  <w:tcW w:w="377" w:type="pct"/>
                  <w:tcBorders>
                    <w:tl2br w:val="nil"/>
                    <w:tr2bl w:val="nil"/>
                  </w:tcBorders>
                  <w:noWrap w:val="0"/>
                  <w:vAlign w:val="center"/>
                </w:tcPr>
                <w:p w14:paraId="1E876287">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lang w:eastAsia="zh-CN"/>
                    </w:rPr>
                  </w:pPr>
                  <w:r>
                    <w:rPr>
                      <w:rFonts w:hint="default" w:ascii="Times New Roman" w:hAnsi="Times New Roman" w:eastAsia="宋体" w:cs="Times New Roman"/>
                      <w:color w:val="auto"/>
                      <w:sz w:val="18"/>
                      <w:szCs w:val="18"/>
                    </w:rPr>
                    <w:t>0.3</w:t>
                  </w:r>
                  <w:r>
                    <w:rPr>
                      <w:rFonts w:hint="default" w:ascii="Times New Roman" w:hAnsi="Times New Roman" w:eastAsia="宋体" w:cs="Times New Roman"/>
                      <w:color w:val="auto"/>
                      <w:sz w:val="18"/>
                      <w:szCs w:val="18"/>
                      <w:lang w:val="en-US" w:eastAsia="zh-CN"/>
                    </w:rPr>
                    <w:t>9</w:t>
                  </w:r>
                </w:p>
              </w:tc>
              <w:tc>
                <w:tcPr>
                  <w:tcW w:w="444" w:type="pct"/>
                  <w:tcBorders>
                    <w:tl2br w:val="nil"/>
                    <w:tr2bl w:val="nil"/>
                  </w:tcBorders>
                  <w:noWrap w:val="0"/>
                  <w:vAlign w:val="center"/>
                </w:tcPr>
                <w:p w14:paraId="3F05BF18">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w:t>
                  </w:r>
                </w:p>
              </w:tc>
              <w:tc>
                <w:tcPr>
                  <w:tcW w:w="269" w:type="pct"/>
                  <w:tcBorders>
                    <w:tl2br w:val="nil"/>
                    <w:tr2bl w:val="nil"/>
                  </w:tcBorders>
                  <w:noWrap w:val="0"/>
                  <w:vAlign w:val="center"/>
                </w:tcPr>
                <w:p w14:paraId="27090FD7">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lang w:eastAsia="zh-CN"/>
                    </w:rPr>
                  </w:pPr>
                  <w:r>
                    <w:rPr>
                      <w:rFonts w:hint="default" w:ascii="Times New Roman" w:hAnsi="Times New Roman" w:eastAsia="宋体" w:cs="Times New Roman"/>
                      <w:color w:val="auto"/>
                      <w:sz w:val="18"/>
                      <w:szCs w:val="18"/>
                    </w:rPr>
                    <w:t>0.3</w:t>
                  </w:r>
                  <w:r>
                    <w:rPr>
                      <w:rFonts w:hint="default" w:ascii="Times New Roman" w:hAnsi="Times New Roman" w:eastAsia="宋体" w:cs="Times New Roman"/>
                      <w:color w:val="auto"/>
                      <w:sz w:val="18"/>
                      <w:szCs w:val="18"/>
                      <w:lang w:val="en-US" w:eastAsia="zh-CN"/>
                    </w:rPr>
                    <w:t>9</w:t>
                  </w:r>
                </w:p>
              </w:tc>
              <w:tc>
                <w:tcPr>
                  <w:tcW w:w="581" w:type="pct"/>
                  <w:tcBorders>
                    <w:tl2br w:val="nil"/>
                    <w:tr2bl w:val="nil"/>
                  </w:tcBorders>
                  <w:noWrap w:val="0"/>
                  <w:vAlign w:val="center"/>
                </w:tcPr>
                <w:p w14:paraId="55006875">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项目位于</w:t>
                  </w:r>
                  <w:r>
                    <w:rPr>
                      <w:rFonts w:hint="default" w:ascii="Times New Roman" w:hAnsi="Times New Roman" w:eastAsia="宋体" w:cs="Times New Roman"/>
                      <w:color w:val="auto"/>
                      <w:sz w:val="18"/>
                      <w:szCs w:val="18"/>
                      <w:lang w:val="en-US" w:eastAsia="zh-CN"/>
                    </w:rPr>
                    <w:t>淮阴区饮用水水源保护区</w:t>
                  </w:r>
                  <w:r>
                    <w:rPr>
                      <w:rFonts w:hint="default" w:ascii="Times New Roman" w:hAnsi="Times New Roman" w:eastAsia="宋体" w:cs="Times New Roman"/>
                      <w:color w:val="auto"/>
                      <w:sz w:val="18"/>
                      <w:szCs w:val="18"/>
                    </w:rPr>
                    <w:t>二级保护区边界</w:t>
                  </w:r>
                  <w:r>
                    <w:rPr>
                      <w:rFonts w:hint="default" w:ascii="Times New Roman" w:hAnsi="Times New Roman" w:eastAsia="宋体" w:cs="Times New Roman"/>
                      <w:color w:val="auto"/>
                      <w:sz w:val="18"/>
                      <w:szCs w:val="18"/>
                      <w:lang w:val="en-US" w:eastAsia="zh-CN"/>
                    </w:rPr>
                    <w:t>北</w:t>
                  </w:r>
                  <w:r>
                    <w:rPr>
                      <w:rFonts w:hint="default" w:ascii="Times New Roman" w:hAnsi="Times New Roman" w:eastAsia="宋体" w:cs="Times New Roman"/>
                      <w:color w:val="auto"/>
                      <w:sz w:val="18"/>
                      <w:szCs w:val="18"/>
                    </w:rPr>
                    <w:t>侧</w:t>
                  </w:r>
                  <w:r>
                    <w:rPr>
                      <w:rFonts w:hint="default" w:ascii="Times New Roman" w:hAnsi="Times New Roman" w:eastAsia="宋体" w:cs="Times New Roman"/>
                      <w:color w:val="auto"/>
                      <w:sz w:val="18"/>
                      <w:szCs w:val="18"/>
                      <w:lang w:val="en-US" w:eastAsia="zh-CN"/>
                    </w:rPr>
                    <w:t>约</w:t>
                  </w:r>
                  <w:r>
                    <w:rPr>
                      <w:rFonts w:hint="eastAsia" w:cs="Times New Roman"/>
                      <w:color w:val="auto"/>
                      <w:sz w:val="18"/>
                      <w:szCs w:val="18"/>
                      <w:lang w:val="en-US" w:eastAsia="zh-CN"/>
                    </w:rPr>
                    <w:t>1.9</w:t>
                  </w:r>
                  <w:r>
                    <w:rPr>
                      <w:rFonts w:hint="default" w:ascii="Times New Roman" w:hAnsi="Times New Roman" w:eastAsia="宋体" w:cs="Times New Roman"/>
                      <w:color w:val="auto"/>
                      <w:sz w:val="18"/>
                      <w:szCs w:val="18"/>
                    </w:rPr>
                    <w:t>km左右，不在管控范围之内</w:t>
                  </w:r>
                </w:p>
              </w:tc>
            </w:tr>
            <w:tr w14:paraId="3FBB23CB">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trHeight w:val="340" w:hRule="atLeast"/>
              </w:trPr>
              <w:tc>
                <w:tcPr>
                  <w:tcW w:w="463" w:type="pct"/>
                  <w:tcBorders>
                    <w:tl2br w:val="nil"/>
                    <w:tr2bl w:val="nil"/>
                  </w:tcBorders>
                  <w:noWrap w:val="0"/>
                  <w:vAlign w:val="center"/>
                </w:tcPr>
                <w:p w14:paraId="5B525B4C">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废黄河（淮阴区）重要湿地</w:t>
                  </w:r>
                </w:p>
              </w:tc>
              <w:tc>
                <w:tcPr>
                  <w:tcW w:w="333" w:type="pct"/>
                  <w:tcBorders>
                    <w:tl2br w:val="nil"/>
                    <w:tr2bl w:val="nil"/>
                  </w:tcBorders>
                  <w:noWrap w:val="0"/>
                  <w:vAlign w:val="center"/>
                </w:tcPr>
                <w:p w14:paraId="6443D484">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lang w:eastAsia="zh-CN"/>
                    </w:rPr>
                  </w:pPr>
                  <w:r>
                    <w:rPr>
                      <w:rFonts w:hint="default" w:ascii="Times New Roman" w:hAnsi="Times New Roman" w:eastAsia="宋体" w:cs="Times New Roman"/>
                      <w:color w:val="auto"/>
                      <w:sz w:val="18"/>
                      <w:szCs w:val="18"/>
                      <w:lang w:eastAsia="zh-CN"/>
                    </w:rPr>
                    <w:t>淮阴区</w:t>
                  </w:r>
                </w:p>
              </w:tc>
              <w:tc>
                <w:tcPr>
                  <w:tcW w:w="444" w:type="pct"/>
                  <w:tcBorders>
                    <w:tl2br w:val="nil"/>
                    <w:tr2bl w:val="nil"/>
                  </w:tcBorders>
                  <w:noWrap w:val="0"/>
                  <w:vAlign w:val="center"/>
                </w:tcPr>
                <w:p w14:paraId="3211C847">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湿地生态系统保护</w:t>
                  </w:r>
                </w:p>
              </w:tc>
              <w:tc>
                <w:tcPr>
                  <w:tcW w:w="1030" w:type="pct"/>
                  <w:tcBorders>
                    <w:tl2br w:val="nil"/>
                    <w:tr2bl w:val="nil"/>
                  </w:tcBorders>
                  <w:noWrap w:val="0"/>
                  <w:vAlign w:val="center"/>
                </w:tcPr>
                <w:p w14:paraId="10B5C66B">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w:t>
                  </w:r>
                </w:p>
              </w:tc>
              <w:tc>
                <w:tcPr>
                  <w:tcW w:w="1057" w:type="pct"/>
                  <w:tcBorders>
                    <w:tl2br w:val="nil"/>
                    <w:tr2bl w:val="nil"/>
                  </w:tcBorders>
                  <w:noWrap w:val="0"/>
                  <w:vAlign w:val="center"/>
                </w:tcPr>
                <w:p w14:paraId="7CAF888E">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lang w:eastAsia="zh-CN"/>
                    </w:rPr>
                  </w:pPr>
                  <w:r>
                    <w:rPr>
                      <w:rFonts w:hint="default" w:ascii="Times New Roman" w:hAnsi="Times New Roman" w:eastAsia="宋体" w:cs="Times New Roman"/>
                      <w:color w:val="auto"/>
                      <w:sz w:val="18"/>
                      <w:szCs w:val="18"/>
                    </w:rPr>
                    <w:t>二河至淮涟交界处22.4公里，流经王营、新渡2个乡镇的杨庄、越河、沈渡、星光、营东、双和、双坝、淮涟8个村。为废黄河水域及韩候大道至宁连路段沿岸30米陆域范围，其余段沿岸100米陆域范围</w:t>
                  </w:r>
                  <w:r>
                    <w:rPr>
                      <w:rFonts w:hint="default" w:ascii="Times New Roman" w:hAnsi="Times New Roman" w:eastAsia="宋体" w:cs="Times New Roman"/>
                      <w:color w:val="auto"/>
                      <w:sz w:val="18"/>
                      <w:szCs w:val="18"/>
                      <w:lang w:eastAsia="zh-CN"/>
                    </w:rPr>
                    <w:t>。</w:t>
                  </w:r>
                </w:p>
              </w:tc>
              <w:tc>
                <w:tcPr>
                  <w:tcW w:w="377" w:type="pct"/>
                  <w:tcBorders>
                    <w:tl2br w:val="nil"/>
                    <w:tr2bl w:val="nil"/>
                  </w:tcBorders>
                  <w:noWrap w:val="0"/>
                  <w:vAlign w:val="center"/>
                </w:tcPr>
                <w:p w14:paraId="3DA5F1FB">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w:t>
                  </w:r>
                </w:p>
              </w:tc>
              <w:tc>
                <w:tcPr>
                  <w:tcW w:w="444" w:type="pct"/>
                  <w:tcBorders>
                    <w:tl2br w:val="nil"/>
                    <w:tr2bl w:val="nil"/>
                  </w:tcBorders>
                  <w:noWrap w:val="0"/>
                  <w:vAlign w:val="center"/>
                </w:tcPr>
                <w:p w14:paraId="396CFCC2">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2.87</w:t>
                  </w:r>
                </w:p>
              </w:tc>
              <w:tc>
                <w:tcPr>
                  <w:tcW w:w="269" w:type="pct"/>
                  <w:tcBorders>
                    <w:tl2br w:val="nil"/>
                    <w:tr2bl w:val="nil"/>
                  </w:tcBorders>
                  <w:noWrap w:val="0"/>
                  <w:vAlign w:val="center"/>
                </w:tcPr>
                <w:p w14:paraId="2CA9F5E5">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2.87</w:t>
                  </w:r>
                </w:p>
              </w:tc>
              <w:tc>
                <w:tcPr>
                  <w:tcW w:w="581" w:type="pct"/>
                  <w:tcBorders>
                    <w:tl2br w:val="nil"/>
                    <w:tr2bl w:val="nil"/>
                  </w:tcBorders>
                  <w:noWrap w:val="0"/>
                  <w:vAlign w:val="center"/>
                </w:tcPr>
                <w:p w14:paraId="3134C1E6">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项目位于废黄河（淮阴</w:t>
                  </w:r>
                </w:p>
                <w:p w14:paraId="421CDA40">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区）重要湿地</w:t>
                  </w:r>
                  <w:r>
                    <w:rPr>
                      <w:rFonts w:hint="default" w:ascii="Times New Roman" w:hAnsi="Times New Roman" w:eastAsia="宋体" w:cs="Times New Roman"/>
                      <w:color w:val="auto"/>
                      <w:sz w:val="18"/>
                      <w:szCs w:val="18"/>
                      <w:lang w:val="en-US" w:eastAsia="zh-CN"/>
                    </w:rPr>
                    <w:t>北</w:t>
                  </w:r>
                  <w:r>
                    <w:rPr>
                      <w:rFonts w:hint="default" w:ascii="Times New Roman" w:hAnsi="Times New Roman" w:eastAsia="宋体" w:cs="Times New Roman"/>
                      <w:color w:val="auto"/>
                      <w:sz w:val="18"/>
                      <w:szCs w:val="18"/>
                    </w:rPr>
                    <w:t>侧</w:t>
                  </w:r>
                  <w:r>
                    <w:rPr>
                      <w:rFonts w:hint="default" w:ascii="Times New Roman" w:hAnsi="Times New Roman" w:eastAsia="宋体" w:cs="Times New Roman"/>
                      <w:color w:val="auto"/>
                      <w:sz w:val="18"/>
                      <w:szCs w:val="18"/>
                      <w:lang w:val="en-US" w:eastAsia="zh-CN"/>
                    </w:rPr>
                    <w:t>约</w:t>
                  </w:r>
                  <w:r>
                    <w:rPr>
                      <w:rFonts w:hint="eastAsia" w:cs="Times New Roman"/>
                      <w:color w:val="auto"/>
                      <w:sz w:val="18"/>
                      <w:szCs w:val="18"/>
                      <w:lang w:val="en-US" w:eastAsia="zh-CN"/>
                    </w:rPr>
                    <w:t>1.75</w:t>
                  </w:r>
                  <w:r>
                    <w:rPr>
                      <w:rFonts w:hint="default" w:ascii="Times New Roman" w:hAnsi="Times New Roman" w:eastAsia="宋体" w:cs="Times New Roman"/>
                      <w:color w:val="auto"/>
                      <w:sz w:val="18"/>
                      <w:szCs w:val="18"/>
                    </w:rPr>
                    <w:t>km左右，不在管控范围之内</w:t>
                  </w:r>
                </w:p>
              </w:tc>
            </w:tr>
          </w:tbl>
          <w:p w14:paraId="1DBED6B5">
            <w:pPr>
              <w:keepNext w:val="0"/>
              <w:keepLines w:val="0"/>
              <w:suppressLineNumbers w:val="0"/>
              <w:spacing w:before="156" w:beforeLines="50" w:beforeAutospacing="0" w:after="0" w:afterAutospacing="0"/>
              <w:ind w:left="0" w:right="0" w:firstLine="480"/>
              <w:rPr>
                <w:rFonts w:hint="default" w:ascii="Times New Roman" w:hAnsi="Times New Roman" w:eastAsia="宋体" w:cs="Times New Roman"/>
                <w:color w:val="auto"/>
              </w:rPr>
            </w:pPr>
            <w:r>
              <w:rPr>
                <w:rFonts w:hint="default" w:ascii="Times New Roman" w:hAnsi="Times New Roman" w:eastAsia="宋体" w:cs="Times New Roman"/>
                <w:color w:val="auto"/>
                <w:lang w:eastAsia="zh-CN"/>
              </w:rPr>
              <w:t>综上，项目选址符合</w:t>
            </w:r>
            <w:r>
              <w:rPr>
                <w:rFonts w:hint="default" w:ascii="Times New Roman" w:hAnsi="Times New Roman" w:eastAsia="宋体" w:cs="Times New Roman"/>
                <w:color w:val="auto"/>
              </w:rPr>
              <w:t>《省政府关于印发江苏省国家级生态保护红线规划的通知》（苏政发[2018]74号）</w:t>
            </w:r>
            <w:r>
              <w:rPr>
                <w:rFonts w:hint="default" w:ascii="Times New Roman" w:hAnsi="Times New Roman" w:eastAsia="宋体" w:cs="Times New Roman"/>
                <w:color w:val="auto"/>
                <w:lang w:eastAsia="zh-CN"/>
              </w:rPr>
              <w:t>及</w:t>
            </w:r>
            <w:r>
              <w:rPr>
                <w:rFonts w:hint="default" w:ascii="Times New Roman" w:hAnsi="Times New Roman" w:eastAsia="宋体" w:cs="Times New Roman"/>
                <w:color w:val="auto"/>
              </w:rPr>
              <w:t>《省政府关于印发江苏省生态空间管控区域规划的通知》（苏政发〔2020〕1号）的要求。</w:t>
            </w:r>
          </w:p>
          <w:p w14:paraId="18183002">
            <w:pPr>
              <w:keepNext w:val="0"/>
              <w:keepLines w:val="0"/>
              <w:suppressLineNumbers w:val="0"/>
              <w:spacing w:before="0" w:beforeAutospacing="0" w:after="0" w:afterAutospacing="0"/>
              <w:ind w:left="0" w:right="0" w:firstLine="480"/>
              <w:rPr>
                <w:rFonts w:hint="default" w:ascii="Times New Roman" w:hAnsi="Times New Roman" w:eastAsia="宋体" w:cs="Times New Roman"/>
                <w:color w:val="auto"/>
              </w:rPr>
            </w:pPr>
            <w:r>
              <w:rPr>
                <w:rFonts w:hint="default" w:ascii="Times New Roman" w:hAnsi="Times New Roman" w:eastAsia="宋体" w:cs="Times New Roman"/>
                <w:color w:val="auto"/>
              </w:rPr>
              <w:t>②与</w:t>
            </w:r>
            <w:r>
              <w:rPr>
                <w:rFonts w:hint="default" w:ascii="Times New Roman" w:hAnsi="Times New Roman" w:eastAsia="宋体" w:cs="Times New Roman"/>
                <w:color w:val="auto"/>
                <w:sz w:val="24"/>
              </w:rPr>
              <w:t>《江苏省2023年生态环境分区管控成果动态更新成果公告》、</w:t>
            </w:r>
            <w:r>
              <w:rPr>
                <w:rFonts w:hint="default" w:ascii="Times New Roman" w:hAnsi="Times New Roman" w:eastAsia="宋体" w:cs="Times New Roman"/>
                <w:color w:val="auto"/>
              </w:rPr>
              <w:t>《江苏省政府关于印发&lt;江苏省“三线一单”生态环境分区管控方案&gt;的通知》（苏政发〔2020〕49号）相符性</w:t>
            </w:r>
          </w:p>
          <w:p w14:paraId="4DE92053">
            <w:pPr>
              <w:keepNext w:val="0"/>
              <w:keepLines w:val="0"/>
              <w:suppressLineNumbers w:val="0"/>
              <w:spacing w:before="0" w:beforeAutospacing="0" w:after="0" w:afterAutospacing="0"/>
              <w:ind w:left="0" w:right="0" w:firstLine="480"/>
              <w:rPr>
                <w:rFonts w:hint="default" w:ascii="Times New Roman" w:hAnsi="Times New Roman" w:eastAsia="宋体" w:cs="Times New Roman"/>
                <w:color w:val="auto"/>
              </w:rPr>
            </w:pPr>
            <w:r>
              <w:rPr>
                <w:rFonts w:hint="default" w:ascii="Times New Roman" w:hAnsi="Times New Roman" w:eastAsia="宋体" w:cs="Times New Roman"/>
                <w:bCs/>
                <w:color w:val="auto"/>
                <w:sz w:val="24"/>
              </w:rPr>
              <w:t>对照</w:t>
            </w:r>
            <w:r>
              <w:rPr>
                <w:rFonts w:hint="default" w:ascii="Times New Roman" w:hAnsi="Times New Roman" w:eastAsia="宋体" w:cs="Times New Roman"/>
                <w:color w:val="auto"/>
                <w:sz w:val="24"/>
              </w:rPr>
              <w:t>《江苏省2023年</w:t>
            </w:r>
            <w:r>
              <w:rPr>
                <w:rFonts w:hint="default" w:ascii="Times New Roman" w:hAnsi="Times New Roman" w:eastAsia="宋体" w:cs="Times New Roman"/>
                <w:color w:val="auto"/>
                <w:sz w:val="24"/>
                <w:lang w:eastAsia="zh-CN"/>
              </w:rPr>
              <w:t>度</w:t>
            </w:r>
            <w:r>
              <w:rPr>
                <w:rFonts w:hint="default" w:ascii="Times New Roman" w:hAnsi="Times New Roman" w:eastAsia="宋体" w:cs="Times New Roman"/>
                <w:color w:val="auto"/>
                <w:sz w:val="24"/>
              </w:rPr>
              <w:t>生态环境分区管控动态更新成果公告》、</w:t>
            </w:r>
            <w:r>
              <w:rPr>
                <w:rFonts w:hint="default" w:ascii="Times New Roman" w:hAnsi="Times New Roman" w:eastAsia="宋体" w:cs="Times New Roman"/>
                <w:color w:val="auto"/>
              </w:rPr>
              <w:t>《江苏省政府关于印发&lt;江苏省“三线一单”生态环境分区管控方案&gt;的通知》（苏政发〔2020〕49号），</w:t>
            </w:r>
            <w:r>
              <w:rPr>
                <w:rFonts w:hint="eastAsia" w:cs="Times New Roman"/>
                <w:color w:val="auto"/>
                <w:lang w:eastAsia="zh-CN"/>
              </w:rPr>
              <w:t>拟建</w:t>
            </w:r>
            <w:r>
              <w:rPr>
                <w:rFonts w:hint="default" w:ascii="Times New Roman" w:hAnsi="Times New Roman" w:eastAsia="宋体" w:cs="Times New Roman"/>
                <w:color w:val="auto"/>
                <w:lang w:eastAsia="zh-CN"/>
              </w:rPr>
              <w:t>项目</w:t>
            </w:r>
            <w:r>
              <w:rPr>
                <w:rFonts w:hint="default" w:ascii="Times New Roman" w:hAnsi="Times New Roman" w:eastAsia="宋体" w:cs="Times New Roman"/>
                <w:color w:val="auto"/>
              </w:rPr>
              <w:t>所在地位于淮河流域，属于重点管控单元，相符性分析见</w:t>
            </w:r>
            <w:r>
              <w:rPr>
                <w:rFonts w:hint="default" w:ascii="Times New Roman" w:hAnsi="Times New Roman" w:eastAsia="宋体" w:cs="Times New Roman"/>
                <w:color w:val="auto"/>
              </w:rPr>
              <w:t>表1</w:t>
            </w:r>
            <w:r>
              <w:rPr>
                <w:rFonts w:hint="eastAsia" w:cs="Times New Roman"/>
                <w:color w:val="auto"/>
                <w:lang w:val="en-US" w:eastAsia="zh-CN"/>
              </w:rPr>
              <w:t>.1</w:t>
            </w:r>
            <w:r>
              <w:rPr>
                <w:rFonts w:hint="default" w:ascii="Times New Roman" w:hAnsi="Times New Roman" w:eastAsia="宋体" w:cs="Times New Roman"/>
                <w:color w:val="auto"/>
              </w:rPr>
              <w:t>-</w:t>
            </w:r>
            <w:r>
              <w:rPr>
                <w:rFonts w:hint="eastAsia" w:cs="Times New Roman"/>
                <w:color w:val="auto"/>
                <w:lang w:val="en-US" w:eastAsia="zh-CN"/>
              </w:rPr>
              <w:t>3</w:t>
            </w:r>
            <w:r>
              <w:rPr>
                <w:rFonts w:hint="default" w:ascii="Times New Roman" w:hAnsi="Times New Roman" w:eastAsia="宋体" w:cs="Times New Roman"/>
                <w:color w:val="auto"/>
              </w:rPr>
              <w:t>。</w:t>
            </w:r>
          </w:p>
          <w:p w14:paraId="1A18586A">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rPr>
            </w:pPr>
            <w:r>
              <w:rPr>
                <w:rFonts w:hint="default" w:ascii="Times New Roman" w:hAnsi="Times New Roman" w:eastAsia="宋体" w:cs="Times New Roman"/>
                <w:b/>
                <w:bCs/>
                <w:color w:val="auto"/>
              </w:rPr>
              <w:t>表1</w:t>
            </w:r>
            <w:r>
              <w:rPr>
                <w:rFonts w:hint="default" w:ascii="Times New Roman" w:hAnsi="Times New Roman" w:eastAsia="宋体" w:cs="Times New Roman"/>
                <w:b/>
                <w:bCs/>
                <w:color w:val="auto"/>
                <w:lang w:val="en-US" w:eastAsia="zh-CN"/>
              </w:rPr>
              <w:t>.1</w:t>
            </w:r>
            <w:r>
              <w:rPr>
                <w:rFonts w:hint="default" w:ascii="Times New Roman" w:hAnsi="Times New Roman" w:eastAsia="宋体" w:cs="Times New Roman"/>
                <w:b/>
                <w:bCs/>
                <w:color w:val="auto"/>
              </w:rPr>
              <w:t>-</w:t>
            </w:r>
            <w:r>
              <w:rPr>
                <w:rFonts w:hint="default" w:ascii="Times New Roman" w:hAnsi="Times New Roman" w:eastAsia="宋体" w:cs="Times New Roman"/>
                <w:b/>
                <w:bCs/>
                <w:color w:val="auto"/>
                <w:lang w:val="en-US" w:eastAsia="zh-CN"/>
              </w:rPr>
              <w:t>3</w:t>
            </w:r>
            <w:r>
              <w:rPr>
                <w:rFonts w:hint="default" w:ascii="Times New Roman" w:hAnsi="Times New Roman" w:eastAsia="宋体" w:cs="Times New Roman"/>
                <w:b/>
                <w:bCs/>
                <w:color w:val="auto"/>
              </w:rPr>
              <w:t xml:space="preserve">  </w:t>
            </w:r>
            <w:r>
              <w:rPr>
                <w:rFonts w:hint="eastAsia" w:cs="Times New Roman"/>
                <w:b/>
                <w:bCs/>
                <w:color w:val="auto"/>
                <w:lang w:eastAsia="zh-CN"/>
              </w:rPr>
              <w:t>拟建</w:t>
            </w:r>
            <w:r>
              <w:rPr>
                <w:rFonts w:hint="default" w:ascii="Times New Roman" w:hAnsi="Times New Roman" w:eastAsia="宋体" w:cs="Times New Roman"/>
                <w:b/>
                <w:bCs/>
                <w:color w:val="auto"/>
                <w:lang w:eastAsia="zh-CN"/>
              </w:rPr>
              <w:t>项目</w:t>
            </w:r>
            <w:r>
              <w:rPr>
                <w:rFonts w:hint="default" w:ascii="Times New Roman" w:hAnsi="Times New Roman" w:eastAsia="宋体" w:cs="Times New Roman"/>
                <w:b/>
                <w:bCs/>
                <w:color w:val="auto"/>
              </w:rPr>
              <w:t>与《江苏省2023年</w:t>
            </w:r>
            <w:r>
              <w:rPr>
                <w:rFonts w:hint="default" w:ascii="Times New Roman" w:hAnsi="Times New Roman" w:eastAsia="宋体" w:cs="Times New Roman"/>
                <w:b/>
                <w:bCs/>
                <w:color w:val="auto"/>
                <w:lang w:eastAsia="zh-CN"/>
              </w:rPr>
              <w:t>度</w:t>
            </w:r>
            <w:r>
              <w:rPr>
                <w:rFonts w:hint="default" w:ascii="Times New Roman" w:hAnsi="Times New Roman" w:eastAsia="宋体" w:cs="Times New Roman"/>
                <w:b/>
                <w:bCs/>
                <w:color w:val="auto"/>
              </w:rPr>
              <w:t>生态环境分区管控动态更新成果公告》、《江苏省“三线一单”生态环境分区管控方案》相符性分析</w:t>
            </w:r>
          </w:p>
          <w:tbl>
            <w:tblPr>
              <w:tblStyle w:val="27"/>
              <w:tblW w:w="4998"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28" w:type="dxa"/>
                <w:bottom w:w="0" w:type="dxa"/>
                <w:right w:w="28" w:type="dxa"/>
              </w:tblCellMar>
            </w:tblPr>
            <w:tblGrid>
              <w:gridCol w:w="932"/>
              <w:gridCol w:w="2398"/>
              <w:gridCol w:w="3999"/>
              <w:gridCol w:w="1052"/>
            </w:tblGrid>
            <w:tr w14:paraId="20374DB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40" w:hRule="atLeast"/>
              </w:trPr>
              <w:tc>
                <w:tcPr>
                  <w:tcW w:w="556" w:type="pct"/>
                  <w:tcBorders>
                    <w:tl2br w:val="nil"/>
                    <w:tr2bl w:val="nil"/>
                  </w:tcBorders>
                  <w:noWrap w:val="0"/>
                  <w:vAlign w:val="center"/>
                </w:tcPr>
                <w:p w14:paraId="4C37C420">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管控类别</w:t>
                  </w:r>
                </w:p>
              </w:tc>
              <w:tc>
                <w:tcPr>
                  <w:tcW w:w="1430" w:type="pct"/>
                  <w:tcBorders>
                    <w:tl2br w:val="nil"/>
                    <w:tr2bl w:val="nil"/>
                  </w:tcBorders>
                  <w:noWrap w:val="0"/>
                  <w:vAlign w:val="center"/>
                </w:tcPr>
                <w:p w14:paraId="41551456">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重点管控要求</w:t>
                  </w:r>
                </w:p>
              </w:tc>
              <w:tc>
                <w:tcPr>
                  <w:tcW w:w="2385" w:type="pct"/>
                  <w:tcBorders>
                    <w:tl2br w:val="nil"/>
                    <w:tr2bl w:val="nil"/>
                  </w:tcBorders>
                  <w:noWrap w:val="0"/>
                  <w:vAlign w:val="center"/>
                </w:tcPr>
                <w:p w14:paraId="69FD9103">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lang w:eastAsia="zh-CN"/>
                    </w:rPr>
                    <w:t>建设项目</w:t>
                  </w:r>
                  <w:r>
                    <w:rPr>
                      <w:rFonts w:hint="default" w:ascii="Times New Roman" w:hAnsi="Times New Roman" w:eastAsia="宋体" w:cs="Times New Roman"/>
                      <w:b/>
                      <w:bCs/>
                      <w:color w:val="auto"/>
                      <w:sz w:val="18"/>
                      <w:szCs w:val="18"/>
                    </w:rPr>
                    <w:t>情况</w:t>
                  </w:r>
                </w:p>
              </w:tc>
              <w:tc>
                <w:tcPr>
                  <w:tcW w:w="627" w:type="pct"/>
                  <w:tcBorders>
                    <w:tl2br w:val="nil"/>
                    <w:tr2bl w:val="nil"/>
                  </w:tcBorders>
                  <w:noWrap w:val="0"/>
                  <w:vAlign w:val="center"/>
                </w:tcPr>
                <w:p w14:paraId="32E61481">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相符性判定</w:t>
                  </w:r>
                </w:p>
              </w:tc>
            </w:tr>
            <w:tr w14:paraId="7BBFB3B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40" w:hRule="atLeast"/>
              </w:trPr>
              <w:tc>
                <w:tcPr>
                  <w:tcW w:w="556" w:type="pct"/>
                  <w:tcBorders>
                    <w:tl2br w:val="nil"/>
                    <w:tr2bl w:val="nil"/>
                  </w:tcBorders>
                  <w:noWrap w:val="0"/>
                  <w:vAlign w:val="center"/>
                </w:tcPr>
                <w:p w14:paraId="7693E551">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空间布局约束</w:t>
                  </w:r>
                </w:p>
              </w:tc>
              <w:tc>
                <w:tcPr>
                  <w:tcW w:w="1430" w:type="pct"/>
                  <w:tcBorders>
                    <w:tl2br w:val="nil"/>
                    <w:tr2bl w:val="nil"/>
                  </w:tcBorders>
                  <w:noWrap w:val="0"/>
                  <w:vAlign w:val="center"/>
                </w:tcPr>
                <w:p w14:paraId="71EBBE76">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1.禁止在淮河流域新建化学制浆造纸企业，禁止在淮河流域新建制革、化工、印染、电镀、酿造等污染严重的小型企业。</w:t>
                  </w:r>
                </w:p>
              </w:tc>
              <w:tc>
                <w:tcPr>
                  <w:tcW w:w="2385" w:type="pct"/>
                  <w:tcBorders>
                    <w:tl2br w:val="nil"/>
                    <w:tr2bl w:val="nil"/>
                  </w:tcBorders>
                  <w:noWrap w:val="0"/>
                  <w:vAlign w:val="center"/>
                </w:tcPr>
                <w:p w14:paraId="178658AD">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eastAsia" w:cs="Times New Roman"/>
                      <w:color w:val="auto"/>
                      <w:sz w:val="18"/>
                      <w:szCs w:val="18"/>
                      <w:lang w:val="en-US" w:eastAsia="zh-CN"/>
                    </w:rPr>
                    <w:t>拟建</w:t>
                  </w:r>
                  <w:r>
                    <w:rPr>
                      <w:rFonts w:hint="default" w:ascii="Times New Roman" w:hAnsi="Times New Roman" w:eastAsia="宋体" w:cs="Times New Roman"/>
                      <w:color w:val="auto"/>
                      <w:sz w:val="18"/>
                      <w:szCs w:val="18"/>
                      <w:lang w:val="en-US" w:eastAsia="zh-CN"/>
                    </w:rPr>
                    <w:t>项目</w:t>
                  </w:r>
                  <w:r>
                    <w:rPr>
                      <w:rFonts w:hint="eastAsia" w:cs="Times New Roman"/>
                      <w:color w:val="auto"/>
                      <w:sz w:val="18"/>
                      <w:szCs w:val="18"/>
                      <w:lang w:eastAsia="zh-CN"/>
                    </w:rPr>
                    <w:t>属于耐火材料制造</w:t>
                  </w:r>
                  <w:r>
                    <w:rPr>
                      <w:rFonts w:hint="default" w:ascii="Times New Roman" w:hAnsi="Times New Roman" w:eastAsia="宋体" w:cs="Times New Roman"/>
                      <w:color w:val="auto"/>
                      <w:sz w:val="18"/>
                      <w:szCs w:val="18"/>
                      <w:lang w:val="en-US" w:eastAsia="zh-CN"/>
                    </w:rPr>
                    <w:t>项目</w:t>
                  </w:r>
                  <w:r>
                    <w:rPr>
                      <w:rFonts w:hint="default" w:ascii="Times New Roman" w:hAnsi="Times New Roman" w:eastAsia="宋体" w:cs="Times New Roman"/>
                      <w:color w:val="auto"/>
                      <w:sz w:val="18"/>
                      <w:szCs w:val="18"/>
                    </w:rPr>
                    <w:t>，</w:t>
                  </w:r>
                  <w:r>
                    <w:rPr>
                      <w:rFonts w:hint="default" w:ascii="Times New Roman" w:hAnsi="Times New Roman" w:eastAsia="宋体" w:cs="Times New Roman"/>
                      <w:color w:val="auto"/>
                      <w:sz w:val="18"/>
                      <w:szCs w:val="18"/>
                      <w:lang w:val="en-US" w:eastAsia="zh-CN"/>
                    </w:rPr>
                    <w:t>项目</w:t>
                  </w:r>
                  <w:r>
                    <w:rPr>
                      <w:rFonts w:hint="default" w:ascii="Times New Roman" w:hAnsi="Times New Roman" w:eastAsia="宋体" w:cs="Times New Roman"/>
                      <w:color w:val="auto"/>
                      <w:sz w:val="18"/>
                      <w:szCs w:val="18"/>
                    </w:rPr>
                    <w:t>不属于</w:t>
                  </w:r>
                  <w:r>
                    <w:rPr>
                      <w:rFonts w:hint="default" w:ascii="Times New Roman" w:hAnsi="Times New Roman" w:eastAsia="宋体" w:cs="Times New Roman"/>
                      <w:color w:val="auto"/>
                      <w:sz w:val="18"/>
                      <w:szCs w:val="18"/>
                      <w:lang w:eastAsia="zh-CN"/>
                    </w:rPr>
                    <w:t>淮河流域禁止的</w:t>
                  </w:r>
                  <w:r>
                    <w:rPr>
                      <w:rFonts w:hint="default" w:ascii="Times New Roman" w:hAnsi="Times New Roman" w:eastAsia="宋体" w:cs="Times New Roman"/>
                      <w:color w:val="auto"/>
                      <w:sz w:val="18"/>
                      <w:szCs w:val="18"/>
                    </w:rPr>
                    <w:t>制革、化工、印染、电镀、酿造等污染严重的企业。</w:t>
                  </w:r>
                </w:p>
              </w:tc>
              <w:tc>
                <w:tcPr>
                  <w:tcW w:w="627" w:type="pct"/>
                  <w:tcBorders>
                    <w:tl2br w:val="nil"/>
                    <w:tr2bl w:val="nil"/>
                  </w:tcBorders>
                  <w:noWrap w:val="0"/>
                  <w:vAlign w:val="center"/>
                </w:tcPr>
                <w:p w14:paraId="56BEE5D8">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相符</w:t>
                  </w:r>
                </w:p>
              </w:tc>
            </w:tr>
            <w:tr w14:paraId="6D3376F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40" w:hRule="atLeast"/>
              </w:trPr>
              <w:tc>
                <w:tcPr>
                  <w:tcW w:w="556" w:type="pct"/>
                  <w:tcBorders>
                    <w:tl2br w:val="nil"/>
                    <w:tr2bl w:val="nil"/>
                  </w:tcBorders>
                  <w:noWrap w:val="0"/>
                  <w:vAlign w:val="center"/>
                </w:tcPr>
                <w:p w14:paraId="0EE9FAC1">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污染物排放管控</w:t>
                  </w:r>
                </w:p>
              </w:tc>
              <w:tc>
                <w:tcPr>
                  <w:tcW w:w="1430" w:type="pct"/>
                  <w:tcBorders>
                    <w:tl2br w:val="nil"/>
                    <w:tr2bl w:val="nil"/>
                  </w:tcBorders>
                  <w:noWrap w:val="0"/>
                  <w:vAlign w:val="center"/>
                </w:tcPr>
                <w:p w14:paraId="2802A88F">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按照《淮河流域水污染防治暂行条例》实施排污总量控制制度。</w:t>
                  </w:r>
                </w:p>
              </w:tc>
              <w:tc>
                <w:tcPr>
                  <w:tcW w:w="2385" w:type="pct"/>
                  <w:tcBorders>
                    <w:tl2br w:val="nil"/>
                    <w:tr2bl w:val="nil"/>
                  </w:tcBorders>
                  <w:noWrap w:val="0"/>
                  <w:vAlign w:val="center"/>
                </w:tcPr>
                <w:p w14:paraId="12B5F5BB">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eastAsia"/>
                      <w:color w:val="auto"/>
                      <w:sz w:val="18"/>
                      <w:szCs w:val="18"/>
                      <w:lang w:val="en-US" w:eastAsia="zh-CN"/>
                    </w:rPr>
                    <w:t>拟建项目无生产废水产生</w:t>
                  </w:r>
                  <w:r>
                    <w:rPr>
                      <w:rFonts w:hint="eastAsia" w:hAnsiTheme="minorEastAsia" w:eastAsiaTheme="minorEastAsia"/>
                      <w:bCs/>
                      <w:color w:val="auto"/>
                      <w:sz w:val="18"/>
                      <w:szCs w:val="18"/>
                      <w:lang w:val="en-US" w:eastAsia="zh-CN"/>
                    </w:rPr>
                    <w:t>；项目</w:t>
                  </w:r>
                  <w:r>
                    <w:rPr>
                      <w:rFonts w:hint="eastAsia"/>
                      <w:color w:val="auto"/>
                      <w:sz w:val="18"/>
                      <w:szCs w:val="18"/>
                    </w:rPr>
                    <w:t>生活污水</w:t>
                  </w:r>
                  <w:r>
                    <w:rPr>
                      <w:rFonts w:hint="eastAsia"/>
                      <w:color w:val="auto"/>
                      <w:sz w:val="18"/>
                      <w:szCs w:val="18"/>
                      <w:lang w:val="en-US" w:eastAsia="zh-CN"/>
                    </w:rPr>
                    <w:t>排放量指标</w:t>
                  </w:r>
                  <w:r>
                    <w:rPr>
                      <w:rFonts w:hint="eastAsia"/>
                      <w:color w:val="auto"/>
                      <w:sz w:val="18"/>
                      <w:szCs w:val="18"/>
                    </w:rPr>
                    <w:t>在</w:t>
                  </w:r>
                  <w:r>
                    <w:rPr>
                      <w:rFonts w:hint="eastAsia"/>
                      <w:color w:val="auto"/>
                      <w:sz w:val="18"/>
                      <w:szCs w:val="18"/>
                      <w:lang w:eastAsia="zh-CN"/>
                    </w:rPr>
                    <w:t>新渡片区</w:t>
                  </w:r>
                  <w:r>
                    <w:rPr>
                      <w:rFonts w:hint="eastAsia"/>
                      <w:color w:val="auto"/>
                      <w:sz w:val="18"/>
                      <w:szCs w:val="18"/>
                    </w:rPr>
                    <w:t>污水处理厂</w:t>
                  </w:r>
                  <w:r>
                    <w:rPr>
                      <w:rFonts w:hint="eastAsia"/>
                      <w:color w:val="auto"/>
                      <w:sz w:val="18"/>
                      <w:szCs w:val="18"/>
                      <w:lang w:val="en-US" w:eastAsia="zh-CN"/>
                    </w:rPr>
                    <w:t>剩余</w:t>
                  </w:r>
                  <w:r>
                    <w:rPr>
                      <w:rFonts w:hint="eastAsia"/>
                      <w:color w:val="auto"/>
                      <w:sz w:val="18"/>
                      <w:szCs w:val="18"/>
                    </w:rPr>
                    <w:t>总量中</w:t>
                  </w:r>
                  <w:r>
                    <w:rPr>
                      <w:rFonts w:hint="eastAsia"/>
                      <w:color w:val="auto"/>
                      <w:sz w:val="18"/>
                      <w:szCs w:val="18"/>
                      <w:lang w:val="en-US" w:eastAsia="zh-CN"/>
                    </w:rPr>
                    <w:t>进行</w:t>
                  </w:r>
                  <w:r>
                    <w:rPr>
                      <w:rFonts w:hint="eastAsia"/>
                      <w:color w:val="auto"/>
                      <w:sz w:val="18"/>
                      <w:szCs w:val="18"/>
                    </w:rPr>
                    <w:t>平衡</w:t>
                  </w:r>
                  <w:r>
                    <w:rPr>
                      <w:rFonts w:hint="eastAsia"/>
                      <w:color w:val="auto"/>
                      <w:sz w:val="18"/>
                      <w:szCs w:val="18"/>
                      <w:lang w:eastAsia="zh-CN"/>
                    </w:rPr>
                    <w:t>，</w:t>
                  </w:r>
                  <w:r>
                    <w:rPr>
                      <w:rFonts w:hint="eastAsia"/>
                      <w:color w:val="auto"/>
                      <w:sz w:val="18"/>
                      <w:szCs w:val="18"/>
                      <w:lang w:val="en-US" w:eastAsia="zh-CN"/>
                    </w:rPr>
                    <w:t>不另行申请；项目固废零排放。</w:t>
                  </w:r>
                </w:p>
              </w:tc>
              <w:tc>
                <w:tcPr>
                  <w:tcW w:w="627" w:type="pct"/>
                  <w:tcBorders>
                    <w:tl2br w:val="nil"/>
                    <w:tr2bl w:val="nil"/>
                  </w:tcBorders>
                  <w:noWrap w:val="0"/>
                  <w:vAlign w:val="center"/>
                </w:tcPr>
                <w:p w14:paraId="4D327892">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相符</w:t>
                  </w:r>
                </w:p>
              </w:tc>
            </w:tr>
            <w:tr w14:paraId="6AD05B6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40" w:hRule="atLeast"/>
              </w:trPr>
              <w:tc>
                <w:tcPr>
                  <w:tcW w:w="556" w:type="pct"/>
                  <w:tcBorders>
                    <w:tl2br w:val="nil"/>
                    <w:tr2bl w:val="nil"/>
                  </w:tcBorders>
                  <w:noWrap w:val="0"/>
                  <w:vAlign w:val="center"/>
                </w:tcPr>
                <w:p w14:paraId="17E3CD8E">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环境风险防控</w:t>
                  </w:r>
                </w:p>
              </w:tc>
              <w:tc>
                <w:tcPr>
                  <w:tcW w:w="1430" w:type="pct"/>
                  <w:tcBorders>
                    <w:tl2br w:val="nil"/>
                    <w:tr2bl w:val="nil"/>
                  </w:tcBorders>
                  <w:noWrap w:val="0"/>
                  <w:vAlign w:val="center"/>
                </w:tcPr>
                <w:p w14:paraId="6717BA6E">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禁止运输剧毒化学品以及国家规定禁止通过内河运输的其他危险化学品的船舶进入通榆河及主要供水河道。</w:t>
                  </w:r>
                </w:p>
              </w:tc>
              <w:tc>
                <w:tcPr>
                  <w:tcW w:w="2385" w:type="pct"/>
                  <w:tcBorders>
                    <w:tl2br w:val="nil"/>
                    <w:tr2bl w:val="nil"/>
                  </w:tcBorders>
                  <w:noWrap w:val="0"/>
                  <w:vAlign w:val="center"/>
                </w:tcPr>
                <w:p w14:paraId="06A3A5C3">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eastAsia" w:cs="Times New Roman"/>
                      <w:color w:val="auto"/>
                      <w:sz w:val="18"/>
                      <w:szCs w:val="18"/>
                      <w:lang w:eastAsia="zh-CN"/>
                    </w:rPr>
                    <w:t>拟建</w:t>
                  </w:r>
                  <w:r>
                    <w:rPr>
                      <w:rFonts w:hint="default" w:ascii="Times New Roman" w:hAnsi="Times New Roman" w:eastAsia="宋体" w:cs="Times New Roman"/>
                      <w:color w:val="auto"/>
                      <w:sz w:val="18"/>
                      <w:szCs w:val="18"/>
                      <w:lang w:eastAsia="zh-CN"/>
                    </w:rPr>
                    <w:t>项目不涉及</w:t>
                  </w:r>
                  <w:r>
                    <w:rPr>
                      <w:rFonts w:hint="default" w:ascii="Times New Roman" w:hAnsi="Times New Roman" w:eastAsia="宋体" w:cs="Times New Roman"/>
                      <w:color w:val="auto"/>
                      <w:sz w:val="18"/>
                      <w:szCs w:val="18"/>
                    </w:rPr>
                    <w:t>剧毒化学品</w:t>
                  </w:r>
                  <w:r>
                    <w:rPr>
                      <w:rFonts w:hint="default" w:ascii="Times New Roman" w:hAnsi="Times New Roman" w:eastAsia="宋体" w:cs="Times New Roman"/>
                      <w:color w:val="auto"/>
                      <w:sz w:val="18"/>
                      <w:szCs w:val="18"/>
                      <w:lang w:eastAsia="zh-CN"/>
                    </w:rPr>
                    <w:t>及危险化学品，建设项目不在通榆河管控范围</w:t>
                  </w:r>
                  <w:r>
                    <w:rPr>
                      <w:rFonts w:hint="default" w:ascii="Times New Roman" w:hAnsi="Times New Roman" w:eastAsia="宋体" w:cs="Times New Roman"/>
                      <w:color w:val="auto"/>
                      <w:sz w:val="18"/>
                      <w:szCs w:val="18"/>
                    </w:rPr>
                    <w:t>。</w:t>
                  </w:r>
                </w:p>
              </w:tc>
              <w:tc>
                <w:tcPr>
                  <w:tcW w:w="627" w:type="pct"/>
                  <w:tcBorders>
                    <w:tl2br w:val="nil"/>
                    <w:tr2bl w:val="nil"/>
                  </w:tcBorders>
                  <w:noWrap w:val="0"/>
                  <w:vAlign w:val="center"/>
                </w:tcPr>
                <w:p w14:paraId="5D9A4E68">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相符</w:t>
                  </w:r>
                </w:p>
              </w:tc>
            </w:tr>
            <w:tr w14:paraId="6396D2D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40" w:hRule="atLeast"/>
              </w:trPr>
              <w:tc>
                <w:tcPr>
                  <w:tcW w:w="556" w:type="pct"/>
                  <w:tcBorders>
                    <w:tl2br w:val="nil"/>
                    <w:tr2bl w:val="nil"/>
                  </w:tcBorders>
                  <w:noWrap w:val="0"/>
                  <w:vAlign w:val="center"/>
                </w:tcPr>
                <w:p w14:paraId="68E22229">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资源利用效率要求</w:t>
                  </w:r>
                </w:p>
              </w:tc>
              <w:tc>
                <w:tcPr>
                  <w:tcW w:w="1430" w:type="pct"/>
                  <w:tcBorders>
                    <w:tl2br w:val="nil"/>
                    <w:tr2bl w:val="nil"/>
                  </w:tcBorders>
                  <w:noWrap w:val="0"/>
                  <w:vAlign w:val="center"/>
                </w:tcPr>
                <w:p w14:paraId="3E90FBC8">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限制缺水地区发展耗水型产业，调整缺水地区的产业结构，严格控制高耗水、高耗能和重污染的建设项目。</w:t>
                  </w:r>
                </w:p>
              </w:tc>
              <w:tc>
                <w:tcPr>
                  <w:tcW w:w="2385" w:type="pct"/>
                  <w:tcBorders>
                    <w:tl2br w:val="nil"/>
                    <w:tr2bl w:val="nil"/>
                  </w:tcBorders>
                  <w:noWrap w:val="0"/>
                  <w:vAlign w:val="center"/>
                </w:tcPr>
                <w:p w14:paraId="6FD75642">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eastAsia" w:cs="Times New Roman"/>
                      <w:color w:val="auto"/>
                      <w:sz w:val="18"/>
                      <w:szCs w:val="18"/>
                      <w:lang w:eastAsia="zh-CN"/>
                    </w:rPr>
                    <w:t>拟建</w:t>
                  </w:r>
                  <w:r>
                    <w:rPr>
                      <w:rFonts w:hint="default" w:ascii="Times New Roman" w:hAnsi="Times New Roman" w:eastAsia="宋体" w:cs="Times New Roman"/>
                      <w:color w:val="auto"/>
                      <w:sz w:val="18"/>
                      <w:szCs w:val="18"/>
                      <w:lang w:eastAsia="zh-CN"/>
                    </w:rPr>
                    <w:t>项目</w:t>
                  </w:r>
                  <w:r>
                    <w:rPr>
                      <w:rFonts w:hint="default" w:ascii="Times New Roman" w:hAnsi="Times New Roman" w:eastAsia="宋体" w:cs="Times New Roman"/>
                      <w:color w:val="auto"/>
                      <w:sz w:val="18"/>
                      <w:szCs w:val="18"/>
                    </w:rPr>
                    <w:t>不属于高耗水、高耗能和重污染项目。</w:t>
                  </w:r>
                </w:p>
              </w:tc>
              <w:tc>
                <w:tcPr>
                  <w:tcW w:w="627" w:type="pct"/>
                  <w:tcBorders>
                    <w:tl2br w:val="nil"/>
                    <w:tr2bl w:val="nil"/>
                  </w:tcBorders>
                  <w:noWrap w:val="0"/>
                  <w:vAlign w:val="center"/>
                </w:tcPr>
                <w:p w14:paraId="6DE767EA">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相符</w:t>
                  </w:r>
                </w:p>
              </w:tc>
            </w:tr>
          </w:tbl>
          <w:p w14:paraId="1ECE95F3">
            <w:pPr>
              <w:keepNext w:val="0"/>
              <w:keepLines w:val="0"/>
              <w:suppressLineNumbers w:val="0"/>
              <w:spacing w:before="156" w:beforeLines="50" w:beforeAutospacing="0" w:after="0" w:afterAutospacing="0"/>
              <w:ind w:left="0" w:right="0" w:firstLine="480"/>
              <w:rPr>
                <w:rFonts w:hint="default" w:ascii="Times New Roman" w:hAnsi="Times New Roman" w:eastAsia="宋体" w:cs="Times New Roman"/>
                <w:color w:val="auto"/>
              </w:rPr>
            </w:pPr>
            <w:r>
              <w:rPr>
                <w:rFonts w:hint="default" w:ascii="Times New Roman" w:hAnsi="Times New Roman" w:eastAsia="宋体" w:cs="Times New Roman"/>
                <w:color w:val="auto"/>
              </w:rPr>
              <w:t>根据上表分析可知，</w:t>
            </w:r>
            <w:r>
              <w:rPr>
                <w:rFonts w:hint="default" w:ascii="Times New Roman" w:hAnsi="Times New Roman" w:eastAsia="宋体" w:cs="Times New Roman"/>
                <w:color w:val="auto"/>
                <w:lang w:eastAsia="zh-CN"/>
              </w:rPr>
              <w:t>拟建项目</w:t>
            </w:r>
            <w:r>
              <w:rPr>
                <w:rFonts w:hint="default" w:ascii="Times New Roman" w:hAnsi="Times New Roman" w:eastAsia="宋体" w:cs="Times New Roman"/>
                <w:color w:val="auto"/>
              </w:rPr>
              <w:t>与</w:t>
            </w:r>
            <w:r>
              <w:rPr>
                <w:rFonts w:hint="default" w:ascii="Times New Roman" w:hAnsi="Times New Roman" w:eastAsia="宋体" w:cs="Times New Roman"/>
                <w:color w:val="auto"/>
                <w:sz w:val="24"/>
              </w:rPr>
              <w:t>《江苏省2023年</w:t>
            </w:r>
            <w:r>
              <w:rPr>
                <w:rFonts w:hint="default" w:ascii="Times New Roman" w:hAnsi="Times New Roman" w:eastAsia="宋体" w:cs="Times New Roman"/>
                <w:color w:val="auto"/>
                <w:sz w:val="24"/>
                <w:lang w:eastAsia="zh-CN"/>
              </w:rPr>
              <w:t>度</w:t>
            </w:r>
            <w:r>
              <w:rPr>
                <w:rFonts w:hint="default" w:ascii="Times New Roman" w:hAnsi="Times New Roman" w:eastAsia="宋体" w:cs="Times New Roman"/>
                <w:color w:val="auto"/>
                <w:sz w:val="24"/>
              </w:rPr>
              <w:t>生态环境分区管控动态更新成果公告》、</w:t>
            </w:r>
            <w:r>
              <w:rPr>
                <w:rFonts w:hint="default" w:ascii="Times New Roman" w:hAnsi="Times New Roman" w:eastAsia="宋体" w:cs="Times New Roman"/>
                <w:color w:val="auto"/>
              </w:rPr>
              <w:t>《江苏省“三线一单”生态环境分区管控方案》是相符的。</w:t>
            </w:r>
          </w:p>
          <w:p w14:paraId="6709766C">
            <w:pPr>
              <w:keepNext w:val="0"/>
              <w:keepLines w:val="0"/>
              <w:suppressLineNumbers w:val="0"/>
              <w:spacing w:before="0" w:beforeAutospacing="0" w:after="0" w:afterAutospacing="0"/>
              <w:ind w:left="0" w:right="0" w:firstLine="480"/>
              <w:rPr>
                <w:rFonts w:hint="eastAsia" w:ascii="Times New Roman" w:hAnsi="Times New Roman" w:eastAsia="宋体" w:cs="Times New Roman"/>
                <w:color w:val="auto"/>
                <w:lang w:eastAsia="zh-CN"/>
              </w:rPr>
            </w:pPr>
            <w:r>
              <w:rPr>
                <w:rFonts w:hint="default" w:ascii="Times New Roman" w:hAnsi="Times New Roman" w:eastAsia="宋体" w:cs="Times New Roman"/>
                <w:color w:val="auto"/>
              </w:rPr>
              <w:t>③与《市政府关于印发&lt;淮安市“三线一单”生态环境分区管控方案&gt;的通知》（淮政发〔2020〕16号）</w:t>
            </w:r>
            <w:r>
              <w:rPr>
                <w:rFonts w:hint="default" w:ascii="Times New Roman" w:hAnsi="Times New Roman" w:eastAsia="宋体" w:cs="Times New Roman"/>
                <w:color w:val="auto"/>
                <w:lang w:eastAsia="zh-CN"/>
              </w:rPr>
              <w:t>、</w:t>
            </w:r>
            <w:r>
              <w:rPr>
                <w:rFonts w:hint="default" w:ascii="Times New Roman" w:hAnsi="Times New Roman" w:eastAsia="宋体" w:cs="Times New Roman"/>
                <w:bCs/>
                <w:color w:val="auto"/>
              </w:rPr>
              <w:t>《市政府办公室关于对淮安市“三线一单”生态环境分区管控方案内容修改的通知》（淮政办函〔2022〕5号）</w:t>
            </w:r>
            <w:r>
              <w:rPr>
                <w:rFonts w:hint="default" w:ascii="Times New Roman" w:hAnsi="Times New Roman" w:eastAsia="宋体" w:cs="Times New Roman"/>
                <w:color w:val="auto"/>
              </w:rPr>
              <w:t>、</w:t>
            </w:r>
            <w:r>
              <w:rPr>
                <w:rFonts w:hint="default" w:ascii="Times New Roman" w:hAnsi="Times New Roman" w:eastAsia="宋体" w:cs="Times New Roman"/>
                <w:color w:val="auto"/>
                <w:sz w:val="24"/>
              </w:rPr>
              <w:t>《淮安市生态环境分区管控动态更新成果》（2023版）</w:t>
            </w:r>
            <w:r>
              <w:rPr>
                <w:rFonts w:hint="default" w:ascii="Times New Roman" w:hAnsi="Times New Roman" w:eastAsia="宋体" w:cs="Times New Roman"/>
                <w:color w:val="auto"/>
              </w:rPr>
              <w:t>相符性</w:t>
            </w:r>
            <w:r>
              <w:rPr>
                <w:rFonts w:hint="eastAsia" w:cs="Times New Roman"/>
                <w:color w:val="auto"/>
                <w:lang w:eastAsia="zh-CN"/>
              </w:rPr>
              <w:t>，</w:t>
            </w:r>
            <w:r>
              <w:rPr>
                <w:rFonts w:hint="eastAsia"/>
                <w:color w:val="auto"/>
                <w:lang w:val="en-US" w:eastAsia="zh-CN"/>
              </w:rPr>
              <w:t>具体见表1.1-4、表1.1-5</w:t>
            </w:r>
            <w:r>
              <w:rPr>
                <w:rFonts w:hint="eastAsia"/>
                <w:color w:val="auto"/>
                <w:lang w:val="en-US" w:eastAsia="zh-CN"/>
              </w:rPr>
              <w:t>。</w:t>
            </w:r>
          </w:p>
          <w:p w14:paraId="3A81ACF3">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rPr>
            </w:pPr>
            <w:r>
              <w:rPr>
                <w:rFonts w:hint="default" w:ascii="Times New Roman" w:hAnsi="Times New Roman" w:eastAsia="宋体" w:cs="Times New Roman"/>
                <w:b/>
                <w:bCs/>
                <w:color w:val="auto"/>
              </w:rPr>
              <w:t>表1</w:t>
            </w:r>
            <w:r>
              <w:rPr>
                <w:rFonts w:hint="default" w:ascii="Times New Roman" w:hAnsi="Times New Roman" w:eastAsia="宋体" w:cs="Times New Roman"/>
                <w:b/>
                <w:bCs/>
                <w:color w:val="auto"/>
                <w:lang w:val="en-US" w:eastAsia="zh-CN"/>
              </w:rPr>
              <w:t>.1</w:t>
            </w:r>
            <w:r>
              <w:rPr>
                <w:rFonts w:hint="default" w:ascii="Times New Roman" w:hAnsi="Times New Roman" w:eastAsia="宋体" w:cs="Times New Roman"/>
                <w:b/>
                <w:bCs/>
                <w:color w:val="auto"/>
              </w:rPr>
              <w:t>-4 与淮安市“三线一单”管控方案及其修改单相符性</w:t>
            </w:r>
          </w:p>
          <w:tbl>
            <w:tblPr>
              <w:tblStyle w:val="27"/>
              <w:tblW w:w="4997"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31"/>
              <w:gridCol w:w="5010"/>
              <w:gridCol w:w="1638"/>
              <w:gridCol w:w="900"/>
            </w:tblGrid>
            <w:tr w14:paraId="2B7CBD8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96" w:type="pct"/>
                  <w:tcBorders>
                    <w:tl2br w:val="nil"/>
                    <w:tr2bl w:val="nil"/>
                  </w:tcBorders>
                  <w:shd w:val="clear" w:color="auto" w:fill="auto"/>
                  <w:vAlign w:val="center"/>
                </w:tcPr>
                <w:p w14:paraId="2388A6C1">
                  <w:pPr>
                    <w:pStyle w:val="5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管控类别</w:t>
                  </w:r>
                </w:p>
              </w:tc>
              <w:tc>
                <w:tcPr>
                  <w:tcW w:w="2989" w:type="pct"/>
                  <w:tcBorders>
                    <w:tl2br w:val="nil"/>
                    <w:tr2bl w:val="nil"/>
                  </w:tcBorders>
                  <w:shd w:val="clear" w:color="auto" w:fill="auto"/>
                  <w:vAlign w:val="center"/>
                </w:tcPr>
                <w:p w14:paraId="0E2AD90C">
                  <w:pPr>
                    <w:pStyle w:val="5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重点管控要求</w:t>
                  </w:r>
                </w:p>
              </w:tc>
              <w:tc>
                <w:tcPr>
                  <w:tcW w:w="977" w:type="pct"/>
                  <w:tcBorders>
                    <w:tl2br w:val="nil"/>
                    <w:tr2bl w:val="nil"/>
                  </w:tcBorders>
                  <w:shd w:val="clear" w:color="auto" w:fill="auto"/>
                  <w:vAlign w:val="center"/>
                </w:tcPr>
                <w:p w14:paraId="78AD403A">
                  <w:pPr>
                    <w:pStyle w:val="5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eastAsia" w:cs="Times New Roman"/>
                      <w:b/>
                      <w:bCs/>
                      <w:color w:val="auto"/>
                      <w:kern w:val="0"/>
                      <w:sz w:val="18"/>
                      <w:szCs w:val="18"/>
                      <w:lang w:eastAsia="zh-CN"/>
                    </w:rPr>
                    <w:t>拟建</w:t>
                  </w:r>
                  <w:r>
                    <w:rPr>
                      <w:rFonts w:hint="default" w:ascii="Times New Roman" w:hAnsi="Times New Roman" w:eastAsia="宋体" w:cs="Times New Roman"/>
                      <w:b/>
                      <w:bCs/>
                      <w:color w:val="auto"/>
                      <w:kern w:val="0"/>
                      <w:sz w:val="18"/>
                      <w:szCs w:val="18"/>
                      <w:lang w:eastAsia="zh-CN"/>
                    </w:rPr>
                    <w:t>项目</w:t>
                  </w:r>
                  <w:r>
                    <w:rPr>
                      <w:rFonts w:hint="default" w:ascii="Times New Roman" w:hAnsi="Times New Roman" w:eastAsia="宋体" w:cs="Times New Roman"/>
                      <w:b/>
                      <w:bCs/>
                      <w:color w:val="auto"/>
                      <w:sz w:val="18"/>
                      <w:szCs w:val="18"/>
                    </w:rPr>
                    <w:t>情况</w:t>
                  </w:r>
                </w:p>
              </w:tc>
              <w:tc>
                <w:tcPr>
                  <w:tcW w:w="537" w:type="pct"/>
                  <w:tcBorders>
                    <w:tl2br w:val="nil"/>
                    <w:tr2bl w:val="nil"/>
                  </w:tcBorders>
                  <w:shd w:val="clear" w:color="auto" w:fill="auto"/>
                  <w:vAlign w:val="center"/>
                </w:tcPr>
                <w:p w14:paraId="59C4A5E0">
                  <w:pPr>
                    <w:pStyle w:val="5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相符性分析</w:t>
                  </w:r>
                </w:p>
              </w:tc>
            </w:tr>
            <w:tr w14:paraId="6B03315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96" w:type="pct"/>
                  <w:tcBorders>
                    <w:tl2br w:val="nil"/>
                    <w:tr2bl w:val="nil"/>
                  </w:tcBorders>
                  <w:shd w:val="clear" w:color="auto" w:fill="auto"/>
                  <w:vAlign w:val="center"/>
                </w:tcPr>
                <w:p w14:paraId="54F7E65F">
                  <w:pPr>
                    <w:pStyle w:val="5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空间布局约束性</w:t>
                  </w:r>
                </w:p>
              </w:tc>
              <w:tc>
                <w:tcPr>
                  <w:tcW w:w="2989" w:type="pct"/>
                  <w:tcBorders>
                    <w:tl2br w:val="nil"/>
                    <w:tr2bl w:val="nil"/>
                  </w:tcBorders>
                  <w:shd w:val="clear" w:color="auto" w:fill="auto"/>
                  <w:vAlign w:val="center"/>
                </w:tcPr>
                <w:p w14:paraId="6FBF4E55">
                  <w:pPr>
                    <w:pStyle w:val="5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1.严格执行《中共淮安市委 淮安市人民政府关于全面加强生态环境保护坚决打好污染防治攻坚战的实施意见》（淮发〔2018〕33号）、《淮安市打赢蓝天保卫战三年行动计划实施方案》（淮政发〔2018〕113号）、《淮安市“两减六治三提升”专项行动方案》（淮发〔2017〕26号）、《淮安市土壤污染防治工作方案》（淮政发〔2017〕86号）、《淮安市水污染防治工作方案》（淮政发〔2016〕95号）等文件要求。</w:t>
                  </w:r>
                </w:p>
                <w:p w14:paraId="4A6147DE">
                  <w:pPr>
                    <w:pStyle w:val="5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2.严格执行《中共淮安市委 淮安市人民政府关于优化全市空间功能定位和产业布局的意见》（淮发〔2016〕37号）、《淮安市产业结构调整指导目录（2018-2020年版）》（淮政办发〔2018〕6号）等文件要求，重点鼓励休闲农业、电子信息、高端装备制造、新能源汽车及零部件、金融、旅游、健康养生等资源节约型、环境友好型产业。对钢铁、电解铝、水泥、平板玻璃、船舶等产能严重过剩行业，以及酒精、造纸、皮革、农药、橡胶、水泥、金属冶炼等高耗能、高污染、技术落后的产业进行限制和禁止。同时，对属于限制类的现有生产能力，允许企业开展技术改造，推动产业转型升级。</w:t>
                  </w:r>
                </w:p>
                <w:p w14:paraId="43054074">
                  <w:pPr>
                    <w:pStyle w:val="5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3.根据《淮安市“两减六治三提升”专项行动方案》（淮发〔2017〕26号），推动化工企业入园进区，禁止园区外（除重点监测点化工企业外）一切新建、扩建化工项目。一律不批化工园区内环境基础设施不完善或长期不能稳定运行企业的新改扩建化工项目。新建（含搬迁）化工项目必须进入已经依法完成规划环评审查的化工园区。园区外化工企业（除重点监测点化工企业外）只允许在原有生产产品种类不变、产能规模不变、排放总量不增加的前提下，进行安全隐患改造和节能环保设施改造。禁止限制类项目产能（搬迁改造升级项目除外）入园进区。</w:t>
                  </w:r>
                </w:p>
                <w:p w14:paraId="2DC59A85">
                  <w:pPr>
                    <w:pStyle w:val="5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4.根据《中共淮安市委 淮安市人民政府关于全面加强生态环境保护坚决打好污染防治攻坚战的实施意见》（淮发〔2018〕33号），从严控制京杭大运河（南水北调东线）沿岸两侧危化品码头新建项目的审批。严禁在京杭运河沿线1公里范围内新建布局化工园区和化工企业。</w:t>
                  </w:r>
                </w:p>
                <w:p w14:paraId="60AFC29D">
                  <w:pPr>
                    <w:pStyle w:val="5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5.根据《省政府关于加强全省化工园区化工集中区规范化管理的通知》（苏政发〔2020〕94号），淮安市具备化工定位的化工集中区为江苏淮安工业园区，化工集中区内已建成的企业要通过改进工艺、更新装备、加大信息化智能化改造等措施提升本质安全水平。取消化工定位的园区（集中区）要大幅压减化工生产企业数量，不得新增化工生产企业、新建扩建化工生产项目，现有化工生产企业符合条件的可以定位为化工重点监测点，重点监测点在不新增供地和污染物排放总量的情况下可以实施产业政策鼓励类、允许类的技术改造项目。</w:t>
                  </w:r>
                </w:p>
              </w:tc>
              <w:tc>
                <w:tcPr>
                  <w:tcW w:w="977" w:type="pct"/>
                  <w:tcBorders>
                    <w:tl2br w:val="nil"/>
                    <w:tr2bl w:val="nil"/>
                  </w:tcBorders>
                  <w:shd w:val="clear" w:color="auto" w:fill="auto"/>
                  <w:vAlign w:val="center"/>
                </w:tcPr>
                <w:p w14:paraId="03FE8C62">
                  <w:pPr>
                    <w:pStyle w:val="5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eastAsia" w:cs="Times New Roman"/>
                      <w:color w:val="auto"/>
                      <w:sz w:val="18"/>
                      <w:szCs w:val="18"/>
                      <w:lang w:val="en-US" w:eastAsia="zh-CN"/>
                    </w:rPr>
                    <w:t>拟建</w:t>
                  </w:r>
                  <w:r>
                    <w:rPr>
                      <w:rFonts w:hint="default" w:ascii="Times New Roman" w:hAnsi="Times New Roman" w:eastAsia="宋体" w:cs="Times New Roman"/>
                      <w:color w:val="auto"/>
                      <w:sz w:val="18"/>
                      <w:szCs w:val="18"/>
                      <w:lang w:val="en-US" w:eastAsia="zh-CN"/>
                    </w:rPr>
                    <w:t>项目</w:t>
                  </w:r>
                  <w:r>
                    <w:rPr>
                      <w:rFonts w:hint="eastAsia" w:cs="Times New Roman"/>
                      <w:color w:val="auto"/>
                      <w:sz w:val="18"/>
                      <w:szCs w:val="18"/>
                      <w:lang w:eastAsia="zh-CN"/>
                    </w:rPr>
                    <w:t>属于耐火材料制造</w:t>
                  </w:r>
                  <w:r>
                    <w:rPr>
                      <w:rFonts w:hint="default" w:ascii="Times New Roman" w:hAnsi="Times New Roman" w:eastAsia="宋体" w:cs="Times New Roman"/>
                      <w:color w:val="auto"/>
                      <w:sz w:val="18"/>
                      <w:szCs w:val="18"/>
                      <w:lang w:val="en-US" w:eastAsia="zh-CN"/>
                    </w:rPr>
                    <w:t>项目</w:t>
                  </w:r>
                  <w:r>
                    <w:rPr>
                      <w:rFonts w:hint="default" w:ascii="Times New Roman" w:hAnsi="Times New Roman" w:eastAsia="宋体" w:cs="Times New Roman"/>
                      <w:color w:val="auto"/>
                      <w:sz w:val="18"/>
                      <w:szCs w:val="18"/>
                    </w:rPr>
                    <w:t>，位于</w:t>
                  </w:r>
                  <w:r>
                    <w:rPr>
                      <w:rFonts w:hint="default" w:ascii="Times New Roman" w:hAnsi="Times New Roman" w:eastAsia="宋体" w:cs="Times New Roman"/>
                      <w:color w:val="auto"/>
                      <w:sz w:val="18"/>
                      <w:szCs w:val="18"/>
                      <w:lang w:val="en-US" w:eastAsia="zh-CN"/>
                    </w:rPr>
                    <w:t>新渡工业集中区(淮安高新技术产业开发区西区)</w:t>
                  </w:r>
                  <w:r>
                    <w:rPr>
                      <w:rFonts w:hint="default" w:ascii="Times New Roman" w:hAnsi="Times New Roman" w:eastAsia="宋体" w:cs="Times New Roman"/>
                      <w:color w:val="auto"/>
                      <w:sz w:val="18"/>
                      <w:szCs w:val="18"/>
                    </w:rPr>
                    <w:t>工业用地范围内，满足空间布局管控要求。</w:t>
                  </w:r>
                </w:p>
              </w:tc>
              <w:tc>
                <w:tcPr>
                  <w:tcW w:w="537" w:type="pct"/>
                  <w:tcBorders>
                    <w:tl2br w:val="nil"/>
                    <w:tr2bl w:val="nil"/>
                  </w:tcBorders>
                  <w:shd w:val="clear" w:color="auto" w:fill="auto"/>
                  <w:vAlign w:val="center"/>
                </w:tcPr>
                <w:p w14:paraId="69417B23">
                  <w:pPr>
                    <w:pStyle w:val="5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符合</w:t>
                  </w:r>
                </w:p>
              </w:tc>
            </w:tr>
            <w:tr w14:paraId="32A7767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96" w:type="pct"/>
                  <w:tcBorders>
                    <w:tl2br w:val="nil"/>
                    <w:tr2bl w:val="nil"/>
                  </w:tcBorders>
                  <w:shd w:val="clear" w:color="auto" w:fill="auto"/>
                  <w:vAlign w:val="center"/>
                </w:tcPr>
                <w:p w14:paraId="785DC6AA">
                  <w:pPr>
                    <w:pStyle w:val="5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污染物排放管控</w:t>
                  </w:r>
                </w:p>
              </w:tc>
              <w:tc>
                <w:tcPr>
                  <w:tcW w:w="2989" w:type="pct"/>
                  <w:tcBorders>
                    <w:tl2br w:val="nil"/>
                    <w:tr2bl w:val="nil"/>
                  </w:tcBorders>
                  <w:shd w:val="clear" w:color="auto" w:fill="auto"/>
                  <w:vAlign w:val="center"/>
                </w:tcPr>
                <w:p w14:paraId="368610D4">
                  <w:pPr>
                    <w:pStyle w:val="5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1.允许排放量要求：根据《淮安市“十三五”节能减排综合实施方案》（淮政发〔2017〕119号），到2020年，淮安市化学需氧量、氨氮、总氮、总磷、二氧化硫、氮氧化物、VOCs排放量不得超过5.91万吨/年、0.77万吨/年、1.50万吨/年、0.155万吨/年、3.57万吨/年、4.72万吨/年、7.92万吨/年。</w:t>
                  </w:r>
                </w:p>
                <w:p w14:paraId="1E87ADBF">
                  <w:pPr>
                    <w:pStyle w:val="5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2.新增源排放标准限制：根据《淮安市打赢蓝天保卫战三年行动计划实施方案》（淮政发〔2018〕113号），全市范围内二氧化硫、氮氧化物、颗粒物、VOCs全面执行大气污染物特别排放限值。</w:t>
                  </w:r>
                </w:p>
              </w:tc>
              <w:tc>
                <w:tcPr>
                  <w:tcW w:w="977" w:type="pct"/>
                  <w:tcBorders>
                    <w:tl2br w:val="nil"/>
                    <w:tr2bl w:val="nil"/>
                  </w:tcBorders>
                  <w:shd w:val="clear" w:color="auto" w:fill="auto"/>
                  <w:vAlign w:val="center"/>
                </w:tcPr>
                <w:p w14:paraId="48123BB6">
                  <w:pPr>
                    <w:pStyle w:val="5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eastAsia="zh-CN"/>
                    </w:rPr>
                  </w:pPr>
                  <w:r>
                    <w:rPr>
                      <w:rFonts w:hint="eastAsia" w:cs="Times New Roman"/>
                      <w:color w:val="auto"/>
                      <w:sz w:val="18"/>
                      <w:szCs w:val="18"/>
                      <w:lang w:eastAsia="zh-CN"/>
                    </w:rPr>
                    <w:t>拟建</w:t>
                  </w:r>
                  <w:r>
                    <w:rPr>
                      <w:rFonts w:hint="default" w:ascii="Times New Roman" w:hAnsi="Times New Roman" w:eastAsia="宋体" w:cs="Times New Roman"/>
                      <w:color w:val="auto"/>
                      <w:sz w:val="18"/>
                      <w:szCs w:val="18"/>
                    </w:rPr>
                    <w:t>项目</w:t>
                  </w:r>
                  <w:r>
                    <w:rPr>
                      <w:rFonts w:hint="default" w:ascii="Times New Roman" w:hAnsi="Times New Roman" w:eastAsia="宋体" w:cs="Times New Roman"/>
                      <w:color w:val="auto"/>
                      <w:sz w:val="18"/>
                      <w:szCs w:val="18"/>
                      <w:lang w:eastAsia="zh-CN"/>
                    </w:rPr>
                    <w:t>新增</w:t>
                  </w:r>
                  <w:r>
                    <w:rPr>
                      <w:rFonts w:hint="default" w:ascii="Times New Roman" w:hAnsi="Times New Roman" w:eastAsia="宋体" w:cs="Times New Roman"/>
                      <w:color w:val="auto"/>
                      <w:sz w:val="18"/>
                      <w:szCs w:val="18"/>
                    </w:rPr>
                    <w:t>颗</w:t>
                  </w:r>
                  <w:r>
                    <w:rPr>
                      <w:rFonts w:hint="default" w:ascii="Times New Roman" w:hAnsi="Times New Roman" w:eastAsia="宋体" w:cs="Times New Roman"/>
                      <w:color w:val="auto"/>
                      <w:kern w:val="0"/>
                      <w:sz w:val="18"/>
                      <w:szCs w:val="18"/>
                      <w:lang w:bidi="ar"/>
                    </w:rPr>
                    <w:t>粒物</w:t>
                  </w:r>
                  <w:r>
                    <w:rPr>
                      <w:rFonts w:hint="default" w:ascii="Times New Roman" w:hAnsi="Times New Roman" w:eastAsia="宋体" w:cs="Times New Roman"/>
                      <w:color w:val="auto"/>
                      <w:kern w:val="0"/>
                      <w:sz w:val="18"/>
                      <w:szCs w:val="18"/>
                      <w:lang w:eastAsia="zh-CN" w:bidi="ar"/>
                    </w:rPr>
                    <w:t>排放</w:t>
                  </w:r>
                  <w:r>
                    <w:rPr>
                      <w:rFonts w:hint="default" w:ascii="Times New Roman" w:hAnsi="Times New Roman" w:eastAsia="宋体" w:cs="Times New Roman"/>
                      <w:color w:val="auto"/>
                      <w:kern w:val="0"/>
                      <w:sz w:val="18"/>
                      <w:szCs w:val="18"/>
                      <w:lang w:val="en-US" w:eastAsia="zh-CN" w:bidi="ar"/>
                    </w:rPr>
                    <w:t>0.</w:t>
                  </w:r>
                  <w:r>
                    <w:rPr>
                      <w:rFonts w:hint="eastAsia" w:cs="Times New Roman"/>
                      <w:color w:val="auto"/>
                      <w:kern w:val="0"/>
                      <w:sz w:val="18"/>
                      <w:szCs w:val="18"/>
                      <w:lang w:val="en-US" w:eastAsia="zh-CN" w:bidi="ar"/>
                    </w:rPr>
                    <w:t>08</w:t>
                  </w:r>
                  <w:r>
                    <w:rPr>
                      <w:rFonts w:hint="default" w:ascii="Times New Roman" w:hAnsi="Times New Roman" w:eastAsia="宋体" w:cs="Times New Roman"/>
                      <w:color w:val="auto"/>
                      <w:kern w:val="0"/>
                      <w:sz w:val="18"/>
                      <w:szCs w:val="18"/>
                      <w:lang w:bidi="ar"/>
                    </w:rPr>
                    <w:t>t/a</w:t>
                  </w:r>
                  <w:r>
                    <w:rPr>
                      <w:rFonts w:hint="default" w:ascii="Times New Roman" w:hAnsi="Times New Roman" w:eastAsia="宋体" w:cs="Times New Roman"/>
                      <w:color w:val="auto"/>
                      <w:kern w:val="0"/>
                      <w:sz w:val="18"/>
                      <w:szCs w:val="18"/>
                      <w:lang w:eastAsia="zh-CN" w:bidi="ar"/>
                    </w:rPr>
                    <w:t>，未突破区域污染物总量管控的要求，项目废气污染物颗粒物</w:t>
                  </w:r>
                  <w:r>
                    <w:rPr>
                      <w:rFonts w:hint="default" w:ascii="Times New Roman" w:hAnsi="Times New Roman" w:eastAsia="宋体" w:cs="Times New Roman"/>
                      <w:color w:val="auto"/>
                      <w:kern w:val="0"/>
                      <w:sz w:val="18"/>
                      <w:szCs w:val="18"/>
                      <w:lang w:bidi="ar"/>
                    </w:rPr>
                    <w:t>在淮安市区域范围内</w:t>
                  </w:r>
                  <w:r>
                    <w:rPr>
                      <w:rFonts w:hint="default" w:ascii="Times New Roman" w:hAnsi="Times New Roman" w:eastAsia="宋体" w:cs="Times New Roman"/>
                      <w:color w:val="auto"/>
                      <w:kern w:val="0"/>
                      <w:sz w:val="18"/>
                      <w:szCs w:val="18"/>
                      <w:lang w:eastAsia="zh-CN" w:bidi="ar"/>
                    </w:rPr>
                    <w:t>平衡或</w:t>
                  </w:r>
                  <w:r>
                    <w:rPr>
                      <w:rFonts w:hint="default" w:ascii="Times New Roman" w:hAnsi="Times New Roman" w:eastAsia="宋体" w:cs="Times New Roman"/>
                      <w:color w:val="auto"/>
                      <w:kern w:val="0"/>
                      <w:sz w:val="18"/>
                      <w:szCs w:val="18"/>
                      <w:lang w:val="en-US" w:eastAsia="zh-CN" w:bidi="ar"/>
                    </w:rPr>
                    <w:t>在总量储备库</w:t>
                  </w:r>
                  <w:r>
                    <w:rPr>
                      <w:rFonts w:hint="default" w:ascii="Times New Roman" w:hAnsi="Times New Roman" w:eastAsia="宋体" w:cs="Times New Roman"/>
                      <w:color w:val="auto"/>
                      <w:kern w:val="0"/>
                      <w:sz w:val="18"/>
                      <w:szCs w:val="18"/>
                      <w:lang w:eastAsia="zh-CN" w:bidi="ar"/>
                    </w:rPr>
                    <w:t>中替代平衡。</w:t>
                  </w:r>
                </w:p>
              </w:tc>
              <w:tc>
                <w:tcPr>
                  <w:tcW w:w="537" w:type="pct"/>
                  <w:tcBorders>
                    <w:tl2br w:val="nil"/>
                    <w:tr2bl w:val="nil"/>
                  </w:tcBorders>
                  <w:shd w:val="clear" w:color="auto" w:fill="auto"/>
                  <w:vAlign w:val="center"/>
                </w:tcPr>
                <w:p w14:paraId="7A7CBC96">
                  <w:pPr>
                    <w:pStyle w:val="5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符合</w:t>
                  </w:r>
                </w:p>
              </w:tc>
            </w:tr>
            <w:tr w14:paraId="511CDD3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96" w:type="pct"/>
                  <w:tcBorders>
                    <w:tl2br w:val="nil"/>
                    <w:tr2bl w:val="nil"/>
                  </w:tcBorders>
                  <w:shd w:val="clear" w:color="auto" w:fill="auto"/>
                  <w:vAlign w:val="center"/>
                </w:tcPr>
                <w:p w14:paraId="608D30E6">
                  <w:pPr>
                    <w:pStyle w:val="5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环境风险防控</w:t>
                  </w:r>
                </w:p>
              </w:tc>
              <w:tc>
                <w:tcPr>
                  <w:tcW w:w="2989" w:type="pct"/>
                  <w:tcBorders>
                    <w:tl2br w:val="nil"/>
                    <w:tr2bl w:val="nil"/>
                  </w:tcBorders>
                  <w:shd w:val="clear" w:color="auto" w:fill="auto"/>
                  <w:vAlign w:val="center"/>
                </w:tcPr>
                <w:p w14:paraId="70684E05">
                  <w:pPr>
                    <w:pStyle w:val="5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1.严格执行《淮安市突发环境事件应急预案》（淮政办发〔2017〕93号）、《淮安市集中式饮用水源突发污染事件应急预案》（淮政办发〔2010〕173号）、《淮安市核与辐射突发环境事件应急预案》《淮安市重污染天气应急预案》（淮政办发〔2016〕159号）等文件要求，建立区域监测预警系统，建立省市县上下联动、区域之间左右联动等联动应急响应体系，实行联防联控。</w:t>
                  </w:r>
                </w:p>
                <w:p w14:paraId="6F5DDFB8">
                  <w:pPr>
                    <w:pStyle w:val="5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2.根据《淮安市“两减六治三提升”专项行动方案》（淮发〔2017〕26号），加强县以上城市应急备用水源建设和管理，强化应急体系建设，建立饮用水源地实时监测监控系统，落实水源地日常巡查制度。</w:t>
                  </w:r>
                </w:p>
                <w:p w14:paraId="2EEDFA76">
                  <w:pPr>
                    <w:pStyle w:val="5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3.根据《中共淮安市委 淮安市人民政府关于全面加强生态环境保护坚决打好污染防治攻坚战的实施意见》（淮发〔2018〕33号），严格控制环境风险项目，整合和提升现有工业集聚区，加快城市建成区内石化、化工、水泥、钢铁等重污染企业和危险化学品企业搬迁改造。深化跨部门、跨县区环境应急协调联动，建立环境应急预案电子备案系统。分区域建立环境应急物资储备库，市、县（区）两级政府建立应急物资储备库，各级工业园区和企业环境应急装备和储备物资应纳入储备体系。完善市、县、乡三级突发环境事件应急响应体系，定期组织演练，提高应急处置能力。</w:t>
                  </w:r>
                </w:p>
              </w:tc>
              <w:tc>
                <w:tcPr>
                  <w:tcW w:w="977" w:type="pct"/>
                  <w:tcBorders>
                    <w:tl2br w:val="nil"/>
                    <w:tr2bl w:val="nil"/>
                  </w:tcBorders>
                  <w:shd w:val="clear" w:color="auto" w:fill="auto"/>
                  <w:vAlign w:val="center"/>
                </w:tcPr>
                <w:p w14:paraId="3F4CE3E4">
                  <w:pPr>
                    <w:pStyle w:val="5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eastAsia" w:cs="Times New Roman"/>
                      <w:color w:val="auto"/>
                      <w:sz w:val="18"/>
                      <w:szCs w:val="18"/>
                      <w:lang w:val="en-US" w:eastAsia="zh-CN"/>
                    </w:rPr>
                    <w:t>拟建</w:t>
                  </w:r>
                  <w:r>
                    <w:rPr>
                      <w:rFonts w:hint="default" w:ascii="Times New Roman" w:hAnsi="Times New Roman" w:eastAsia="宋体" w:cs="Times New Roman"/>
                      <w:color w:val="auto"/>
                      <w:sz w:val="18"/>
                      <w:szCs w:val="18"/>
                      <w:lang w:val="en-US" w:eastAsia="zh-CN"/>
                    </w:rPr>
                    <w:t>项目建成后</w:t>
                  </w:r>
                  <w:r>
                    <w:rPr>
                      <w:rFonts w:hint="default" w:ascii="Times New Roman" w:hAnsi="Times New Roman" w:eastAsia="宋体" w:cs="Times New Roman"/>
                      <w:color w:val="auto"/>
                      <w:sz w:val="18"/>
                      <w:szCs w:val="18"/>
                    </w:rPr>
                    <w:t>将</w:t>
                  </w:r>
                  <w:r>
                    <w:rPr>
                      <w:rFonts w:hint="default" w:ascii="Times New Roman" w:hAnsi="Times New Roman" w:eastAsia="宋体" w:cs="Times New Roman"/>
                      <w:color w:val="auto"/>
                      <w:sz w:val="18"/>
                      <w:szCs w:val="18"/>
                      <w:lang w:eastAsia="zh-CN"/>
                    </w:rPr>
                    <w:t>按照管理要求配备相应应急物质，落实风险防范措施</w:t>
                  </w:r>
                  <w:r>
                    <w:rPr>
                      <w:rFonts w:hint="default" w:ascii="Times New Roman" w:hAnsi="Times New Roman" w:eastAsia="宋体" w:cs="Times New Roman"/>
                      <w:color w:val="auto"/>
                      <w:sz w:val="18"/>
                      <w:szCs w:val="18"/>
                    </w:rPr>
                    <w:t>。</w:t>
                  </w:r>
                </w:p>
              </w:tc>
              <w:tc>
                <w:tcPr>
                  <w:tcW w:w="537" w:type="pct"/>
                  <w:tcBorders>
                    <w:tl2br w:val="nil"/>
                    <w:tr2bl w:val="nil"/>
                  </w:tcBorders>
                  <w:shd w:val="clear" w:color="auto" w:fill="auto"/>
                  <w:vAlign w:val="center"/>
                </w:tcPr>
                <w:p w14:paraId="274831EE">
                  <w:pPr>
                    <w:pStyle w:val="5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符合</w:t>
                  </w:r>
                </w:p>
              </w:tc>
            </w:tr>
            <w:tr w14:paraId="24D0D89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96" w:type="pct"/>
                  <w:tcBorders>
                    <w:tl2br w:val="nil"/>
                    <w:tr2bl w:val="nil"/>
                  </w:tcBorders>
                  <w:shd w:val="clear" w:color="auto" w:fill="auto"/>
                  <w:vAlign w:val="center"/>
                </w:tcPr>
                <w:p w14:paraId="22725C54">
                  <w:pPr>
                    <w:pStyle w:val="5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资源利用效率要求</w:t>
                  </w:r>
                </w:p>
              </w:tc>
              <w:tc>
                <w:tcPr>
                  <w:tcW w:w="2989" w:type="pct"/>
                  <w:tcBorders>
                    <w:tl2br w:val="nil"/>
                    <w:tr2bl w:val="nil"/>
                  </w:tcBorders>
                  <w:shd w:val="clear" w:color="auto" w:fill="auto"/>
                  <w:vAlign w:val="center"/>
                </w:tcPr>
                <w:p w14:paraId="45DEC25A">
                  <w:pPr>
                    <w:pStyle w:val="5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1.水资源利用总量及效率要求：根据《省最严格水资源管理考核联席会议关于下达2020年和2030年全省实行最严格水资源管理制度控制指标的通知》（苏水资联〔2016〕5号），到2020年，淮安市用水总量不得超过33.33亿立方米，万元地区生产总值用水量降至79立方米以下，万元工业增加值用水量降至10.3立方米以下，农田灌溉水有效利用系数达到0.610以上。</w:t>
                  </w:r>
                </w:p>
                <w:p w14:paraId="7577009C">
                  <w:pPr>
                    <w:pStyle w:val="5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2.地下水开采要求：根据《淮安市“两减六治三提升”专项行动方案》（淮发〔2017〕26号），到2020年，淮安市地下水超采区全面达到用水总量控制和水位红线控制要求，累计压缩地下水开采量3952.3万立方米。</w:t>
                  </w:r>
                </w:p>
                <w:p w14:paraId="5B25A54E">
                  <w:pPr>
                    <w:pStyle w:val="5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3.土地资源利用总量及效率要求：根据《淮安市土地利用总体规划（2006-2020年）调整方案》，到2020年，淮安市耕地保有量不得低于47.6027万公顷，永久基本农田保护面积不低于39.4699万公顷，开发强度不得高于18%。</w:t>
                  </w:r>
                </w:p>
                <w:p w14:paraId="1132B539">
                  <w:pPr>
                    <w:pStyle w:val="5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4.能源利用总量及效率要求：根据《淮安市“两减六治三提升”专项行动方案》（淮发〔2017〕26号），到2020年，淮安市煤炭消费总量比2016年减少55万吨，电子行业煤炭消费占煤炭消费总量的比重提高到65%以上，非化石能源占一次能源比重达到10%。</w:t>
                  </w:r>
                </w:p>
                <w:p w14:paraId="6EC1507A">
                  <w:pPr>
                    <w:pStyle w:val="5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5.禁燃区要求：根据《江苏省大气污染防治条例》，禁燃区禁止新建、扩建燃用高污染燃料的项目和设施，已建成的应逐步或依法限期改用天然气、电或者其他清洁能源。</w:t>
                  </w:r>
                </w:p>
                <w:p w14:paraId="661D3D9F">
                  <w:pPr>
                    <w:pStyle w:val="5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6.能耗要求：根据《淮安市打赢蓝天保卫战三年行动计划实施方案》（淮政发〔2018〕113号），新建高耗能项目单位产品（产值）能耗要达到国际先进水平。</w:t>
                  </w:r>
                </w:p>
              </w:tc>
              <w:tc>
                <w:tcPr>
                  <w:tcW w:w="977" w:type="pct"/>
                  <w:tcBorders>
                    <w:tl2br w:val="nil"/>
                    <w:tr2bl w:val="nil"/>
                  </w:tcBorders>
                  <w:shd w:val="clear" w:color="auto" w:fill="auto"/>
                  <w:vAlign w:val="center"/>
                </w:tcPr>
                <w:p w14:paraId="56D8029F">
                  <w:pPr>
                    <w:pStyle w:val="5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1、项目不使用地下水。</w:t>
                  </w:r>
                </w:p>
                <w:p w14:paraId="573C1D17">
                  <w:pPr>
                    <w:pStyle w:val="5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2、本项目</w:t>
                  </w:r>
                  <w:r>
                    <w:rPr>
                      <w:rFonts w:hint="default" w:ascii="Times New Roman" w:hAnsi="Times New Roman" w:eastAsia="宋体" w:cs="Times New Roman"/>
                      <w:color w:val="auto"/>
                      <w:sz w:val="18"/>
                      <w:szCs w:val="18"/>
                      <w:lang w:eastAsia="zh-CN"/>
                    </w:rPr>
                    <w:t>用</w:t>
                  </w:r>
                  <w:r>
                    <w:rPr>
                      <w:rFonts w:hint="default" w:ascii="Times New Roman" w:hAnsi="Times New Roman" w:eastAsia="宋体" w:cs="Times New Roman"/>
                      <w:color w:val="auto"/>
                      <w:sz w:val="18"/>
                      <w:szCs w:val="18"/>
                    </w:rPr>
                    <w:t>地为工业用地，不占用耕地。</w:t>
                  </w:r>
                </w:p>
                <w:p w14:paraId="36BD98CC">
                  <w:pPr>
                    <w:pStyle w:val="5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3、</w:t>
                  </w:r>
                  <w:r>
                    <w:rPr>
                      <w:rFonts w:hint="default" w:ascii="Times New Roman" w:hAnsi="Times New Roman" w:eastAsia="宋体" w:cs="Times New Roman"/>
                      <w:color w:val="auto"/>
                      <w:sz w:val="18"/>
                      <w:szCs w:val="18"/>
                      <w:lang w:eastAsia="zh-CN"/>
                    </w:rPr>
                    <w:t>项目</w:t>
                  </w:r>
                  <w:r>
                    <w:rPr>
                      <w:rFonts w:hint="default" w:ascii="Times New Roman" w:hAnsi="Times New Roman" w:eastAsia="宋体" w:cs="Times New Roman"/>
                      <w:color w:val="auto"/>
                      <w:sz w:val="18"/>
                      <w:szCs w:val="18"/>
                    </w:rPr>
                    <w:t>使用</w:t>
                  </w:r>
                  <w:r>
                    <w:rPr>
                      <w:rFonts w:hint="eastAsia" w:ascii="Times New Roman" w:hAnsi="Times New Roman" w:eastAsia="宋体" w:cs="Times New Roman"/>
                      <w:color w:val="auto"/>
                      <w:sz w:val="18"/>
                      <w:szCs w:val="18"/>
                      <w:lang w:eastAsia="zh-CN"/>
                    </w:rPr>
                    <w:t>的</w:t>
                  </w:r>
                  <w:r>
                    <w:rPr>
                      <w:rFonts w:hint="default" w:ascii="Times New Roman" w:hAnsi="Times New Roman" w:eastAsia="宋体" w:cs="Times New Roman"/>
                      <w:color w:val="auto"/>
                      <w:sz w:val="18"/>
                      <w:szCs w:val="18"/>
                    </w:rPr>
                    <w:t>电能</w:t>
                  </w:r>
                  <w:r>
                    <w:rPr>
                      <w:rFonts w:hint="default" w:ascii="Times New Roman" w:hAnsi="Times New Roman" w:eastAsia="宋体" w:cs="Times New Roman"/>
                      <w:color w:val="auto"/>
                      <w:sz w:val="18"/>
                      <w:szCs w:val="18"/>
                      <w:lang w:eastAsia="zh-CN"/>
                    </w:rPr>
                    <w:t>、新鲜水</w:t>
                  </w:r>
                  <w:r>
                    <w:rPr>
                      <w:rFonts w:hint="eastAsia" w:ascii="Times New Roman" w:hAnsi="Times New Roman" w:eastAsia="宋体" w:cs="Times New Roman"/>
                      <w:color w:val="auto"/>
                      <w:sz w:val="18"/>
                      <w:szCs w:val="18"/>
                      <w:lang w:eastAsia="zh-CN"/>
                    </w:rPr>
                    <w:t>属于</w:t>
                  </w:r>
                  <w:r>
                    <w:rPr>
                      <w:rFonts w:hint="default" w:ascii="Times New Roman" w:hAnsi="Times New Roman" w:eastAsia="宋体" w:cs="Times New Roman"/>
                      <w:color w:val="auto"/>
                      <w:sz w:val="18"/>
                      <w:szCs w:val="18"/>
                    </w:rPr>
                    <w:t>清洁</w:t>
                  </w:r>
                  <w:r>
                    <w:rPr>
                      <w:rFonts w:hint="eastAsia" w:ascii="Times New Roman" w:hAnsi="Times New Roman" w:eastAsia="宋体" w:cs="Times New Roman"/>
                      <w:color w:val="auto"/>
                      <w:sz w:val="18"/>
                      <w:szCs w:val="18"/>
                      <w:lang w:eastAsia="zh-CN"/>
                    </w:rPr>
                    <w:t>资源</w:t>
                  </w:r>
                  <w:r>
                    <w:rPr>
                      <w:rFonts w:hint="default" w:ascii="Times New Roman" w:hAnsi="Times New Roman" w:eastAsia="宋体" w:cs="Times New Roman"/>
                      <w:color w:val="auto"/>
                      <w:sz w:val="18"/>
                      <w:szCs w:val="18"/>
                    </w:rPr>
                    <w:t>能源，满足资源利用效率要求。</w:t>
                  </w:r>
                </w:p>
              </w:tc>
              <w:tc>
                <w:tcPr>
                  <w:tcW w:w="537" w:type="pct"/>
                  <w:tcBorders>
                    <w:tl2br w:val="nil"/>
                    <w:tr2bl w:val="nil"/>
                  </w:tcBorders>
                  <w:shd w:val="clear" w:color="auto" w:fill="auto"/>
                  <w:vAlign w:val="center"/>
                </w:tcPr>
                <w:p w14:paraId="65AA3A6D">
                  <w:pPr>
                    <w:pStyle w:val="5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符合</w:t>
                  </w:r>
                </w:p>
              </w:tc>
            </w:tr>
          </w:tbl>
          <w:p w14:paraId="7D741E03">
            <w:pPr>
              <w:pStyle w:val="51"/>
              <w:keepNext w:val="0"/>
              <w:keepLines w:val="0"/>
              <w:suppressLineNumbers w:val="0"/>
              <w:spacing w:before="0" w:beforeAutospacing="0" w:after="0" w:afterAutospacing="0" w:line="240" w:lineRule="auto"/>
              <w:ind w:right="0"/>
              <w:rPr>
                <w:rFonts w:hint="default" w:ascii="Times New Roman" w:hAnsi="Times New Roman" w:eastAsia="宋体" w:cs="Times New Roman"/>
                <w:b/>
                <w:bCs/>
                <w:color w:val="auto"/>
                <w:kern w:val="2"/>
                <w:sz w:val="24"/>
                <w:szCs w:val="24"/>
                <w:lang w:val="en-US" w:eastAsia="zh-CN" w:bidi="ar-SA"/>
              </w:rPr>
            </w:pPr>
            <w:r>
              <w:rPr>
                <w:rFonts w:hint="default" w:ascii="Times New Roman" w:hAnsi="Times New Roman" w:eastAsia="宋体" w:cs="Times New Roman"/>
                <w:b/>
                <w:bCs/>
                <w:color w:val="auto"/>
                <w:kern w:val="2"/>
                <w:sz w:val="24"/>
                <w:szCs w:val="24"/>
                <w:lang w:val="en-US" w:eastAsia="zh-CN" w:bidi="ar-SA"/>
              </w:rPr>
              <w:t>表1.1-5与《淮安市生态环境分区管控动态更新成果》（2023年版）相符性分析</w:t>
            </w:r>
          </w:p>
          <w:tbl>
            <w:tblPr>
              <w:tblStyle w:val="27"/>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28" w:type="dxa"/>
                <w:bottom w:w="0" w:type="dxa"/>
                <w:right w:w="28" w:type="dxa"/>
              </w:tblCellMar>
            </w:tblPr>
            <w:tblGrid>
              <w:gridCol w:w="615"/>
              <w:gridCol w:w="3655"/>
              <w:gridCol w:w="3232"/>
              <w:gridCol w:w="882"/>
            </w:tblGrid>
            <w:tr w14:paraId="2CC9F00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367" w:type="pct"/>
                  <w:tcBorders>
                    <w:top w:val="single" w:color="auto" w:sz="12" w:space="0"/>
                    <w:left w:val="nil"/>
                    <w:bottom w:val="single" w:color="auto" w:sz="4" w:space="0"/>
                    <w:right w:val="single" w:color="auto" w:sz="4" w:space="0"/>
                  </w:tcBorders>
                  <w:vAlign w:val="center"/>
                </w:tcPr>
                <w:p w14:paraId="6548E8F5">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类型</w:t>
                  </w:r>
                </w:p>
              </w:tc>
              <w:tc>
                <w:tcPr>
                  <w:tcW w:w="2179" w:type="pct"/>
                  <w:tcBorders>
                    <w:top w:val="single" w:color="auto" w:sz="12" w:space="0"/>
                    <w:left w:val="single" w:color="auto" w:sz="4" w:space="0"/>
                    <w:bottom w:val="single" w:color="auto" w:sz="4" w:space="0"/>
                    <w:right w:val="single" w:color="auto" w:sz="4" w:space="0"/>
                  </w:tcBorders>
                  <w:vAlign w:val="center"/>
                </w:tcPr>
                <w:p w14:paraId="6752E509">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重点管控要求</w:t>
                  </w:r>
                </w:p>
              </w:tc>
              <w:tc>
                <w:tcPr>
                  <w:tcW w:w="1927" w:type="pct"/>
                  <w:tcBorders>
                    <w:top w:val="single" w:color="auto" w:sz="12" w:space="0"/>
                    <w:left w:val="single" w:color="auto" w:sz="4" w:space="0"/>
                    <w:bottom w:val="single" w:color="auto" w:sz="4" w:space="0"/>
                    <w:right w:val="single" w:color="auto" w:sz="4" w:space="0"/>
                  </w:tcBorders>
                  <w:vAlign w:val="center"/>
                </w:tcPr>
                <w:p w14:paraId="41123656">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eastAsia" w:cs="Times New Roman"/>
                      <w:b/>
                      <w:bCs/>
                      <w:color w:val="auto"/>
                      <w:kern w:val="0"/>
                      <w:sz w:val="18"/>
                      <w:szCs w:val="18"/>
                      <w:lang w:eastAsia="zh-CN"/>
                    </w:rPr>
                    <w:t>拟建</w:t>
                  </w:r>
                  <w:r>
                    <w:rPr>
                      <w:rFonts w:hint="default" w:ascii="Times New Roman" w:hAnsi="Times New Roman" w:eastAsia="宋体" w:cs="Times New Roman"/>
                      <w:b/>
                      <w:bCs/>
                      <w:color w:val="auto"/>
                      <w:kern w:val="0"/>
                      <w:sz w:val="18"/>
                      <w:szCs w:val="18"/>
                      <w:lang w:eastAsia="zh-CN"/>
                    </w:rPr>
                    <w:t>项目</w:t>
                  </w:r>
                  <w:r>
                    <w:rPr>
                      <w:rFonts w:hint="default" w:ascii="Times New Roman" w:hAnsi="Times New Roman" w:eastAsia="宋体" w:cs="Times New Roman"/>
                      <w:b/>
                      <w:bCs/>
                      <w:color w:val="auto"/>
                      <w:sz w:val="18"/>
                      <w:szCs w:val="18"/>
                    </w:rPr>
                    <w:t>情况</w:t>
                  </w:r>
                </w:p>
              </w:tc>
              <w:tc>
                <w:tcPr>
                  <w:tcW w:w="526" w:type="pct"/>
                  <w:tcBorders>
                    <w:top w:val="single" w:color="auto" w:sz="12" w:space="0"/>
                    <w:left w:val="single" w:color="auto" w:sz="4" w:space="0"/>
                    <w:bottom w:val="single" w:color="auto" w:sz="4" w:space="0"/>
                    <w:right w:val="nil"/>
                  </w:tcBorders>
                  <w:vAlign w:val="center"/>
                </w:tcPr>
                <w:p w14:paraId="64296B16">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相符性分析</w:t>
                  </w:r>
                </w:p>
              </w:tc>
            </w:tr>
            <w:tr w14:paraId="0334155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161" w:hRule="atLeast"/>
                <w:jc w:val="center"/>
              </w:trPr>
              <w:tc>
                <w:tcPr>
                  <w:tcW w:w="367" w:type="pct"/>
                  <w:tcBorders>
                    <w:top w:val="single" w:color="auto" w:sz="4" w:space="0"/>
                    <w:left w:val="nil"/>
                    <w:bottom w:val="single" w:color="auto" w:sz="4" w:space="0"/>
                    <w:right w:val="single" w:color="auto" w:sz="4" w:space="0"/>
                  </w:tcBorders>
                  <w:vAlign w:val="center"/>
                </w:tcPr>
                <w:p w14:paraId="0A5A2D6D">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空间布局约束</w:t>
                  </w:r>
                </w:p>
              </w:tc>
              <w:tc>
                <w:tcPr>
                  <w:tcW w:w="2179" w:type="pct"/>
                  <w:tcBorders>
                    <w:top w:val="single" w:color="auto" w:sz="4" w:space="0"/>
                    <w:left w:val="single" w:color="auto" w:sz="4" w:space="0"/>
                    <w:bottom w:val="single" w:color="auto" w:sz="4" w:space="0"/>
                    <w:right w:val="single" w:color="auto" w:sz="4" w:space="0"/>
                  </w:tcBorders>
                  <w:vAlign w:val="center"/>
                </w:tcPr>
                <w:p w14:paraId="6A86A3CA">
                  <w:pPr>
                    <w:keepNext w:val="0"/>
                    <w:keepLines w:val="0"/>
                    <w:pageBreakBefore w:val="0"/>
                    <w:widowControl w:val="0"/>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lang w:val="en-US" w:eastAsia="zh-CN"/>
                    </w:rPr>
                    <w:t>1.</w:t>
                  </w:r>
                  <w:r>
                    <w:rPr>
                      <w:rFonts w:hint="default" w:ascii="Times New Roman" w:hAnsi="Times New Roman" w:eastAsia="宋体" w:cs="Times New Roman"/>
                      <w:color w:val="auto"/>
                      <w:sz w:val="18"/>
                      <w:szCs w:val="18"/>
                    </w:rPr>
                    <w:t>严格执行《中共江苏省委江苏省人民政府关于深入打好污染防治攻坚战的实施意见》(2022年1月24日)、《淮安市深入打好净土保卫战实施方案》(淮污防攻坚指办[2023]17 号) 、《淮安市生态碧水三年行动方案》(淮政发[2022]12 号)等文件要求。</w:t>
                  </w:r>
                </w:p>
                <w:p w14:paraId="5EB3030A">
                  <w:pPr>
                    <w:keepNext w:val="0"/>
                    <w:keepLines w:val="0"/>
                    <w:pageBreakBefore w:val="0"/>
                    <w:widowControl w:val="0"/>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2.严格执行《&lt;长江经济带发展负面清单指南(试行，2022年版)&gt;江苏省实施细则》(苏长江办发[2022]55号)中相关要求。</w:t>
                  </w:r>
                </w:p>
                <w:p w14:paraId="51FDD4E3">
                  <w:pPr>
                    <w:keepNext w:val="0"/>
                    <w:keepLines w:val="0"/>
                    <w:pageBreakBefore w:val="0"/>
                    <w:widowControl w:val="0"/>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3.严格执行《淮安市国土空间总体规划(2021-2035年)》中相关要求，坚持最严格的耕地保护制度、生态保护制度和节约用地制度，严格保护耕地资源，落实耕地和永久基本农田保护红线。严格保护湿地资源，强化湿地建设与管理，加快保护区建设与管理；加强其他土地开发的生态影响评价，严禁在生态脆弱和环境敏感地区进行土地开发。</w:t>
                  </w:r>
                </w:p>
                <w:p w14:paraId="139418DC">
                  <w:pPr>
                    <w:keepNext w:val="0"/>
                    <w:keepLines w:val="0"/>
                    <w:pageBreakBefore w:val="0"/>
                    <w:widowControl w:val="0"/>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4.根据《大运河淮安段核心监控区国土空间笞控细则》(淮政规[2022]8号)，核心监控区内，实行国土空间准入正负面清单管理制度，控制开发规模和强度，禁止不符合主体功能定位的各类开发活动。</w:t>
                  </w:r>
                </w:p>
              </w:tc>
              <w:tc>
                <w:tcPr>
                  <w:tcW w:w="1927" w:type="pct"/>
                  <w:tcBorders>
                    <w:top w:val="single" w:color="auto" w:sz="4" w:space="0"/>
                    <w:left w:val="single" w:color="auto" w:sz="4" w:space="0"/>
                    <w:bottom w:val="single" w:color="auto" w:sz="4" w:space="0"/>
                    <w:right w:val="single" w:color="auto" w:sz="4" w:space="0"/>
                  </w:tcBorders>
                  <w:vAlign w:val="center"/>
                </w:tcPr>
                <w:p w14:paraId="1E02458F">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cs="Times New Roman"/>
                      <w:color w:val="auto"/>
                      <w:sz w:val="18"/>
                      <w:szCs w:val="18"/>
                      <w:lang w:val="en-US" w:eastAsia="zh-CN"/>
                    </w:rPr>
                    <w:t>拟建</w:t>
                  </w:r>
                  <w:r>
                    <w:rPr>
                      <w:rFonts w:hint="default" w:ascii="Times New Roman" w:hAnsi="Times New Roman" w:eastAsia="宋体" w:cs="Times New Roman"/>
                      <w:color w:val="auto"/>
                      <w:sz w:val="18"/>
                      <w:szCs w:val="18"/>
                      <w:lang w:val="en-US" w:eastAsia="zh-CN"/>
                    </w:rPr>
                    <w:t>项目</w:t>
                  </w:r>
                  <w:r>
                    <w:rPr>
                      <w:rFonts w:hint="eastAsia" w:cs="Times New Roman"/>
                      <w:color w:val="auto"/>
                      <w:sz w:val="18"/>
                      <w:szCs w:val="18"/>
                      <w:lang w:eastAsia="zh-CN"/>
                    </w:rPr>
                    <w:t>属于耐火材料制造</w:t>
                  </w:r>
                  <w:r>
                    <w:rPr>
                      <w:rFonts w:hint="default" w:ascii="Times New Roman" w:hAnsi="Times New Roman" w:eastAsia="宋体" w:cs="Times New Roman"/>
                      <w:color w:val="auto"/>
                      <w:sz w:val="18"/>
                      <w:szCs w:val="18"/>
                      <w:lang w:val="en-US" w:eastAsia="zh-CN"/>
                    </w:rPr>
                    <w:t>项目</w:t>
                  </w:r>
                  <w:r>
                    <w:rPr>
                      <w:rFonts w:hint="default" w:ascii="Times New Roman" w:hAnsi="Times New Roman" w:eastAsia="宋体" w:cs="Times New Roman"/>
                      <w:color w:val="auto"/>
                      <w:sz w:val="18"/>
                      <w:szCs w:val="18"/>
                    </w:rPr>
                    <w:t>，</w:t>
                  </w:r>
                  <w:r>
                    <w:rPr>
                      <w:rFonts w:hint="eastAsia" w:cs="Times New Roman"/>
                      <w:color w:val="auto"/>
                      <w:sz w:val="18"/>
                      <w:szCs w:val="18"/>
                      <w:lang w:eastAsia="zh-CN"/>
                    </w:rPr>
                    <w:t>拟建</w:t>
                  </w:r>
                  <w:r>
                    <w:rPr>
                      <w:rFonts w:hint="default" w:ascii="Times New Roman" w:hAnsi="Times New Roman" w:eastAsia="宋体" w:cs="Times New Roman"/>
                      <w:color w:val="auto"/>
                      <w:sz w:val="18"/>
                      <w:szCs w:val="18"/>
                      <w:lang w:eastAsia="zh-CN"/>
                    </w:rPr>
                    <w:t>项目</w:t>
                  </w:r>
                  <w:r>
                    <w:rPr>
                      <w:rFonts w:hint="default" w:ascii="Times New Roman" w:hAnsi="Times New Roman" w:eastAsia="宋体" w:cs="Times New Roman"/>
                      <w:color w:val="auto"/>
                      <w:sz w:val="18"/>
                      <w:szCs w:val="18"/>
                    </w:rPr>
                    <w:t>位于</w:t>
                  </w:r>
                  <w:r>
                    <w:rPr>
                      <w:rFonts w:hint="default" w:ascii="Times New Roman" w:hAnsi="Times New Roman" w:eastAsia="宋体" w:cs="Times New Roman"/>
                      <w:color w:val="auto"/>
                      <w:sz w:val="18"/>
                      <w:szCs w:val="18"/>
                      <w:lang w:val="en-US" w:eastAsia="zh-CN"/>
                    </w:rPr>
                    <w:t>新渡工业集中区(淮安高新技术产业开发区西区)</w:t>
                  </w:r>
                  <w:r>
                    <w:rPr>
                      <w:rFonts w:hint="default" w:ascii="Times New Roman" w:hAnsi="Times New Roman" w:eastAsia="宋体" w:cs="Times New Roman"/>
                      <w:color w:val="auto"/>
                      <w:sz w:val="18"/>
                      <w:szCs w:val="18"/>
                    </w:rPr>
                    <w:t>工业用地范围内，满足空间布局管控要求，</w:t>
                  </w:r>
                  <w:r>
                    <w:rPr>
                      <w:rFonts w:hint="eastAsia" w:cs="Times New Roman"/>
                      <w:color w:val="auto"/>
                      <w:sz w:val="18"/>
                      <w:szCs w:val="18"/>
                      <w:lang w:eastAsia="zh-CN"/>
                    </w:rPr>
                    <w:t>拟建</w:t>
                  </w:r>
                  <w:r>
                    <w:rPr>
                      <w:rFonts w:hint="default" w:ascii="Times New Roman" w:hAnsi="Times New Roman" w:eastAsia="宋体" w:cs="Times New Roman"/>
                      <w:color w:val="auto"/>
                      <w:sz w:val="18"/>
                      <w:szCs w:val="18"/>
                      <w:lang w:eastAsia="zh-CN"/>
                    </w:rPr>
                    <w:t>项目</w:t>
                  </w:r>
                  <w:r>
                    <w:rPr>
                      <w:rFonts w:hint="default" w:ascii="Times New Roman" w:hAnsi="Times New Roman" w:eastAsia="宋体" w:cs="Times New Roman"/>
                      <w:color w:val="auto"/>
                      <w:sz w:val="18"/>
                      <w:szCs w:val="18"/>
                      <w:lang w:val="en-US" w:eastAsia="zh-CN"/>
                    </w:rPr>
                    <w:t>不属于“两高项目”</w:t>
                  </w:r>
                  <w:r>
                    <w:rPr>
                      <w:rFonts w:hint="default" w:ascii="Times New Roman" w:hAnsi="Times New Roman" w:eastAsia="宋体" w:cs="Times New Roman"/>
                      <w:color w:val="auto"/>
                      <w:sz w:val="18"/>
                      <w:szCs w:val="18"/>
                    </w:rPr>
                    <w:t>，不在禁止发展的</w:t>
                  </w:r>
                  <w:r>
                    <w:rPr>
                      <w:rFonts w:hint="default" w:ascii="Times New Roman" w:hAnsi="Times New Roman" w:eastAsia="宋体" w:cs="Times New Roman"/>
                      <w:color w:val="auto"/>
                      <w:sz w:val="18"/>
                      <w:szCs w:val="18"/>
                      <w:lang w:val="en-US" w:eastAsia="zh-CN"/>
                    </w:rPr>
                    <w:t>产业范围</w:t>
                  </w:r>
                  <w:r>
                    <w:rPr>
                      <w:rFonts w:hint="default" w:ascii="Times New Roman" w:hAnsi="Times New Roman" w:eastAsia="宋体" w:cs="Times New Roman"/>
                      <w:color w:val="auto"/>
                      <w:sz w:val="18"/>
                      <w:szCs w:val="18"/>
                    </w:rPr>
                    <w:t>内，不属于限制和禁止类</w:t>
                  </w:r>
                  <w:r>
                    <w:rPr>
                      <w:rFonts w:hint="default" w:ascii="Times New Roman" w:hAnsi="Times New Roman" w:eastAsia="宋体" w:cs="Times New Roman"/>
                      <w:color w:val="auto"/>
                      <w:sz w:val="18"/>
                      <w:szCs w:val="18"/>
                      <w:lang w:val="en-US" w:eastAsia="zh-CN"/>
                    </w:rPr>
                    <w:t>项目</w:t>
                  </w:r>
                  <w:r>
                    <w:rPr>
                      <w:rFonts w:hint="default" w:ascii="Times New Roman" w:hAnsi="Times New Roman" w:eastAsia="宋体" w:cs="Times New Roman"/>
                      <w:color w:val="auto"/>
                      <w:sz w:val="18"/>
                      <w:szCs w:val="18"/>
                    </w:rPr>
                    <w:t>。</w:t>
                  </w:r>
                  <w:r>
                    <w:rPr>
                      <w:rFonts w:hint="eastAsia" w:cs="Times New Roman"/>
                      <w:color w:val="auto"/>
                      <w:sz w:val="18"/>
                      <w:szCs w:val="18"/>
                      <w:lang w:eastAsia="zh-CN"/>
                    </w:rPr>
                    <w:t>拟建</w:t>
                  </w:r>
                  <w:r>
                    <w:rPr>
                      <w:rFonts w:hint="default" w:ascii="Times New Roman" w:hAnsi="Times New Roman" w:eastAsia="宋体" w:cs="Times New Roman"/>
                      <w:color w:val="auto"/>
                      <w:sz w:val="18"/>
                      <w:szCs w:val="18"/>
                    </w:rPr>
                    <w:t>项目严格执行文件</w:t>
                  </w:r>
                  <w:r>
                    <w:rPr>
                      <w:rFonts w:hint="default" w:ascii="Times New Roman" w:hAnsi="Times New Roman" w:eastAsia="宋体" w:cs="Times New Roman"/>
                      <w:color w:val="auto"/>
                      <w:sz w:val="18"/>
                      <w:szCs w:val="18"/>
                      <w:lang w:eastAsia="zh-CN"/>
                    </w:rPr>
                    <w:t>精神</w:t>
                  </w:r>
                  <w:r>
                    <w:rPr>
                      <w:rFonts w:hint="default" w:ascii="Times New Roman" w:hAnsi="Times New Roman" w:eastAsia="宋体" w:cs="Times New Roman"/>
                      <w:color w:val="auto"/>
                      <w:sz w:val="18"/>
                      <w:szCs w:val="18"/>
                    </w:rPr>
                    <w:t>要求，</w:t>
                  </w:r>
                  <w:r>
                    <w:rPr>
                      <w:rFonts w:hint="default" w:ascii="Times New Roman" w:hAnsi="Times New Roman" w:eastAsia="宋体" w:cs="Times New Roman"/>
                      <w:color w:val="auto"/>
                      <w:sz w:val="18"/>
                      <w:szCs w:val="18"/>
                      <w:lang w:eastAsia="zh-CN"/>
                    </w:rPr>
                    <w:t>项目选址</w:t>
                  </w:r>
                  <w:r>
                    <w:rPr>
                      <w:rFonts w:hint="default" w:ascii="Times New Roman" w:hAnsi="Times New Roman" w:eastAsia="宋体" w:cs="Times New Roman"/>
                      <w:color w:val="auto"/>
                      <w:sz w:val="18"/>
                      <w:szCs w:val="18"/>
                    </w:rPr>
                    <w:t>不在生态脆弱和环境敏感地区，不在大运河淮安段核心监控区。</w:t>
                  </w:r>
                  <w:r>
                    <w:rPr>
                      <w:rFonts w:hint="eastAsia" w:cs="Times New Roman"/>
                      <w:color w:val="auto"/>
                      <w:sz w:val="18"/>
                      <w:szCs w:val="18"/>
                      <w:lang w:eastAsia="zh-CN"/>
                    </w:rPr>
                    <w:t>拟建</w:t>
                  </w:r>
                  <w:r>
                    <w:rPr>
                      <w:rFonts w:hint="default" w:ascii="Times New Roman" w:hAnsi="Times New Roman" w:eastAsia="宋体" w:cs="Times New Roman"/>
                      <w:color w:val="auto"/>
                      <w:sz w:val="18"/>
                      <w:szCs w:val="18"/>
                    </w:rPr>
                    <w:t>项目</w:t>
                  </w:r>
                  <w:r>
                    <w:rPr>
                      <w:rFonts w:hint="default" w:ascii="Times New Roman" w:hAnsi="Times New Roman" w:eastAsia="宋体" w:cs="Times New Roman"/>
                      <w:color w:val="auto"/>
                      <w:sz w:val="18"/>
                      <w:szCs w:val="18"/>
                      <w:lang w:eastAsia="zh-CN"/>
                    </w:rPr>
                    <w:t>用地性质属于工业用地，</w:t>
                  </w:r>
                  <w:r>
                    <w:rPr>
                      <w:rFonts w:hint="default" w:ascii="Times New Roman" w:hAnsi="Times New Roman" w:eastAsia="宋体" w:cs="Times New Roman"/>
                      <w:color w:val="auto"/>
                      <w:sz w:val="18"/>
                      <w:szCs w:val="18"/>
                      <w:lang w:val="en-US" w:eastAsia="zh-CN"/>
                    </w:rPr>
                    <w:t>符合淮安市国土空间总体规划的要求，项目用地性质与上位规划相符。</w:t>
                  </w:r>
                </w:p>
              </w:tc>
              <w:tc>
                <w:tcPr>
                  <w:tcW w:w="526" w:type="pct"/>
                  <w:tcBorders>
                    <w:top w:val="single" w:color="auto" w:sz="4" w:space="0"/>
                    <w:left w:val="single" w:color="auto" w:sz="4" w:space="0"/>
                    <w:bottom w:val="single" w:color="auto" w:sz="4" w:space="0"/>
                    <w:right w:val="nil"/>
                  </w:tcBorders>
                  <w:vAlign w:val="center"/>
                </w:tcPr>
                <w:p w14:paraId="0590DA84">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相符</w:t>
                  </w:r>
                </w:p>
              </w:tc>
            </w:tr>
            <w:tr w14:paraId="4E8FAB2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367" w:type="pct"/>
                  <w:tcBorders>
                    <w:top w:val="single" w:color="auto" w:sz="4" w:space="0"/>
                    <w:left w:val="nil"/>
                    <w:bottom w:val="single" w:color="auto" w:sz="4" w:space="0"/>
                    <w:right w:val="single" w:color="auto" w:sz="4" w:space="0"/>
                  </w:tcBorders>
                  <w:vAlign w:val="center"/>
                </w:tcPr>
                <w:p w14:paraId="2E68DE94">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污染物排放管控</w:t>
                  </w:r>
                </w:p>
              </w:tc>
              <w:tc>
                <w:tcPr>
                  <w:tcW w:w="2179" w:type="pct"/>
                  <w:tcBorders>
                    <w:top w:val="single" w:color="auto" w:sz="4" w:space="0"/>
                    <w:left w:val="single" w:color="auto" w:sz="4" w:space="0"/>
                    <w:bottom w:val="single" w:color="auto" w:sz="4" w:space="0"/>
                    <w:right w:val="single" w:color="auto" w:sz="4" w:space="0"/>
                  </w:tcBorders>
                  <w:vAlign w:val="center"/>
                </w:tcPr>
                <w:p w14:paraId="40145120">
                  <w:pPr>
                    <w:keepNext w:val="0"/>
                    <w:keepLines w:val="0"/>
                    <w:pageBreakBefore w:val="0"/>
                    <w:widowControl w:val="0"/>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highlight w:val="lightGray"/>
                    </w:rPr>
                  </w:pPr>
                  <w:r>
                    <w:rPr>
                      <w:rFonts w:hint="default" w:ascii="Times New Roman" w:hAnsi="Times New Roman" w:eastAsia="宋体" w:cs="Times New Roman"/>
                      <w:color w:val="auto"/>
                      <w:kern w:val="2"/>
                      <w:sz w:val="18"/>
                      <w:szCs w:val="18"/>
                      <w:lang w:val="en-US" w:eastAsia="zh-CN" w:bidi="ar-SA"/>
                    </w:rPr>
                    <w:t>根据《江苏省“十四五"节能减排综合实施方案》，到2025 年，氮氧化物、挥发性有机物、化学需氧量、氨氮、总氮、总磷等主要污染物重点工程减排量分别达到5425吨、4333 吨、10059吨、584吨、1225吨、134吨</w:t>
                  </w:r>
                  <w:r>
                    <w:rPr>
                      <w:rFonts w:hint="default" w:ascii="Times New Roman" w:hAnsi="Times New Roman" w:eastAsia="宋体" w:cs="Times New Roman"/>
                      <w:color w:val="auto"/>
                      <w:sz w:val="18"/>
                      <w:szCs w:val="18"/>
                      <w:lang w:val="en-US" w:eastAsia="zh-CN"/>
                    </w:rPr>
                    <w:t>。</w:t>
                  </w:r>
                </w:p>
              </w:tc>
              <w:tc>
                <w:tcPr>
                  <w:tcW w:w="1927" w:type="pct"/>
                  <w:tcBorders>
                    <w:top w:val="single" w:color="auto" w:sz="4" w:space="0"/>
                    <w:left w:val="single" w:color="auto" w:sz="4" w:space="0"/>
                    <w:bottom w:val="single" w:color="auto" w:sz="4" w:space="0"/>
                    <w:right w:val="single" w:color="auto" w:sz="4" w:space="0"/>
                  </w:tcBorders>
                  <w:vAlign w:val="center"/>
                </w:tcPr>
                <w:p w14:paraId="33C422C9">
                  <w:pPr>
                    <w:keepNext w:val="0"/>
                    <w:keepLines w:val="0"/>
                    <w:pageBreakBefore w:val="0"/>
                    <w:widowControl w:val="0"/>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eastAsia="zh-CN"/>
                    </w:rPr>
                    <w:t>（</w:t>
                  </w:r>
                  <w:r>
                    <w:rPr>
                      <w:rFonts w:hint="default" w:ascii="Times New Roman" w:hAnsi="Times New Roman" w:eastAsia="宋体" w:cs="Times New Roman"/>
                      <w:color w:val="auto"/>
                      <w:sz w:val="18"/>
                      <w:szCs w:val="18"/>
                      <w:lang w:val="en-US" w:eastAsia="zh-CN"/>
                    </w:rPr>
                    <w:t>1</w:t>
                  </w:r>
                  <w:r>
                    <w:rPr>
                      <w:rFonts w:hint="default" w:ascii="Times New Roman" w:hAnsi="Times New Roman" w:eastAsia="宋体" w:cs="Times New Roman"/>
                      <w:color w:val="auto"/>
                      <w:sz w:val="18"/>
                      <w:szCs w:val="18"/>
                      <w:lang w:eastAsia="zh-CN"/>
                    </w:rPr>
                    <w:t>）</w:t>
                  </w:r>
                  <w:r>
                    <w:rPr>
                      <w:rFonts w:hint="eastAsia" w:cs="Times New Roman"/>
                      <w:color w:val="auto"/>
                      <w:sz w:val="18"/>
                      <w:szCs w:val="18"/>
                      <w:lang w:eastAsia="zh-CN"/>
                    </w:rPr>
                    <w:t>拟建</w:t>
                  </w:r>
                  <w:r>
                    <w:rPr>
                      <w:rFonts w:hint="default" w:ascii="Times New Roman" w:hAnsi="Times New Roman" w:eastAsia="宋体" w:cs="Times New Roman"/>
                      <w:color w:val="auto"/>
                      <w:sz w:val="18"/>
                      <w:szCs w:val="18"/>
                    </w:rPr>
                    <w:t>项目</w:t>
                  </w:r>
                  <w:r>
                    <w:rPr>
                      <w:rFonts w:hint="default" w:ascii="Times New Roman" w:hAnsi="Times New Roman" w:eastAsia="宋体" w:cs="Times New Roman"/>
                      <w:color w:val="auto"/>
                      <w:sz w:val="18"/>
                      <w:szCs w:val="18"/>
                      <w:lang w:eastAsia="zh-CN"/>
                    </w:rPr>
                    <w:t>新增</w:t>
                  </w:r>
                  <w:r>
                    <w:rPr>
                      <w:rFonts w:hint="default" w:ascii="Times New Roman" w:hAnsi="Times New Roman" w:eastAsia="宋体" w:cs="Times New Roman"/>
                      <w:color w:val="auto"/>
                      <w:sz w:val="18"/>
                      <w:szCs w:val="18"/>
                    </w:rPr>
                    <w:t>颗</w:t>
                  </w:r>
                  <w:r>
                    <w:rPr>
                      <w:rFonts w:hint="default" w:ascii="Times New Roman" w:hAnsi="Times New Roman" w:eastAsia="宋体" w:cs="Times New Roman"/>
                      <w:color w:val="auto"/>
                      <w:kern w:val="0"/>
                      <w:sz w:val="18"/>
                      <w:szCs w:val="18"/>
                      <w:lang w:bidi="ar"/>
                    </w:rPr>
                    <w:t>粒物</w:t>
                  </w:r>
                  <w:r>
                    <w:rPr>
                      <w:rFonts w:hint="default" w:ascii="Times New Roman" w:hAnsi="Times New Roman" w:eastAsia="宋体" w:cs="Times New Roman"/>
                      <w:color w:val="auto"/>
                      <w:kern w:val="0"/>
                      <w:sz w:val="18"/>
                      <w:szCs w:val="18"/>
                      <w:lang w:eastAsia="zh-CN" w:bidi="ar"/>
                    </w:rPr>
                    <w:t>排放</w:t>
                  </w:r>
                  <w:r>
                    <w:rPr>
                      <w:rFonts w:hint="default" w:ascii="Times New Roman" w:hAnsi="Times New Roman" w:eastAsia="宋体" w:cs="Times New Roman"/>
                      <w:color w:val="auto"/>
                      <w:kern w:val="0"/>
                      <w:sz w:val="18"/>
                      <w:szCs w:val="18"/>
                      <w:lang w:val="en-US" w:eastAsia="zh-CN" w:bidi="ar"/>
                    </w:rPr>
                    <w:t>0.</w:t>
                  </w:r>
                  <w:r>
                    <w:rPr>
                      <w:rFonts w:hint="eastAsia" w:cs="Times New Roman"/>
                      <w:color w:val="auto"/>
                      <w:kern w:val="0"/>
                      <w:sz w:val="18"/>
                      <w:szCs w:val="18"/>
                      <w:lang w:val="en-US" w:eastAsia="zh-CN" w:bidi="ar"/>
                    </w:rPr>
                    <w:t>08</w:t>
                  </w:r>
                  <w:r>
                    <w:rPr>
                      <w:rFonts w:hint="default" w:ascii="Times New Roman" w:hAnsi="Times New Roman" w:eastAsia="宋体" w:cs="Times New Roman"/>
                      <w:color w:val="auto"/>
                      <w:kern w:val="0"/>
                      <w:sz w:val="18"/>
                      <w:szCs w:val="18"/>
                      <w:lang w:bidi="ar"/>
                    </w:rPr>
                    <w:t>t/a</w:t>
                  </w:r>
                  <w:r>
                    <w:rPr>
                      <w:rFonts w:hint="default" w:ascii="Times New Roman" w:hAnsi="Times New Roman" w:eastAsia="宋体" w:cs="Times New Roman"/>
                      <w:color w:val="auto"/>
                      <w:kern w:val="0"/>
                      <w:sz w:val="18"/>
                      <w:szCs w:val="18"/>
                      <w:lang w:eastAsia="zh-CN" w:bidi="ar"/>
                    </w:rPr>
                    <w:t>，</w:t>
                  </w:r>
                  <w:r>
                    <w:rPr>
                      <w:rFonts w:hint="default" w:ascii="Times New Roman" w:hAnsi="Times New Roman" w:eastAsia="宋体" w:cs="Times New Roman"/>
                      <w:color w:val="auto"/>
                      <w:sz w:val="18"/>
                      <w:szCs w:val="18"/>
                      <w:lang w:val="en-US" w:eastAsia="zh-CN"/>
                    </w:rPr>
                    <w:t>未突破管控废气污染物总量的要求，对区域大气污染物排放总量贡献值较低。</w:t>
                  </w:r>
                </w:p>
                <w:p w14:paraId="1137CFD0">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highlight w:val="lightGray"/>
                    </w:rPr>
                  </w:pPr>
                  <w:r>
                    <w:rPr>
                      <w:rFonts w:hint="default" w:ascii="Times New Roman" w:hAnsi="Times New Roman" w:eastAsia="宋体" w:cs="Times New Roman"/>
                      <w:color w:val="auto"/>
                      <w:sz w:val="18"/>
                      <w:szCs w:val="18"/>
                      <w:lang w:val="en-US" w:eastAsia="zh-CN"/>
                    </w:rPr>
                    <w:t>（2）</w:t>
                  </w:r>
                  <w:r>
                    <w:rPr>
                      <w:rFonts w:hint="eastAsia" w:ascii="Times New Roman" w:hAnsi="Times New Roman" w:eastAsia="宋体" w:cs="Times New Roman"/>
                      <w:color w:val="auto"/>
                      <w:sz w:val="18"/>
                      <w:szCs w:val="18"/>
                      <w:lang w:val="en-US" w:eastAsia="zh-CN"/>
                    </w:rPr>
                    <w:t>拟建</w:t>
                  </w:r>
                  <w:r>
                    <w:rPr>
                      <w:rFonts w:hint="default" w:ascii="Times New Roman" w:hAnsi="Times New Roman" w:eastAsia="宋体" w:cs="Times New Roman"/>
                      <w:color w:val="auto"/>
                      <w:sz w:val="18"/>
                      <w:szCs w:val="18"/>
                      <w:lang w:val="en-US" w:eastAsia="zh-CN"/>
                    </w:rPr>
                    <w:t>项目</w:t>
                  </w:r>
                  <w:r>
                    <w:rPr>
                      <w:rFonts w:hint="eastAsia" w:cs="Times New Roman"/>
                      <w:color w:val="auto"/>
                      <w:sz w:val="18"/>
                      <w:szCs w:val="18"/>
                      <w:lang w:val="en-US" w:eastAsia="zh-CN"/>
                    </w:rPr>
                    <w:t>不产生工业废水，项目生活污水</w:t>
                  </w:r>
                  <w:r>
                    <w:rPr>
                      <w:rFonts w:hint="eastAsia" w:ascii="Times New Roman" w:hAnsi="Times New Roman" w:cs="Times New Roman"/>
                      <w:color w:val="auto"/>
                      <w:sz w:val="18"/>
                      <w:szCs w:val="18"/>
                      <w:lang w:eastAsia="zh-CN"/>
                    </w:rPr>
                    <w:t>排放量</w:t>
                  </w:r>
                  <w:r>
                    <w:rPr>
                      <w:rFonts w:hint="eastAsia" w:ascii="Times New Roman" w:hAnsi="Times New Roman" w:cs="Times New Roman" w:eastAsiaTheme="minorEastAsia"/>
                      <w:bCs/>
                      <w:color w:val="auto"/>
                      <w:sz w:val="18"/>
                      <w:szCs w:val="18"/>
                      <w:lang w:val="en-US" w:eastAsia="zh-CN"/>
                    </w:rPr>
                    <w:t>162t</w:t>
                  </w:r>
                  <w:r>
                    <w:rPr>
                      <w:rFonts w:hint="default" w:ascii="Times New Roman" w:hAnsi="Times New Roman" w:cs="Times New Roman" w:eastAsiaTheme="minorEastAsia"/>
                      <w:color w:val="auto"/>
                      <w:kern w:val="0"/>
                      <w:sz w:val="18"/>
                      <w:szCs w:val="18"/>
                      <w:highlight w:val="none"/>
                      <w:vertAlign w:val="baseline"/>
                      <w:lang w:val="en-US" w:eastAsia="zh-CN"/>
                    </w:rPr>
                    <w:t>/a</w:t>
                  </w:r>
                  <w:r>
                    <w:rPr>
                      <w:rFonts w:hint="default" w:ascii="Times New Roman" w:hAnsi="Times New Roman" w:cs="Times New Roman" w:eastAsiaTheme="minorEastAsia"/>
                      <w:color w:val="auto"/>
                      <w:kern w:val="0"/>
                      <w:sz w:val="18"/>
                      <w:szCs w:val="18"/>
                      <w:highlight w:val="none"/>
                    </w:rPr>
                    <w:t>，COD</w:t>
                  </w:r>
                  <w:r>
                    <w:rPr>
                      <w:rFonts w:hint="eastAsia" w:ascii="Times New Roman" w:hAnsi="Times New Roman" w:eastAsia="宋体"/>
                      <w:bCs/>
                      <w:color w:val="auto"/>
                      <w:sz w:val="18"/>
                      <w:szCs w:val="18"/>
                      <w:lang w:val="en-US" w:eastAsia="zh-CN"/>
                    </w:rPr>
                    <w:t>0.045</w:t>
                  </w:r>
                  <w:r>
                    <w:rPr>
                      <w:rFonts w:hint="default" w:ascii="Times New Roman" w:hAnsi="Times New Roman" w:cs="Times New Roman" w:eastAsiaTheme="minorEastAsia"/>
                      <w:bCs/>
                      <w:color w:val="auto"/>
                      <w:kern w:val="0"/>
                      <w:sz w:val="18"/>
                      <w:szCs w:val="18"/>
                      <w:highlight w:val="none"/>
                    </w:rPr>
                    <w:t>t/a</w:t>
                  </w:r>
                  <w:r>
                    <w:rPr>
                      <w:rFonts w:hint="default" w:ascii="Times New Roman" w:hAnsi="Times New Roman" w:cs="Times New Roman" w:eastAsiaTheme="minorEastAsia"/>
                      <w:color w:val="auto"/>
                      <w:kern w:val="0"/>
                      <w:sz w:val="18"/>
                      <w:szCs w:val="18"/>
                      <w:highlight w:val="none"/>
                    </w:rPr>
                    <w:t>、氨氮</w:t>
                  </w:r>
                  <w:r>
                    <w:rPr>
                      <w:rFonts w:hint="eastAsia" w:ascii="Times New Roman" w:hAnsi="Times New Roman" w:eastAsia="宋体"/>
                      <w:bCs/>
                      <w:color w:val="auto"/>
                      <w:sz w:val="18"/>
                      <w:szCs w:val="18"/>
                      <w:lang w:val="en-US" w:eastAsia="zh-CN"/>
                    </w:rPr>
                    <w:t>0.005</w:t>
                  </w:r>
                  <w:r>
                    <w:rPr>
                      <w:rFonts w:hint="default" w:ascii="Times New Roman" w:hAnsi="Times New Roman" w:cs="Times New Roman" w:eastAsiaTheme="minorEastAsia"/>
                      <w:bCs/>
                      <w:color w:val="auto"/>
                      <w:kern w:val="0"/>
                      <w:sz w:val="18"/>
                      <w:szCs w:val="18"/>
                      <w:highlight w:val="none"/>
                    </w:rPr>
                    <w:t>t/a</w:t>
                  </w:r>
                  <w:r>
                    <w:rPr>
                      <w:rFonts w:hint="default" w:ascii="Times New Roman" w:hAnsi="Times New Roman" w:cs="Times New Roman" w:eastAsiaTheme="minorEastAsia"/>
                      <w:color w:val="auto"/>
                      <w:kern w:val="0"/>
                      <w:sz w:val="18"/>
                      <w:szCs w:val="18"/>
                      <w:highlight w:val="none"/>
                    </w:rPr>
                    <w:t>、</w:t>
                  </w:r>
                  <w:r>
                    <w:rPr>
                      <w:rFonts w:hint="eastAsia" w:eastAsiaTheme="minorEastAsia"/>
                      <w:color w:val="auto"/>
                      <w:kern w:val="0"/>
                      <w:sz w:val="18"/>
                      <w:szCs w:val="18"/>
                    </w:rPr>
                    <w:t>总</w:t>
                  </w:r>
                  <w:r>
                    <w:rPr>
                      <w:rFonts w:hint="eastAsia" w:eastAsiaTheme="minorEastAsia"/>
                      <w:color w:val="auto"/>
                      <w:kern w:val="0"/>
                      <w:sz w:val="18"/>
                      <w:szCs w:val="18"/>
                      <w:lang w:eastAsia="zh-CN"/>
                    </w:rPr>
                    <w:t>氮</w:t>
                  </w:r>
                  <w:r>
                    <w:rPr>
                      <w:rFonts w:hint="eastAsia" w:ascii="Times New Roman" w:hAnsi="Times New Roman" w:eastAsia="宋体"/>
                      <w:bCs/>
                      <w:color w:val="auto"/>
                      <w:sz w:val="18"/>
                      <w:szCs w:val="18"/>
                      <w:lang w:val="en-US" w:eastAsia="zh-CN"/>
                    </w:rPr>
                    <w:t>0.007</w:t>
                  </w:r>
                  <w:r>
                    <w:rPr>
                      <w:rFonts w:hint="eastAsia" w:eastAsiaTheme="minorEastAsia"/>
                      <w:bCs/>
                      <w:color w:val="auto"/>
                      <w:kern w:val="0"/>
                      <w:sz w:val="18"/>
                      <w:szCs w:val="18"/>
                    </w:rPr>
                    <w:t>t/a</w:t>
                  </w:r>
                  <w:r>
                    <w:rPr>
                      <w:rFonts w:hint="eastAsia" w:eastAsiaTheme="minorEastAsia"/>
                      <w:color w:val="auto"/>
                      <w:kern w:val="0"/>
                      <w:sz w:val="18"/>
                      <w:szCs w:val="18"/>
                    </w:rPr>
                    <w:t>、总</w:t>
                  </w:r>
                  <w:r>
                    <w:rPr>
                      <w:rFonts w:hint="eastAsia" w:eastAsiaTheme="minorEastAsia"/>
                      <w:color w:val="auto"/>
                      <w:kern w:val="0"/>
                      <w:sz w:val="18"/>
                      <w:szCs w:val="18"/>
                      <w:lang w:eastAsia="zh-CN"/>
                    </w:rPr>
                    <w:t>磷</w:t>
                  </w:r>
                  <w:r>
                    <w:rPr>
                      <w:rFonts w:hint="eastAsia" w:ascii="Times New Roman" w:hAnsi="Times New Roman" w:eastAsia="宋体"/>
                      <w:bCs/>
                      <w:color w:val="auto"/>
                      <w:sz w:val="18"/>
                      <w:szCs w:val="18"/>
                      <w:lang w:val="en-US" w:eastAsia="zh-CN"/>
                    </w:rPr>
                    <w:t>0.0006</w:t>
                  </w:r>
                  <w:r>
                    <w:rPr>
                      <w:rFonts w:hint="eastAsia" w:eastAsiaTheme="minorEastAsia"/>
                      <w:bCs/>
                      <w:color w:val="auto"/>
                      <w:kern w:val="0"/>
                      <w:sz w:val="18"/>
                      <w:szCs w:val="18"/>
                    </w:rPr>
                    <w:t>t/a</w:t>
                  </w:r>
                  <w:r>
                    <w:rPr>
                      <w:rFonts w:hint="eastAsia" w:cs="Times New Roman"/>
                      <w:color w:val="auto"/>
                      <w:kern w:val="0"/>
                      <w:sz w:val="18"/>
                      <w:szCs w:val="18"/>
                      <w:lang w:eastAsia="zh-CN" w:bidi="ar"/>
                    </w:rPr>
                    <w:t>，</w:t>
                  </w:r>
                  <w:r>
                    <w:rPr>
                      <w:rFonts w:hint="default" w:ascii="Times New Roman" w:hAnsi="Times New Roman" w:eastAsia="宋体" w:cs="Times New Roman"/>
                      <w:color w:val="auto"/>
                      <w:sz w:val="18"/>
                      <w:szCs w:val="18"/>
                      <w:lang w:val="en-US" w:eastAsia="zh-CN"/>
                    </w:rPr>
                    <w:t>未突破管控</w:t>
                  </w:r>
                  <w:r>
                    <w:rPr>
                      <w:rFonts w:hint="eastAsia" w:ascii="Times New Roman" w:hAnsi="Times New Roman" w:eastAsia="宋体" w:cs="Times New Roman"/>
                      <w:color w:val="auto"/>
                      <w:sz w:val="18"/>
                      <w:szCs w:val="18"/>
                      <w:lang w:val="en-US" w:eastAsia="zh-CN"/>
                    </w:rPr>
                    <w:t>废水及污染物</w:t>
                  </w:r>
                  <w:r>
                    <w:rPr>
                      <w:rFonts w:hint="default" w:ascii="Times New Roman" w:hAnsi="Times New Roman" w:eastAsia="宋体" w:cs="Times New Roman"/>
                      <w:color w:val="auto"/>
                      <w:sz w:val="18"/>
                      <w:szCs w:val="18"/>
                      <w:lang w:val="en-US" w:eastAsia="zh-CN"/>
                    </w:rPr>
                    <w:t>总量的要求，对区域</w:t>
                  </w:r>
                  <w:r>
                    <w:rPr>
                      <w:rFonts w:hint="eastAsia" w:ascii="Times New Roman" w:hAnsi="Times New Roman" w:eastAsia="宋体" w:cs="Times New Roman"/>
                      <w:color w:val="auto"/>
                      <w:sz w:val="18"/>
                      <w:szCs w:val="18"/>
                      <w:lang w:val="en-US" w:eastAsia="zh-CN"/>
                    </w:rPr>
                    <w:t>废水</w:t>
                  </w:r>
                  <w:r>
                    <w:rPr>
                      <w:rFonts w:hint="default" w:ascii="Times New Roman" w:hAnsi="Times New Roman" w:eastAsia="宋体" w:cs="Times New Roman"/>
                      <w:color w:val="auto"/>
                      <w:sz w:val="18"/>
                      <w:szCs w:val="18"/>
                      <w:lang w:val="en-US" w:eastAsia="zh-CN"/>
                    </w:rPr>
                    <w:t>污染物排放总量贡献值较低。</w:t>
                  </w:r>
                </w:p>
              </w:tc>
              <w:tc>
                <w:tcPr>
                  <w:tcW w:w="526" w:type="pct"/>
                  <w:tcBorders>
                    <w:top w:val="single" w:color="auto" w:sz="4" w:space="0"/>
                    <w:left w:val="single" w:color="auto" w:sz="4" w:space="0"/>
                    <w:bottom w:val="single" w:color="auto" w:sz="4" w:space="0"/>
                    <w:right w:val="nil"/>
                  </w:tcBorders>
                  <w:vAlign w:val="center"/>
                </w:tcPr>
                <w:p w14:paraId="70B0BAE7">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相符</w:t>
                  </w:r>
                </w:p>
              </w:tc>
            </w:tr>
            <w:tr w14:paraId="16700F9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940" w:hRule="atLeast"/>
                <w:jc w:val="center"/>
              </w:trPr>
              <w:tc>
                <w:tcPr>
                  <w:tcW w:w="367" w:type="pct"/>
                  <w:tcBorders>
                    <w:top w:val="single" w:color="auto" w:sz="4" w:space="0"/>
                    <w:left w:val="nil"/>
                    <w:bottom w:val="single" w:color="auto" w:sz="4" w:space="0"/>
                    <w:right w:val="single" w:color="auto" w:sz="4" w:space="0"/>
                  </w:tcBorders>
                  <w:vAlign w:val="center"/>
                </w:tcPr>
                <w:p w14:paraId="1E05D490">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环境风险防控</w:t>
                  </w:r>
                </w:p>
              </w:tc>
              <w:tc>
                <w:tcPr>
                  <w:tcW w:w="2179" w:type="pct"/>
                  <w:tcBorders>
                    <w:top w:val="single" w:color="auto" w:sz="4" w:space="0"/>
                    <w:left w:val="single" w:color="auto" w:sz="4" w:space="0"/>
                    <w:bottom w:val="single" w:color="auto" w:sz="4" w:space="0"/>
                    <w:right w:val="single" w:color="auto" w:sz="4" w:space="0"/>
                  </w:tcBorders>
                  <w:vAlign w:val="center"/>
                </w:tcPr>
                <w:p w14:paraId="6A3F2BA4">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1.严格执行《淮安市突发环境事件应急预案》（淮政办发[2020]67号）、《淮安市集中式饮用水源突发污染事件应急预案》（淮污芳攻坚指办[2020]58号）、《淮安市核辐射事故应急预案》《淮安市重污染天气应急预案》（淮政复[2021]24号）等文件要求，建立区域监测预警系统，建立省市县上下联动、区域之间左右联动等联动应急响应体系，实行联防联控。2.根据《中共江苏省委江苏省人民政府关于深入打好污染防治攻坚战的实施意见》(2022年1月24日)，完善省、市、县三级环境应急管理体系，健全跨区域、跨部门突发生态环境事件联防联控机制，建成重点敏感保护目标突发水污染事件应急防范体系。开展涉危险废物涉重金属企业、园区等重点领域环境风险调查评估，完成重点河流突发水污染事件“一河一-策一图”全覆盖，常态化推进环境风险企业隐患排查。完善环境应急指挥体系，建成区域环境应急基地和应急物资储备库。</w:t>
                  </w:r>
                </w:p>
              </w:tc>
              <w:tc>
                <w:tcPr>
                  <w:tcW w:w="1927" w:type="pct"/>
                  <w:tcBorders>
                    <w:top w:val="single" w:color="auto" w:sz="4" w:space="0"/>
                    <w:left w:val="single" w:color="auto" w:sz="4" w:space="0"/>
                    <w:bottom w:val="single" w:color="auto" w:sz="4" w:space="0"/>
                    <w:right w:val="single" w:color="auto" w:sz="4" w:space="0"/>
                  </w:tcBorders>
                  <w:vAlign w:val="center"/>
                </w:tcPr>
                <w:p w14:paraId="4E325A9F">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eastAsia" w:cs="Times New Roman"/>
                      <w:color w:val="auto"/>
                      <w:sz w:val="18"/>
                      <w:szCs w:val="18"/>
                      <w:lang w:val="en-US" w:eastAsia="zh-CN"/>
                    </w:rPr>
                    <w:t>拟建</w:t>
                  </w:r>
                  <w:r>
                    <w:rPr>
                      <w:rFonts w:hint="default" w:ascii="Times New Roman" w:hAnsi="Times New Roman" w:eastAsia="宋体" w:cs="Times New Roman"/>
                      <w:color w:val="auto"/>
                      <w:sz w:val="18"/>
                      <w:szCs w:val="18"/>
                      <w:lang w:val="en-US" w:eastAsia="zh-CN"/>
                    </w:rPr>
                    <w:t>项目建成后</w:t>
                  </w:r>
                  <w:r>
                    <w:rPr>
                      <w:rFonts w:hint="default" w:ascii="Times New Roman" w:hAnsi="Times New Roman" w:eastAsia="宋体" w:cs="Times New Roman"/>
                      <w:color w:val="auto"/>
                      <w:sz w:val="18"/>
                      <w:szCs w:val="18"/>
                    </w:rPr>
                    <w:t>将</w:t>
                  </w:r>
                  <w:r>
                    <w:rPr>
                      <w:rFonts w:hint="default" w:ascii="Times New Roman" w:hAnsi="Times New Roman" w:eastAsia="宋体" w:cs="Times New Roman"/>
                      <w:color w:val="auto"/>
                      <w:sz w:val="18"/>
                      <w:szCs w:val="18"/>
                      <w:lang w:eastAsia="zh-CN"/>
                    </w:rPr>
                    <w:t>按照管理要求配备相应应急物质，落实风险防范措施</w:t>
                  </w:r>
                </w:p>
              </w:tc>
              <w:tc>
                <w:tcPr>
                  <w:tcW w:w="526" w:type="pct"/>
                  <w:tcBorders>
                    <w:top w:val="single" w:color="auto" w:sz="4" w:space="0"/>
                    <w:left w:val="single" w:color="auto" w:sz="4" w:space="0"/>
                    <w:bottom w:val="single" w:color="auto" w:sz="4" w:space="0"/>
                    <w:right w:val="nil"/>
                  </w:tcBorders>
                  <w:vAlign w:val="center"/>
                </w:tcPr>
                <w:p w14:paraId="78509D99">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相符</w:t>
                  </w:r>
                </w:p>
              </w:tc>
            </w:tr>
            <w:tr w14:paraId="59A2F04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367" w:type="pct"/>
                  <w:tcBorders>
                    <w:top w:val="single" w:color="auto" w:sz="4" w:space="0"/>
                    <w:left w:val="nil"/>
                    <w:bottom w:val="single" w:color="auto" w:sz="12" w:space="0"/>
                    <w:right w:val="single" w:color="auto" w:sz="4" w:space="0"/>
                  </w:tcBorders>
                  <w:vAlign w:val="center"/>
                </w:tcPr>
                <w:p w14:paraId="41C134CC">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资源</w:t>
                  </w:r>
                  <w:r>
                    <w:rPr>
                      <w:rFonts w:hint="default" w:ascii="Times New Roman" w:hAnsi="Times New Roman" w:eastAsia="宋体" w:cs="Times New Roman"/>
                      <w:color w:val="auto"/>
                      <w:sz w:val="18"/>
                      <w:szCs w:val="18"/>
                      <w:lang w:val="en-US" w:eastAsia="zh-CN"/>
                    </w:rPr>
                    <w:t>开发</w:t>
                  </w:r>
                  <w:r>
                    <w:rPr>
                      <w:rFonts w:hint="default" w:ascii="Times New Roman" w:hAnsi="Times New Roman" w:eastAsia="宋体" w:cs="Times New Roman"/>
                      <w:color w:val="auto"/>
                      <w:sz w:val="18"/>
                      <w:szCs w:val="18"/>
                    </w:rPr>
                    <w:t>效率要求</w:t>
                  </w:r>
                </w:p>
              </w:tc>
              <w:tc>
                <w:tcPr>
                  <w:tcW w:w="2179" w:type="pct"/>
                  <w:tcBorders>
                    <w:top w:val="single" w:color="auto" w:sz="4" w:space="0"/>
                    <w:left w:val="single" w:color="auto" w:sz="4" w:space="0"/>
                    <w:bottom w:val="single" w:color="auto" w:sz="12" w:space="0"/>
                    <w:right w:val="single" w:color="auto" w:sz="4" w:space="0"/>
                  </w:tcBorders>
                  <w:vAlign w:val="center"/>
                </w:tcPr>
                <w:p w14:paraId="5E2D36C3">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1.水资源利用总量及效率要求:根据《江苏省水利厅江苏省发改委关于印发“十四五”用水总量和强度控制目标的通知》(苏水节[2022]6 号) 、《市水利局市发展和改革委员会关于下达“十四五”用水总量和强度控制目标的通知》(淮水资[2022]4号)，到2025年，淮安市用水总量不得超过33亿立方米，万元地区生产总值用水量比2020年下降20%，万元工业增加值用水量比2020年下降19%，灌溉水有效利用系数达到0.617以上。2.土地资源利用总量及效率要求:根据《淮安市国土空间总体规划(2021-2035年)》，淮安市耕地保有量不少于697.3500万亩，永久基本农田保护面积不低于596.0050万亩，控制全市城镇开发边界扩展倍数不高于1.3599。3.能源利用总量及效率要求:根据《中共江苏省委江苏省人民政府关于深入打好污染防治攻坚战的实施意见》(2022年1月24日)，到2025年，煤炭消费总量下降5%左右，煤炭占能源消费总量的比重下降至50%左右，非化石能源消费比重达到18%左右。4.禁燃区要求:根据《江苏省大气污染防治条例》，禁燃区禁止新建、扩建燃用高污染燃料的项目和设施，已建成的应逐步或依法限期改用天饮气、电或者其他清洁能源。</w:t>
                  </w:r>
                </w:p>
              </w:tc>
              <w:tc>
                <w:tcPr>
                  <w:tcW w:w="1927" w:type="pct"/>
                  <w:tcBorders>
                    <w:top w:val="single" w:color="auto" w:sz="4" w:space="0"/>
                    <w:left w:val="single" w:color="auto" w:sz="4" w:space="0"/>
                    <w:bottom w:val="single" w:color="auto" w:sz="12" w:space="0"/>
                    <w:right w:val="single" w:color="auto" w:sz="4" w:space="0"/>
                  </w:tcBorders>
                  <w:vAlign w:val="center"/>
                </w:tcPr>
                <w:p w14:paraId="2ACB6D31">
                  <w:pPr>
                    <w:pStyle w:val="34"/>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val="0"/>
                      <w:bCs/>
                      <w:color w:val="auto"/>
                      <w:sz w:val="18"/>
                      <w:szCs w:val="18"/>
                    </w:rPr>
                  </w:pPr>
                  <w:r>
                    <w:rPr>
                      <w:rFonts w:hint="default" w:ascii="Times New Roman" w:hAnsi="Times New Roman" w:eastAsia="宋体" w:cs="Times New Roman"/>
                      <w:b w:val="0"/>
                      <w:bCs/>
                      <w:color w:val="auto"/>
                      <w:sz w:val="18"/>
                      <w:szCs w:val="18"/>
                    </w:rPr>
                    <w:t>1、项目不使用地下水。</w:t>
                  </w:r>
                </w:p>
                <w:p w14:paraId="478F3F72">
                  <w:pPr>
                    <w:pStyle w:val="34"/>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val="0"/>
                      <w:bCs/>
                      <w:color w:val="auto"/>
                      <w:sz w:val="18"/>
                      <w:szCs w:val="18"/>
                    </w:rPr>
                  </w:pPr>
                  <w:r>
                    <w:rPr>
                      <w:rFonts w:hint="default" w:ascii="Times New Roman" w:hAnsi="Times New Roman" w:eastAsia="宋体" w:cs="Times New Roman"/>
                      <w:b w:val="0"/>
                      <w:bCs/>
                      <w:color w:val="auto"/>
                      <w:sz w:val="18"/>
                      <w:szCs w:val="18"/>
                    </w:rPr>
                    <w:t>2、本项目</w:t>
                  </w:r>
                  <w:r>
                    <w:rPr>
                      <w:rFonts w:hint="default" w:ascii="Times New Roman" w:hAnsi="Times New Roman" w:eastAsia="宋体" w:cs="Times New Roman"/>
                      <w:b w:val="0"/>
                      <w:bCs/>
                      <w:color w:val="auto"/>
                      <w:sz w:val="18"/>
                      <w:szCs w:val="18"/>
                      <w:lang w:eastAsia="zh-CN"/>
                    </w:rPr>
                    <w:t>用</w:t>
                  </w:r>
                  <w:r>
                    <w:rPr>
                      <w:rFonts w:hint="default" w:ascii="Times New Roman" w:hAnsi="Times New Roman" w:eastAsia="宋体" w:cs="Times New Roman"/>
                      <w:b w:val="0"/>
                      <w:bCs/>
                      <w:color w:val="auto"/>
                      <w:sz w:val="18"/>
                      <w:szCs w:val="18"/>
                    </w:rPr>
                    <w:t>地为工业用地，不占用耕地</w:t>
                  </w:r>
                  <w:r>
                    <w:rPr>
                      <w:rFonts w:hint="default" w:ascii="Times New Roman" w:hAnsi="Times New Roman" w:eastAsia="宋体" w:cs="Times New Roman"/>
                      <w:b w:val="0"/>
                      <w:bCs/>
                      <w:color w:val="auto"/>
                      <w:sz w:val="18"/>
                      <w:szCs w:val="18"/>
                      <w:lang w:eastAsia="zh-CN"/>
                    </w:rPr>
                    <w:t>及永久基本农田</w:t>
                  </w:r>
                  <w:r>
                    <w:rPr>
                      <w:rFonts w:hint="default" w:ascii="Times New Roman" w:hAnsi="Times New Roman" w:eastAsia="宋体" w:cs="Times New Roman"/>
                      <w:b w:val="0"/>
                      <w:bCs/>
                      <w:color w:val="auto"/>
                      <w:sz w:val="18"/>
                      <w:szCs w:val="18"/>
                    </w:rPr>
                    <w:t>。</w:t>
                  </w:r>
                </w:p>
                <w:p w14:paraId="12007306">
                  <w:pPr>
                    <w:pStyle w:val="34"/>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val="0"/>
                      <w:bCs/>
                      <w:color w:val="auto"/>
                      <w:sz w:val="18"/>
                      <w:szCs w:val="18"/>
                    </w:rPr>
                  </w:pPr>
                  <w:r>
                    <w:rPr>
                      <w:rFonts w:hint="default" w:ascii="Times New Roman" w:hAnsi="Times New Roman" w:eastAsia="宋体" w:cs="Times New Roman"/>
                      <w:b w:val="0"/>
                      <w:bCs/>
                      <w:color w:val="auto"/>
                      <w:sz w:val="18"/>
                      <w:szCs w:val="18"/>
                    </w:rPr>
                    <w:t>3、本项目</w:t>
                  </w:r>
                  <w:r>
                    <w:rPr>
                      <w:rFonts w:hint="default" w:ascii="Times New Roman" w:hAnsi="Times New Roman" w:eastAsia="宋体" w:cs="Times New Roman"/>
                      <w:b w:val="0"/>
                      <w:bCs/>
                      <w:color w:val="auto"/>
                      <w:sz w:val="18"/>
                      <w:szCs w:val="18"/>
                      <w:lang w:eastAsia="zh-CN"/>
                    </w:rPr>
                    <w:t>不涉及燃料</w:t>
                  </w:r>
                  <w:r>
                    <w:rPr>
                      <w:rFonts w:hint="eastAsia" w:ascii="Times New Roman" w:hAnsi="Times New Roman" w:eastAsia="宋体" w:cs="Times New Roman"/>
                      <w:b w:val="0"/>
                      <w:bCs/>
                      <w:color w:val="auto"/>
                      <w:sz w:val="18"/>
                      <w:szCs w:val="18"/>
                      <w:lang w:eastAsia="zh-CN"/>
                    </w:rPr>
                    <w:t>使用</w:t>
                  </w:r>
                  <w:r>
                    <w:rPr>
                      <w:rFonts w:hint="default" w:ascii="Times New Roman" w:hAnsi="Times New Roman" w:eastAsia="宋体" w:cs="Times New Roman"/>
                      <w:b w:val="0"/>
                      <w:bCs/>
                      <w:color w:val="auto"/>
                      <w:sz w:val="18"/>
                      <w:szCs w:val="18"/>
                    </w:rPr>
                    <w:t>，</w:t>
                  </w:r>
                  <w:r>
                    <w:rPr>
                      <w:rFonts w:hint="default" w:ascii="Times New Roman" w:hAnsi="Times New Roman" w:eastAsia="宋体" w:cs="Times New Roman"/>
                      <w:b w:val="0"/>
                      <w:bCs/>
                      <w:color w:val="auto"/>
                      <w:sz w:val="18"/>
                      <w:szCs w:val="18"/>
                      <w:lang w:eastAsia="zh-CN"/>
                    </w:rPr>
                    <w:t>项目</w:t>
                  </w:r>
                  <w:r>
                    <w:rPr>
                      <w:rFonts w:hint="default" w:ascii="Times New Roman" w:hAnsi="Times New Roman" w:eastAsia="宋体" w:cs="Times New Roman"/>
                      <w:b w:val="0"/>
                      <w:bCs/>
                      <w:color w:val="auto"/>
                      <w:sz w:val="18"/>
                      <w:szCs w:val="18"/>
                    </w:rPr>
                    <w:t>使用</w:t>
                  </w:r>
                  <w:r>
                    <w:rPr>
                      <w:rFonts w:hint="default" w:ascii="Times New Roman" w:hAnsi="Times New Roman" w:eastAsia="宋体" w:cs="Times New Roman"/>
                      <w:b w:val="0"/>
                      <w:bCs/>
                      <w:color w:val="auto"/>
                      <w:sz w:val="18"/>
                      <w:szCs w:val="18"/>
                      <w:lang w:eastAsia="zh-CN"/>
                    </w:rPr>
                    <w:t>的</w:t>
                  </w:r>
                  <w:r>
                    <w:rPr>
                      <w:rFonts w:hint="default" w:ascii="Times New Roman" w:hAnsi="Times New Roman" w:eastAsia="宋体" w:cs="Times New Roman"/>
                      <w:b w:val="0"/>
                      <w:bCs/>
                      <w:color w:val="auto"/>
                      <w:sz w:val="18"/>
                      <w:szCs w:val="18"/>
                    </w:rPr>
                    <w:t>电能</w:t>
                  </w:r>
                  <w:r>
                    <w:rPr>
                      <w:rFonts w:hint="eastAsia" w:ascii="Times New Roman" w:hAnsi="Times New Roman" w:eastAsia="宋体" w:cs="Times New Roman"/>
                      <w:b w:val="0"/>
                      <w:bCs/>
                      <w:color w:val="auto"/>
                      <w:sz w:val="18"/>
                      <w:szCs w:val="18"/>
                      <w:lang w:eastAsia="zh-CN"/>
                    </w:rPr>
                    <w:t>、新鲜水，</w:t>
                  </w:r>
                  <w:r>
                    <w:rPr>
                      <w:rFonts w:hint="default" w:ascii="Times New Roman" w:hAnsi="Times New Roman" w:eastAsia="宋体" w:cs="Times New Roman"/>
                      <w:b w:val="0"/>
                      <w:bCs/>
                      <w:color w:val="auto"/>
                      <w:sz w:val="18"/>
                      <w:szCs w:val="18"/>
                      <w:lang w:eastAsia="zh-CN"/>
                    </w:rPr>
                    <w:t>属于</w:t>
                  </w:r>
                  <w:r>
                    <w:rPr>
                      <w:rFonts w:hint="default" w:ascii="Times New Roman" w:hAnsi="Times New Roman" w:eastAsia="宋体" w:cs="Times New Roman"/>
                      <w:b w:val="0"/>
                      <w:bCs/>
                      <w:color w:val="auto"/>
                      <w:sz w:val="18"/>
                      <w:szCs w:val="18"/>
                    </w:rPr>
                    <w:t>清洁</w:t>
                  </w:r>
                  <w:r>
                    <w:rPr>
                      <w:rFonts w:hint="default" w:ascii="Times New Roman" w:hAnsi="Times New Roman" w:eastAsia="宋体" w:cs="Times New Roman"/>
                      <w:b w:val="0"/>
                      <w:bCs/>
                      <w:color w:val="auto"/>
                      <w:sz w:val="18"/>
                      <w:szCs w:val="18"/>
                      <w:lang w:eastAsia="zh-CN"/>
                    </w:rPr>
                    <w:t>资源</w:t>
                  </w:r>
                  <w:r>
                    <w:rPr>
                      <w:rFonts w:hint="default" w:ascii="Times New Roman" w:hAnsi="Times New Roman" w:eastAsia="宋体" w:cs="Times New Roman"/>
                      <w:b w:val="0"/>
                      <w:bCs/>
                      <w:color w:val="auto"/>
                      <w:sz w:val="18"/>
                      <w:szCs w:val="18"/>
                    </w:rPr>
                    <w:t>能源，满足资源利用效率要求。</w:t>
                  </w:r>
                </w:p>
                <w:p w14:paraId="45C80BCC">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b w:val="0"/>
                      <w:bCs/>
                      <w:color w:val="auto"/>
                      <w:sz w:val="18"/>
                      <w:szCs w:val="18"/>
                    </w:rPr>
                    <w:t>4</w:t>
                  </w:r>
                  <w:r>
                    <w:rPr>
                      <w:rFonts w:hint="default" w:ascii="Times New Roman" w:hAnsi="Times New Roman" w:eastAsia="宋体" w:cs="Times New Roman"/>
                      <w:b w:val="0"/>
                      <w:bCs/>
                      <w:color w:val="auto"/>
                      <w:sz w:val="18"/>
                      <w:szCs w:val="18"/>
                      <w:lang w:eastAsia="zh-CN"/>
                    </w:rPr>
                    <w:t>、</w:t>
                  </w:r>
                  <w:r>
                    <w:rPr>
                      <w:rFonts w:hint="default" w:ascii="Times New Roman" w:hAnsi="Times New Roman" w:eastAsia="宋体" w:cs="Times New Roman"/>
                      <w:b w:val="0"/>
                      <w:bCs/>
                      <w:color w:val="auto"/>
                      <w:sz w:val="18"/>
                      <w:szCs w:val="18"/>
                    </w:rPr>
                    <w:t>本项目</w:t>
                  </w:r>
                  <w:r>
                    <w:rPr>
                      <w:rFonts w:hint="default" w:ascii="Times New Roman" w:hAnsi="Times New Roman" w:eastAsia="宋体" w:cs="Times New Roman"/>
                      <w:b w:val="0"/>
                      <w:bCs/>
                      <w:color w:val="auto"/>
                      <w:sz w:val="18"/>
                      <w:szCs w:val="18"/>
                      <w:lang w:val="en-US" w:eastAsia="zh-CN"/>
                    </w:rPr>
                    <w:t>不在禁燃区内，不涉及</w:t>
                  </w:r>
                  <w:r>
                    <w:rPr>
                      <w:rFonts w:hint="default" w:ascii="Times New Roman" w:hAnsi="Times New Roman" w:eastAsia="宋体" w:cs="Times New Roman"/>
                      <w:b w:val="0"/>
                      <w:bCs/>
                      <w:color w:val="auto"/>
                      <w:sz w:val="18"/>
                      <w:szCs w:val="18"/>
                    </w:rPr>
                    <w:t>使用</w:t>
                  </w:r>
                  <w:r>
                    <w:rPr>
                      <w:rFonts w:hint="default" w:ascii="Times New Roman" w:hAnsi="Times New Roman" w:eastAsia="宋体" w:cs="Times New Roman"/>
                      <w:b w:val="0"/>
                      <w:bCs/>
                      <w:color w:val="auto"/>
                      <w:sz w:val="18"/>
                      <w:szCs w:val="18"/>
                      <w:lang w:val="en-US" w:eastAsia="zh-CN"/>
                    </w:rPr>
                    <w:t>高污染燃料</w:t>
                  </w:r>
                  <w:r>
                    <w:rPr>
                      <w:rFonts w:hint="default" w:ascii="Times New Roman" w:hAnsi="Times New Roman" w:eastAsia="宋体" w:cs="Times New Roman"/>
                      <w:b w:val="0"/>
                      <w:bCs/>
                      <w:color w:val="auto"/>
                      <w:sz w:val="18"/>
                      <w:szCs w:val="18"/>
                    </w:rPr>
                    <w:t>。</w:t>
                  </w:r>
                </w:p>
              </w:tc>
              <w:tc>
                <w:tcPr>
                  <w:tcW w:w="526" w:type="pct"/>
                  <w:tcBorders>
                    <w:top w:val="single" w:color="auto" w:sz="4" w:space="0"/>
                    <w:left w:val="single" w:color="auto" w:sz="4" w:space="0"/>
                    <w:bottom w:val="single" w:color="auto" w:sz="12" w:space="0"/>
                    <w:right w:val="nil"/>
                  </w:tcBorders>
                  <w:vAlign w:val="center"/>
                </w:tcPr>
                <w:p w14:paraId="151CB473">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相符</w:t>
                  </w:r>
                </w:p>
              </w:tc>
            </w:tr>
          </w:tbl>
          <w:p w14:paraId="1B7B21C8">
            <w:pPr>
              <w:keepNext w:val="0"/>
              <w:keepLines w:val="0"/>
              <w:suppressLineNumbers w:val="0"/>
              <w:adjustRightInd w:val="0"/>
              <w:snapToGrid w:val="0"/>
              <w:spacing w:before="0" w:beforeLines="50" w:beforeAutospacing="0" w:after="0" w:afterAutospacing="0" w:line="360" w:lineRule="auto"/>
              <w:ind w:left="0" w:right="0" w:firstLine="480" w:firstLineChars="200"/>
              <w:rPr>
                <w:rFonts w:hint="default" w:ascii="Times New Roman" w:hAnsi="Times New Roman" w:eastAsia="宋体" w:cs="Times New Roman"/>
                <w:color w:val="auto"/>
                <w:sz w:val="24"/>
                <w:lang w:val="en-US" w:eastAsia="zh-CN"/>
              </w:rPr>
            </w:pPr>
            <w:r>
              <w:rPr>
                <w:rFonts w:hint="default" w:ascii="Times New Roman" w:hAnsi="Times New Roman" w:eastAsia="宋体" w:cs="Times New Roman"/>
                <w:color w:val="auto"/>
                <w:sz w:val="24"/>
                <w:lang w:val="en-US" w:eastAsia="zh-CN"/>
              </w:rPr>
              <w:t>根据上表1.1-4、1.1-5分析可知，</w:t>
            </w:r>
            <w:r>
              <w:rPr>
                <w:rFonts w:hint="eastAsia" w:cs="Times New Roman"/>
                <w:color w:val="auto"/>
                <w:sz w:val="24"/>
                <w:lang w:val="en-US" w:eastAsia="zh-CN"/>
              </w:rPr>
              <w:t>拟建</w:t>
            </w:r>
            <w:r>
              <w:rPr>
                <w:rFonts w:hint="default" w:ascii="Times New Roman" w:hAnsi="Times New Roman" w:eastAsia="宋体" w:cs="Times New Roman"/>
                <w:color w:val="auto"/>
                <w:sz w:val="24"/>
                <w:lang w:val="en-US" w:eastAsia="zh-CN"/>
              </w:rPr>
              <w:t>项目与《淮安市“三线一单”生态环境分区管控方案》（淮政发〔2020〕16号）及</w:t>
            </w:r>
            <w:r>
              <w:rPr>
                <w:rFonts w:hint="default" w:ascii="Times New Roman" w:hAnsi="Times New Roman" w:eastAsia="宋体" w:cs="Times New Roman"/>
                <w:bCs/>
                <w:color w:val="auto"/>
              </w:rPr>
              <w:t>《市政府办公室关于对淮安市“三线一单”生态环境分区管控方案内容修改的通知》（淮政办函〔2022〕5号）</w:t>
            </w:r>
            <w:r>
              <w:rPr>
                <w:rFonts w:hint="default" w:ascii="Times New Roman" w:hAnsi="Times New Roman" w:eastAsia="宋体" w:cs="Times New Roman"/>
                <w:color w:val="auto"/>
                <w:sz w:val="24"/>
                <w:lang w:val="en-US" w:eastAsia="zh-CN"/>
              </w:rPr>
              <w:t>、《淮安市生态环境分区管控动态更新成果》（2023版）是相符的。</w:t>
            </w:r>
          </w:p>
          <w:p w14:paraId="53D52951">
            <w:pPr>
              <w:keepNext w:val="0"/>
              <w:keepLines w:val="0"/>
              <w:suppressLineNumbers w:val="0"/>
              <w:adjustRightInd w:val="0"/>
              <w:snapToGrid w:val="0"/>
              <w:spacing w:before="0" w:beforeLines="50" w:beforeAutospacing="0" w:after="0" w:afterAutospacing="0" w:line="360" w:lineRule="auto"/>
              <w:ind w:left="0" w:right="0" w:firstLine="480" w:firstLineChars="200"/>
              <w:rPr>
                <w:rFonts w:hint="default" w:ascii="Times New Roman" w:hAnsi="Times New Roman" w:eastAsia="宋体" w:cs="Times New Roman"/>
                <w:color w:val="auto"/>
                <w:sz w:val="24"/>
                <w:lang w:val="en-US" w:eastAsia="zh-CN"/>
              </w:rPr>
            </w:pPr>
            <w:r>
              <w:rPr>
                <w:rFonts w:hint="default" w:ascii="Times New Roman" w:hAnsi="Times New Roman" w:eastAsia="宋体" w:cs="Times New Roman"/>
                <w:color w:val="auto"/>
                <w:sz w:val="24"/>
                <w:lang w:val="en-US" w:eastAsia="zh-CN"/>
              </w:rPr>
              <w:t>（2）环境质量底线</w:t>
            </w:r>
          </w:p>
          <w:p w14:paraId="530038D3">
            <w:pPr>
              <w:keepNext w:val="0"/>
              <w:keepLines w:val="0"/>
              <w:pageBreakBefore w:val="0"/>
              <w:suppressLineNumbers w:val="0"/>
              <w:kinsoku/>
              <w:wordWrap/>
              <w:overflowPunct/>
              <w:topLinePunct w:val="0"/>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①大气环境</w:t>
            </w:r>
          </w:p>
          <w:p w14:paraId="7D7B5636">
            <w:pPr>
              <w:keepNext w:val="0"/>
              <w:keepLines w:val="0"/>
              <w:pageBreakBefore w:val="0"/>
              <w:suppressLineNumbers w:val="0"/>
              <w:kinsoku/>
              <w:wordWrap/>
              <w:overflowPunct/>
              <w:topLinePunct w:val="0"/>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kern w:val="0"/>
                <w:sz w:val="24"/>
              </w:rPr>
            </w:pPr>
            <w:r>
              <w:rPr>
                <w:rFonts w:hint="default" w:ascii="Times New Roman" w:hAnsi="Times New Roman" w:eastAsia="宋体" w:cs="Times New Roman"/>
                <w:color w:val="auto"/>
                <w:sz w:val="24"/>
              </w:rPr>
              <w:t>根据《2023年淮安市生态环境状况公报》，2023年，全市细颗粒物（PM</w:t>
            </w:r>
            <w:r>
              <w:rPr>
                <w:rFonts w:hint="default" w:ascii="Times New Roman" w:hAnsi="Times New Roman" w:eastAsia="宋体" w:cs="Times New Roman"/>
                <w:color w:val="auto"/>
                <w:sz w:val="24"/>
                <w:vertAlign w:val="subscript"/>
              </w:rPr>
              <w:t>2.5</w:t>
            </w:r>
            <w:r>
              <w:rPr>
                <w:rFonts w:hint="default" w:ascii="Times New Roman" w:hAnsi="Times New Roman" w:eastAsia="宋体" w:cs="Times New Roman"/>
                <w:color w:val="auto"/>
                <w:sz w:val="24"/>
              </w:rPr>
              <w:t>）、可吸入颗粒物（PM</w:t>
            </w:r>
            <w:r>
              <w:rPr>
                <w:rFonts w:hint="default" w:ascii="Times New Roman" w:hAnsi="Times New Roman" w:eastAsia="宋体" w:cs="Times New Roman"/>
                <w:color w:val="auto"/>
                <w:sz w:val="24"/>
                <w:vertAlign w:val="subscript"/>
              </w:rPr>
              <w:t>10</w:t>
            </w:r>
            <w:r>
              <w:rPr>
                <w:rFonts w:hint="default" w:ascii="Times New Roman" w:hAnsi="Times New Roman" w:eastAsia="宋体" w:cs="Times New Roman"/>
                <w:color w:val="auto"/>
                <w:sz w:val="24"/>
              </w:rPr>
              <w:t>）、二氧化硫（SO</w:t>
            </w:r>
            <w:r>
              <w:rPr>
                <w:rFonts w:hint="default" w:ascii="Times New Roman" w:hAnsi="Times New Roman" w:eastAsia="宋体" w:cs="Times New Roman"/>
                <w:color w:val="auto"/>
                <w:sz w:val="24"/>
                <w:vertAlign w:val="subscript"/>
              </w:rPr>
              <w:t>2</w:t>
            </w:r>
            <w:r>
              <w:rPr>
                <w:rFonts w:hint="default" w:ascii="Times New Roman" w:hAnsi="Times New Roman" w:eastAsia="宋体" w:cs="Times New Roman"/>
                <w:color w:val="auto"/>
                <w:sz w:val="24"/>
              </w:rPr>
              <w:t>）、二氧化氮（NO</w:t>
            </w:r>
            <w:r>
              <w:rPr>
                <w:rFonts w:hint="default" w:ascii="Times New Roman" w:hAnsi="Times New Roman" w:eastAsia="宋体" w:cs="Times New Roman"/>
                <w:color w:val="auto"/>
                <w:sz w:val="24"/>
                <w:vertAlign w:val="subscript"/>
              </w:rPr>
              <w:t>2</w:t>
            </w:r>
            <w:r>
              <w:rPr>
                <w:rFonts w:hint="default" w:ascii="Times New Roman" w:hAnsi="Times New Roman" w:eastAsia="宋体" w:cs="Times New Roman"/>
                <w:color w:val="auto"/>
                <w:sz w:val="24"/>
              </w:rPr>
              <w:t>）、一氧化碳（CO）和臭氧（O</w:t>
            </w:r>
            <w:r>
              <w:rPr>
                <w:rFonts w:hint="default" w:ascii="Times New Roman" w:hAnsi="Times New Roman" w:eastAsia="宋体" w:cs="Times New Roman"/>
                <w:color w:val="auto"/>
                <w:sz w:val="24"/>
                <w:vertAlign w:val="subscript"/>
              </w:rPr>
              <w:t>3</w:t>
            </w:r>
            <w:r>
              <w:rPr>
                <w:rFonts w:hint="default" w:ascii="Times New Roman" w:hAnsi="Times New Roman" w:eastAsia="宋体" w:cs="Times New Roman"/>
                <w:color w:val="auto"/>
                <w:sz w:val="24"/>
              </w:rPr>
              <w:t>）浓度年均浓度分别为36微克/立方米、58微克/立方米、8微克/立方米、25微克/立方米、1.0毫克/立方米、158微克/立方米。</w:t>
            </w:r>
            <w:r>
              <w:rPr>
                <w:rFonts w:hint="default" w:ascii="Times New Roman" w:hAnsi="Times New Roman" w:eastAsia="宋体" w:cs="Times New Roman"/>
                <w:color w:val="auto"/>
                <w:kern w:val="0"/>
                <w:sz w:val="24"/>
              </w:rPr>
              <w:t>与2022年相比，O</w:t>
            </w:r>
            <w:r>
              <w:rPr>
                <w:rFonts w:hint="default" w:ascii="Times New Roman" w:hAnsi="Times New Roman" w:eastAsia="宋体" w:cs="Times New Roman"/>
                <w:color w:val="auto"/>
                <w:kern w:val="0"/>
                <w:sz w:val="24"/>
                <w:vertAlign w:val="subscript"/>
              </w:rPr>
              <w:t>3</w:t>
            </w:r>
            <w:r>
              <w:rPr>
                <w:rFonts w:hint="default" w:ascii="Times New Roman" w:hAnsi="Times New Roman" w:eastAsia="宋体" w:cs="Times New Roman"/>
                <w:color w:val="auto"/>
                <w:kern w:val="0"/>
                <w:sz w:val="24"/>
              </w:rPr>
              <w:t>污染有所改善，O</w:t>
            </w:r>
            <w:r>
              <w:rPr>
                <w:rFonts w:hint="default" w:ascii="Times New Roman" w:hAnsi="Times New Roman" w:eastAsia="宋体" w:cs="Times New Roman"/>
                <w:color w:val="auto"/>
                <w:kern w:val="0"/>
                <w:sz w:val="24"/>
                <w:vertAlign w:val="subscript"/>
              </w:rPr>
              <w:t>3</w:t>
            </w:r>
            <w:r>
              <w:rPr>
                <w:rFonts w:hint="default" w:ascii="Times New Roman" w:hAnsi="Times New Roman" w:eastAsia="宋体" w:cs="Times New Roman"/>
                <w:color w:val="auto"/>
                <w:kern w:val="0"/>
                <w:sz w:val="24"/>
              </w:rPr>
              <w:t>为首要污染物的超标天减少3天，PM</w:t>
            </w:r>
            <w:r>
              <w:rPr>
                <w:rFonts w:hint="default" w:ascii="Times New Roman" w:hAnsi="Times New Roman" w:eastAsia="宋体" w:cs="Times New Roman"/>
                <w:color w:val="auto"/>
                <w:kern w:val="0"/>
                <w:sz w:val="24"/>
                <w:vertAlign w:val="subscript"/>
              </w:rPr>
              <w:t>2.5</w:t>
            </w:r>
            <w:r>
              <w:rPr>
                <w:rFonts w:hint="default" w:ascii="Times New Roman" w:hAnsi="Times New Roman" w:eastAsia="宋体" w:cs="Times New Roman"/>
                <w:color w:val="auto"/>
                <w:kern w:val="0"/>
                <w:sz w:val="24"/>
              </w:rPr>
              <w:t>浓度有所反弹，PM</w:t>
            </w:r>
            <w:r>
              <w:rPr>
                <w:rFonts w:hint="default" w:ascii="Times New Roman" w:hAnsi="Times New Roman" w:eastAsia="宋体" w:cs="Times New Roman"/>
                <w:color w:val="auto"/>
                <w:kern w:val="0"/>
                <w:sz w:val="24"/>
                <w:vertAlign w:val="subscript"/>
              </w:rPr>
              <w:t>2.5</w:t>
            </w:r>
            <w:r>
              <w:rPr>
                <w:rFonts w:hint="default" w:ascii="Times New Roman" w:hAnsi="Times New Roman" w:eastAsia="宋体" w:cs="Times New Roman"/>
                <w:color w:val="auto"/>
                <w:kern w:val="0"/>
                <w:sz w:val="24"/>
              </w:rPr>
              <w:t>为首要污染物的超标天增加7天。PM</w:t>
            </w:r>
            <w:r>
              <w:rPr>
                <w:rFonts w:hint="default" w:ascii="Times New Roman" w:hAnsi="Times New Roman" w:eastAsia="宋体" w:cs="Times New Roman"/>
                <w:color w:val="auto"/>
                <w:kern w:val="0"/>
                <w:sz w:val="24"/>
                <w:vertAlign w:val="subscript"/>
              </w:rPr>
              <w:t>10</w:t>
            </w:r>
            <w:r>
              <w:rPr>
                <w:rFonts w:hint="default" w:ascii="Times New Roman" w:hAnsi="Times New Roman" w:eastAsia="宋体" w:cs="Times New Roman"/>
                <w:color w:val="auto"/>
                <w:kern w:val="0"/>
                <w:sz w:val="24"/>
              </w:rPr>
              <w:t>、SO</w:t>
            </w:r>
            <w:r>
              <w:rPr>
                <w:rFonts w:hint="default" w:ascii="Times New Roman" w:hAnsi="Times New Roman" w:eastAsia="宋体" w:cs="Times New Roman"/>
                <w:color w:val="auto"/>
                <w:kern w:val="0"/>
                <w:sz w:val="24"/>
                <w:vertAlign w:val="subscript"/>
              </w:rPr>
              <w:t>2</w:t>
            </w:r>
            <w:r>
              <w:rPr>
                <w:rFonts w:hint="default" w:ascii="Times New Roman" w:hAnsi="Times New Roman" w:eastAsia="宋体" w:cs="Times New Roman"/>
                <w:color w:val="auto"/>
                <w:kern w:val="0"/>
                <w:sz w:val="24"/>
              </w:rPr>
              <w:t>、O</w:t>
            </w:r>
            <w:r>
              <w:rPr>
                <w:rFonts w:hint="default" w:ascii="Times New Roman" w:hAnsi="Times New Roman" w:eastAsia="宋体" w:cs="Times New Roman"/>
                <w:color w:val="auto"/>
                <w:kern w:val="0"/>
                <w:sz w:val="24"/>
                <w:vertAlign w:val="subscript"/>
              </w:rPr>
              <w:t>3</w:t>
            </w:r>
            <w:r>
              <w:rPr>
                <w:rFonts w:hint="default" w:ascii="Times New Roman" w:hAnsi="Times New Roman" w:eastAsia="宋体" w:cs="Times New Roman"/>
                <w:color w:val="auto"/>
                <w:kern w:val="0"/>
                <w:sz w:val="24"/>
              </w:rPr>
              <w:t>降幅分别为3.3%、11.1%、0.6%。可吸入颗粒物（PM</w:t>
            </w:r>
            <w:r>
              <w:rPr>
                <w:rFonts w:hint="default" w:ascii="Times New Roman" w:hAnsi="Times New Roman" w:eastAsia="宋体" w:cs="Times New Roman"/>
                <w:color w:val="auto"/>
                <w:kern w:val="0"/>
                <w:sz w:val="24"/>
                <w:vertAlign w:val="subscript"/>
              </w:rPr>
              <w:t>10</w:t>
            </w:r>
            <w:r>
              <w:rPr>
                <w:rFonts w:hint="default" w:ascii="Times New Roman" w:hAnsi="Times New Roman" w:eastAsia="宋体" w:cs="Times New Roman"/>
                <w:color w:val="auto"/>
                <w:kern w:val="0"/>
                <w:sz w:val="24"/>
              </w:rPr>
              <w:t>）、二氧化硫（SO</w:t>
            </w:r>
            <w:r>
              <w:rPr>
                <w:rFonts w:hint="default" w:ascii="Times New Roman" w:hAnsi="Times New Roman" w:eastAsia="宋体" w:cs="Times New Roman"/>
                <w:color w:val="auto"/>
                <w:kern w:val="0"/>
                <w:sz w:val="24"/>
                <w:vertAlign w:val="subscript"/>
              </w:rPr>
              <w:t>2</w:t>
            </w:r>
            <w:r>
              <w:rPr>
                <w:rFonts w:hint="default" w:ascii="Times New Roman" w:hAnsi="Times New Roman" w:eastAsia="宋体" w:cs="Times New Roman"/>
                <w:color w:val="auto"/>
                <w:kern w:val="0"/>
                <w:sz w:val="24"/>
              </w:rPr>
              <w:t>）、二氧化氮（NO</w:t>
            </w:r>
            <w:r>
              <w:rPr>
                <w:rFonts w:hint="default" w:ascii="Times New Roman" w:hAnsi="Times New Roman" w:eastAsia="宋体" w:cs="Times New Roman"/>
                <w:color w:val="auto"/>
                <w:kern w:val="0"/>
                <w:sz w:val="24"/>
                <w:vertAlign w:val="subscript"/>
              </w:rPr>
              <w:t>2</w:t>
            </w:r>
            <w:r>
              <w:rPr>
                <w:rFonts w:hint="default" w:ascii="Times New Roman" w:hAnsi="Times New Roman" w:eastAsia="宋体" w:cs="Times New Roman"/>
                <w:color w:val="auto"/>
                <w:kern w:val="0"/>
                <w:sz w:val="24"/>
              </w:rPr>
              <w:t>）、一氧化碳（CO）和臭氧（O</w:t>
            </w:r>
            <w:r>
              <w:rPr>
                <w:rFonts w:hint="default" w:ascii="Times New Roman" w:hAnsi="Times New Roman" w:eastAsia="宋体" w:cs="Times New Roman"/>
                <w:color w:val="auto"/>
                <w:kern w:val="0"/>
                <w:sz w:val="24"/>
                <w:vertAlign w:val="subscript"/>
              </w:rPr>
              <w:t>3</w:t>
            </w:r>
            <w:r>
              <w:rPr>
                <w:rFonts w:hint="default" w:ascii="Times New Roman" w:hAnsi="Times New Roman" w:eastAsia="宋体" w:cs="Times New Roman"/>
                <w:color w:val="auto"/>
                <w:kern w:val="0"/>
                <w:sz w:val="24"/>
              </w:rPr>
              <w:t>）污染物浓度达到国家二级标准。</w:t>
            </w:r>
          </w:p>
          <w:p w14:paraId="0841931D">
            <w:pPr>
              <w:keepNext w:val="0"/>
              <w:keepLines w:val="0"/>
              <w:pageBreakBefore w:val="0"/>
              <w:suppressLineNumbers w:val="0"/>
              <w:kinsoku/>
              <w:wordWrap/>
              <w:overflowPunct/>
              <w:topLinePunct w:val="0"/>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kern w:val="0"/>
                <w:sz w:val="24"/>
              </w:rPr>
            </w:pPr>
            <w:r>
              <w:rPr>
                <w:rFonts w:hint="default" w:ascii="Times New Roman" w:hAnsi="Times New Roman" w:eastAsia="宋体" w:cs="Times New Roman"/>
                <w:color w:val="auto"/>
                <w:kern w:val="0"/>
                <w:sz w:val="24"/>
              </w:rPr>
              <w:t>随着《淮安市2024年大气污染防治工作计划》、《市生态环境局“十四五”主要污染物减排实施方案》（淮环发[2023]150号）等防治计划的落实，淮安市持续开展空气质量改善行动以及“开展三源整治、留住蓝天白云”扬尘管控集中整治行动，深入推进“48小时+12天”大气环境质量改善专项攻坚，预期淮安市环境空气质量状况会进一步改善。</w:t>
            </w:r>
          </w:p>
          <w:p w14:paraId="1B650EC7">
            <w:pPr>
              <w:keepNext w:val="0"/>
              <w:keepLines w:val="0"/>
              <w:pageBreakBefore w:val="0"/>
              <w:suppressLineNumbers w:val="0"/>
              <w:kinsoku/>
              <w:wordWrap/>
              <w:overflowPunct/>
              <w:topLinePunct w:val="0"/>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根据引用的现状监测数据</w:t>
            </w:r>
            <w:r>
              <w:rPr>
                <w:rFonts w:hint="default" w:ascii="Times New Roman" w:hAnsi="Times New Roman" w:eastAsia="宋体" w:cs="Times New Roman"/>
                <w:color w:val="auto"/>
                <w:sz w:val="24"/>
                <w:lang w:val="en-US" w:eastAsia="zh-CN"/>
              </w:rPr>
              <w:t>可知</w:t>
            </w:r>
            <w:r>
              <w:rPr>
                <w:rFonts w:hint="default" w:ascii="Times New Roman" w:hAnsi="Times New Roman" w:eastAsia="宋体" w:cs="Times New Roman"/>
                <w:color w:val="auto"/>
                <w:sz w:val="24"/>
              </w:rPr>
              <w:t>，</w:t>
            </w:r>
            <w:r>
              <w:rPr>
                <w:rFonts w:hint="default" w:ascii="Times New Roman" w:hAnsi="Times New Roman" w:eastAsia="宋体" w:cs="Times New Roman"/>
                <w:color w:val="auto"/>
                <w:sz w:val="24"/>
                <w:lang w:val="en-US" w:eastAsia="zh-CN"/>
              </w:rPr>
              <w:t>TSP</w:t>
            </w:r>
            <w:r>
              <w:rPr>
                <w:rFonts w:hint="default" w:ascii="Times New Roman" w:hAnsi="Times New Roman" w:eastAsia="宋体" w:cs="Times New Roman"/>
                <w:color w:val="auto"/>
                <w:sz w:val="24"/>
              </w:rPr>
              <w:t>环境质量现状浓度达标。</w:t>
            </w:r>
          </w:p>
          <w:p w14:paraId="75585A5E">
            <w:pPr>
              <w:pStyle w:val="37"/>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kern w:val="2"/>
                <w:lang w:val="en-US" w:eastAsia="zh-CN"/>
              </w:rPr>
            </w:pPr>
            <w:r>
              <w:rPr>
                <w:rFonts w:hint="default" w:ascii="Times New Roman" w:hAnsi="Times New Roman" w:eastAsia="宋体" w:cs="Times New Roman"/>
                <w:color w:val="auto"/>
                <w:kern w:val="2"/>
                <w:sz w:val="24"/>
                <w:lang w:val="en-US" w:eastAsia="zh-CN"/>
              </w:rPr>
              <w:t>②地表水环境</w:t>
            </w:r>
          </w:p>
          <w:p w14:paraId="4370E127">
            <w:pPr>
              <w:keepNext w:val="0"/>
              <w:keepLines w:val="0"/>
              <w:pageBreakBefore w:val="0"/>
              <w:suppressLineNumbers w:val="0"/>
              <w:kinsoku/>
              <w:wordWrap/>
              <w:overflowPunct/>
              <w:topLinePunct w:val="0"/>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Cs/>
                <w:color w:val="auto"/>
                <w:sz w:val="24"/>
              </w:rPr>
            </w:pPr>
            <w:r>
              <w:rPr>
                <w:rFonts w:hint="default" w:ascii="Times New Roman" w:hAnsi="Times New Roman" w:eastAsia="宋体" w:cs="Times New Roman"/>
                <w:bCs/>
                <w:color w:val="auto"/>
                <w:sz w:val="24"/>
              </w:rPr>
              <w:t>根据《2023年淮安市生态环境状况公报》：纳入“十四五”国家地表水环境质量考核的11个国考断面中，年均水质达到或好于Ⅲ类标准的断面9个（Ⅱ类断面4个），优Ⅲ比例81.8%，达标率100%，无V类和劣V类断面。纳入江苏省“十四五”水环境质量目标考核的57个断面中水质达到或好于III类标准的断面有53个，优Ⅲ比例93%，达标率100%，无V类和劣V类断面。</w:t>
            </w:r>
            <w:r>
              <w:rPr>
                <w:rFonts w:hint="default" w:ascii="Times New Roman" w:hAnsi="Times New Roman" w:eastAsia="宋体" w:cs="Times New Roman"/>
                <w:color w:val="auto"/>
                <w:kern w:val="0"/>
                <w:sz w:val="24"/>
              </w:rPr>
              <w:t>2023年，盐河水质状况为优。</w:t>
            </w:r>
          </w:p>
          <w:p w14:paraId="3016C44A">
            <w:pPr>
              <w:keepNext w:val="0"/>
              <w:keepLines w:val="0"/>
              <w:pageBreakBefore w:val="0"/>
              <w:widowControl/>
              <w:suppressLineNumbers w:val="0"/>
              <w:kinsoku/>
              <w:wordWrap/>
              <w:overflowPunct/>
              <w:topLinePunct w:val="0"/>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③声环境</w:t>
            </w:r>
          </w:p>
          <w:p w14:paraId="207C9D1A">
            <w:pPr>
              <w:keepNext w:val="0"/>
              <w:keepLines w:val="0"/>
              <w:pageBreakBefore w:val="0"/>
              <w:suppressLineNumbers w:val="0"/>
              <w:kinsoku/>
              <w:wordWrap/>
              <w:overflowPunct/>
              <w:topLinePunct w:val="0"/>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根据《2023年淮安市生态环境状况公报》，2023年，淮安市声环境总体较好，全市各功能区昼夜噪声均达标。全市区域环境昼间噪声均值为55.1dB（A），夜间均值为45.3dB（A），同比均有所改善；全市昼间交通噪声均值为65.4dB（A），夜间交通噪声均值为55.4dB（A），均保持稳定，处于“好”水平。</w:t>
            </w:r>
          </w:p>
          <w:p w14:paraId="50399EB7">
            <w:pPr>
              <w:keepNext w:val="0"/>
              <w:keepLines w:val="0"/>
              <w:pageBreakBefore w:val="0"/>
              <w:suppressLineNumbers w:val="0"/>
              <w:kinsoku/>
              <w:wordWrap/>
              <w:overflowPunct/>
              <w:topLinePunct w:val="0"/>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kern w:val="0"/>
                <w:sz w:val="24"/>
              </w:rPr>
            </w:pPr>
            <w:r>
              <w:rPr>
                <w:rFonts w:hint="default" w:ascii="Times New Roman" w:hAnsi="Times New Roman" w:eastAsia="宋体" w:cs="Times New Roman"/>
                <w:color w:val="auto"/>
                <w:sz w:val="24"/>
                <w:lang w:eastAsia="zh-CN"/>
              </w:rPr>
              <w:t>项目</w:t>
            </w:r>
            <w:r>
              <w:rPr>
                <w:rFonts w:hint="default" w:ascii="Times New Roman" w:hAnsi="Times New Roman" w:eastAsia="宋体" w:cs="Times New Roman"/>
                <w:color w:val="auto"/>
                <w:kern w:val="0"/>
                <w:sz w:val="24"/>
                <w:szCs w:val="28"/>
              </w:rPr>
              <w:t>厂界外周边50米范围内不涉及声环境敏感保护目标</w:t>
            </w:r>
            <w:r>
              <w:rPr>
                <w:rFonts w:hint="default" w:ascii="Times New Roman" w:hAnsi="Times New Roman" w:eastAsia="宋体" w:cs="Times New Roman"/>
                <w:color w:val="auto"/>
                <w:kern w:val="0"/>
                <w:sz w:val="24"/>
              </w:rPr>
              <w:t>。</w:t>
            </w:r>
          </w:p>
          <w:p w14:paraId="249DFA39">
            <w:pPr>
              <w:keepNext w:val="0"/>
              <w:keepLines w:val="0"/>
              <w:pageBreakBefore w:val="0"/>
              <w:suppressLineNumbers w:val="0"/>
              <w:kinsoku/>
              <w:wordWrap/>
              <w:overflowPunct/>
              <w:topLinePunct w:val="0"/>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lang w:eastAsia="zh-CN"/>
              </w:rPr>
              <w:t>建设项目</w:t>
            </w:r>
            <w:r>
              <w:rPr>
                <w:rFonts w:hint="default" w:ascii="Times New Roman" w:hAnsi="Times New Roman" w:eastAsia="宋体" w:cs="Times New Roman"/>
                <w:color w:val="auto"/>
                <w:sz w:val="24"/>
              </w:rPr>
              <w:t>废气、废水、噪声等经有效处理后，对环境影响较小，不会改变环境质量现状。</w:t>
            </w:r>
          </w:p>
          <w:p w14:paraId="526CCC92">
            <w:pPr>
              <w:keepNext w:val="0"/>
              <w:keepLines w:val="0"/>
              <w:suppressLineNumbers w:val="0"/>
              <w:spacing w:before="0" w:beforeAutospacing="0" w:after="0" w:afterAutospacing="0"/>
              <w:ind w:left="0" w:right="0" w:firstLine="480"/>
              <w:rPr>
                <w:rFonts w:hint="default" w:ascii="Times New Roman" w:hAnsi="Times New Roman" w:eastAsia="宋体" w:cs="Times New Roman"/>
                <w:color w:val="auto"/>
              </w:rPr>
            </w:pPr>
            <w:r>
              <w:rPr>
                <w:rFonts w:hint="default" w:ascii="Times New Roman" w:hAnsi="Times New Roman" w:eastAsia="宋体" w:cs="Times New Roman"/>
                <w:color w:val="auto"/>
                <w:sz w:val="24"/>
              </w:rPr>
              <w:t>因此</w:t>
            </w:r>
            <w:r>
              <w:rPr>
                <w:rFonts w:hint="default" w:ascii="Times New Roman" w:hAnsi="Times New Roman" w:eastAsia="宋体" w:cs="Times New Roman"/>
                <w:color w:val="auto"/>
                <w:sz w:val="24"/>
                <w:lang w:val="en-US" w:eastAsia="zh-CN"/>
              </w:rPr>
              <w:t>建设</w:t>
            </w:r>
            <w:r>
              <w:rPr>
                <w:rFonts w:hint="default" w:ascii="Times New Roman" w:hAnsi="Times New Roman" w:eastAsia="宋体" w:cs="Times New Roman"/>
                <w:color w:val="auto"/>
                <w:sz w:val="24"/>
              </w:rPr>
              <w:t>项目的建设符合环境质量底线要求</w:t>
            </w:r>
            <w:r>
              <w:rPr>
                <w:rFonts w:hint="default" w:ascii="Times New Roman" w:hAnsi="Times New Roman" w:eastAsia="宋体" w:cs="Times New Roman"/>
                <w:color w:val="auto"/>
              </w:rPr>
              <w:t>。</w:t>
            </w:r>
          </w:p>
          <w:p w14:paraId="1287A26A">
            <w:pPr>
              <w:keepNext w:val="0"/>
              <w:keepLines w:val="0"/>
              <w:suppressLineNumbers w:val="0"/>
              <w:spacing w:before="0" w:beforeAutospacing="0" w:after="0" w:afterAutospacing="0"/>
              <w:ind w:left="0" w:right="0" w:firstLine="480"/>
              <w:rPr>
                <w:rFonts w:hint="default" w:ascii="Times New Roman" w:hAnsi="Times New Roman" w:eastAsia="宋体" w:cs="Times New Roman"/>
                <w:color w:val="auto"/>
              </w:rPr>
            </w:pPr>
            <w:r>
              <w:rPr>
                <w:rFonts w:hint="default" w:ascii="Times New Roman" w:hAnsi="Times New Roman" w:eastAsia="宋体" w:cs="Times New Roman"/>
                <w:color w:val="auto"/>
              </w:rPr>
              <w:t>（3）资源利用上线</w:t>
            </w:r>
          </w:p>
          <w:p w14:paraId="1A86A675">
            <w:pPr>
              <w:keepNext w:val="0"/>
              <w:keepLines w:val="0"/>
              <w:suppressLineNumbers w:val="0"/>
              <w:spacing w:before="0" w:beforeAutospacing="0" w:after="0" w:afterAutospacing="0"/>
              <w:ind w:left="0" w:right="0" w:firstLine="480"/>
              <w:rPr>
                <w:rFonts w:hint="default" w:ascii="Times New Roman" w:hAnsi="Times New Roman" w:eastAsia="宋体" w:cs="Times New Roman"/>
                <w:color w:val="auto"/>
                <w:sz w:val="24"/>
                <w:szCs w:val="24"/>
                <w:lang w:val="en-US" w:eastAsia="zh-CN"/>
              </w:rPr>
            </w:pPr>
            <w:r>
              <w:rPr>
                <w:rFonts w:hint="eastAsia" w:cs="Times New Roman"/>
                <w:color w:val="auto"/>
                <w:sz w:val="24"/>
                <w:szCs w:val="24"/>
                <w:highlight w:val="none"/>
                <w:lang w:val="en-US" w:eastAsia="zh-CN"/>
              </w:rPr>
              <w:t>拟建</w:t>
            </w:r>
            <w:r>
              <w:rPr>
                <w:rFonts w:hint="default" w:ascii="Times New Roman" w:hAnsi="Times New Roman" w:eastAsia="宋体" w:cs="Times New Roman"/>
                <w:color w:val="auto"/>
                <w:sz w:val="24"/>
                <w:szCs w:val="24"/>
                <w:highlight w:val="none"/>
                <w:lang w:val="en-US" w:eastAsia="zh-CN"/>
              </w:rPr>
              <w:t>项目位于</w:t>
            </w:r>
            <w:r>
              <w:rPr>
                <w:rFonts w:hint="default" w:ascii="Times New Roman" w:hAnsi="Times New Roman" w:eastAsia="宋体" w:cs="Times New Roman"/>
                <w:color w:val="auto"/>
                <w:sz w:val="24"/>
                <w:szCs w:val="24"/>
                <w:u w:val="none"/>
              </w:rPr>
              <w:t>淮安高新技术产业开发区</w:t>
            </w:r>
            <w:r>
              <w:rPr>
                <w:rFonts w:hint="default" w:ascii="Times New Roman" w:hAnsi="Times New Roman" w:eastAsia="宋体" w:cs="Times New Roman"/>
                <w:color w:val="auto"/>
                <w:sz w:val="24"/>
                <w:szCs w:val="24"/>
                <w:highlight w:val="none"/>
                <w:lang w:val="en-US" w:eastAsia="zh-CN"/>
              </w:rPr>
              <w:t>，</w:t>
            </w:r>
            <w:r>
              <w:rPr>
                <w:rFonts w:hint="eastAsia" w:cs="Times New Roman"/>
                <w:color w:val="auto"/>
                <w:sz w:val="24"/>
                <w:szCs w:val="24"/>
                <w:highlight w:val="none"/>
                <w:lang w:val="en-US" w:eastAsia="zh-CN"/>
              </w:rPr>
              <w:t>项目用地属于工业用地，</w:t>
            </w:r>
            <w:r>
              <w:rPr>
                <w:rFonts w:hint="default" w:ascii="Times New Roman" w:hAnsi="Times New Roman" w:eastAsia="宋体" w:cs="Times New Roman"/>
                <w:color w:val="auto"/>
                <w:sz w:val="24"/>
                <w:szCs w:val="24"/>
                <w:highlight w:val="none"/>
              </w:rPr>
              <w:t>不会达到</w:t>
            </w:r>
            <w:r>
              <w:rPr>
                <w:rFonts w:hint="eastAsia" w:cs="Times New Roman"/>
                <w:color w:val="auto"/>
                <w:sz w:val="24"/>
                <w:szCs w:val="24"/>
                <w:highlight w:val="none"/>
                <w:lang w:eastAsia="zh-CN"/>
              </w:rPr>
              <w:t>用地</w:t>
            </w:r>
            <w:r>
              <w:rPr>
                <w:rFonts w:hint="default" w:ascii="Times New Roman" w:hAnsi="Times New Roman" w:eastAsia="宋体" w:cs="Times New Roman"/>
                <w:color w:val="auto"/>
                <w:sz w:val="24"/>
                <w:szCs w:val="24"/>
                <w:highlight w:val="none"/>
              </w:rPr>
              <w:t>资源利用上线</w:t>
            </w:r>
            <w:r>
              <w:rPr>
                <w:rFonts w:hint="default" w:ascii="Times New Roman" w:hAnsi="Times New Roman" w:eastAsia="宋体" w:cs="Times New Roman"/>
                <w:color w:val="auto"/>
                <w:sz w:val="24"/>
                <w:szCs w:val="24"/>
                <w:highlight w:val="none"/>
                <w:lang w:eastAsia="zh-CN"/>
              </w:rPr>
              <w:t>要求</w:t>
            </w:r>
            <w:r>
              <w:rPr>
                <w:rFonts w:hint="default" w:ascii="Times New Roman" w:hAnsi="Times New Roman" w:eastAsia="宋体" w:cs="Times New Roman"/>
                <w:color w:val="auto"/>
                <w:sz w:val="24"/>
                <w:szCs w:val="24"/>
                <w:highlight w:val="none"/>
              </w:rPr>
              <w:t>；</w:t>
            </w:r>
            <w:r>
              <w:rPr>
                <w:rFonts w:hint="eastAsia" w:cs="Times New Roman"/>
                <w:color w:val="auto"/>
                <w:sz w:val="24"/>
                <w:szCs w:val="24"/>
                <w:highlight w:val="none"/>
                <w:lang w:eastAsia="zh-CN"/>
              </w:rPr>
              <w:t>拟建</w:t>
            </w:r>
            <w:r>
              <w:rPr>
                <w:rFonts w:hint="default" w:ascii="Times New Roman" w:hAnsi="Times New Roman" w:eastAsia="宋体" w:cs="Times New Roman"/>
                <w:color w:val="auto"/>
                <w:sz w:val="24"/>
                <w:szCs w:val="24"/>
                <w:highlight w:val="none"/>
              </w:rPr>
              <w:t>项目</w:t>
            </w:r>
            <w:r>
              <w:rPr>
                <w:rFonts w:hint="default" w:ascii="Times New Roman" w:hAnsi="Times New Roman" w:eastAsia="宋体" w:cs="Times New Roman"/>
                <w:color w:val="auto"/>
                <w:sz w:val="24"/>
                <w:szCs w:val="24"/>
                <w:highlight w:val="none"/>
                <w:lang w:eastAsia="zh-CN"/>
              </w:rPr>
              <w:t>新增</w:t>
            </w:r>
            <w:r>
              <w:rPr>
                <w:rFonts w:hint="default" w:ascii="Times New Roman" w:hAnsi="Times New Roman" w:eastAsia="宋体" w:cs="Times New Roman"/>
                <w:color w:val="auto"/>
                <w:sz w:val="24"/>
                <w:szCs w:val="24"/>
                <w:highlight w:val="none"/>
              </w:rPr>
              <w:t>用电量</w:t>
            </w:r>
            <w:r>
              <w:rPr>
                <w:rFonts w:hint="eastAsia" w:cs="Times New Roman"/>
                <w:color w:val="auto"/>
                <w:sz w:val="24"/>
                <w:szCs w:val="24"/>
                <w:highlight w:val="none"/>
                <w:lang w:val="en-US" w:eastAsia="zh-CN"/>
              </w:rPr>
              <w:t>2</w:t>
            </w:r>
            <w:r>
              <w:rPr>
                <w:rFonts w:hint="default" w:ascii="Times New Roman" w:hAnsi="Times New Roman" w:eastAsia="宋体" w:cs="Times New Roman"/>
                <w:color w:val="auto"/>
                <w:sz w:val="24"/>
                <w:szCs w:val="24"/>
                <w:highlight w:val="none"/>
              </w:rPr>
              <w:t>万度，用电由市政供电管网提供，不会达到资源利用上线</w:t>
            </w:r>
            <w:r>
              <w:rPr>
                <w:rFonts w:hint="default" w:ascii="Times New Roman" w:hAnsi="Times New Roman" w:eastAsia="宋体" w:cs="Times New Roman"/>
                <w:color w:val="auto"/>
                <w:sz w:val="24"/>
                <w:szCs w:val="24"/>
                <w:highlight w:val="none"/>
                <w:lang w:eastAsia="zh-CN"/>
              </w:rPr>
              <w:t>要求</w:t>
            </w:r>
            <w:r>
              <w:rPr>
                <w:rFonts w:hint="default" w:ascii="Times New Roman" w:hAnsi="Times New Roman" w:eastAsia="宋体" w:cs="Times New Roman"/>
                <w:color w:val="auto"/>
                <w:sz w:val="24"/>
                <w:szCs w:val="24"/>
                <w:highlight w:val="none"/>
              </w:rPr>
              <w:t>；</w:t>
            </w:r>
            <w:r>
              <w:rPr>
                <w:rFonts w:hint="eastAsia" w:ascii="Times New Roman" w:hAnsi="Times New Roman" w:cs="Times New Roman"/>
                <w:color w:val="auto"/>
                <w:sz w:val="24"/>
                <w:highlight w:val="none"/>
                <w:lang w:eastAsia="zh-CN"/>
              </w:rPr>
              <w:t>拟建</w:t>
            </w:r>
            <w:r>
              <w:rPr>
                <w:rFonts w:hint="eastAsia" w:cs="Times New Roman"/>
                <w:color w:val="auto"/>
                <w:sz w:val="24"/>
                <w:highlight w:val="none"/>
                <w:lang w:eastAsia="zh-CN"/>
              </w:rPr>
              <w:t>建成后</w:t>
            </w:r>
            <w:r>
              <w:rPr>
                <w:rFonts w:hint="default" w:ascii="Times New Roman" w:hAnsi="Times New Roman" w:cs="Times New Roman"/>
                <w:color w:val="auto"/>
                <w:sz w:val="24"/>
                <w:highlight w:val="none"/>
              </w:rPr>
              <w:t>年用新鲜水</w:t>
            </w:r>
            <w:r>
              <w:rPr>
                <w:rFonts w:hint="eastAsia" w:ascii="Times New Roman" w:hAnsi="Times New Roman" w:cs="Times New Roman"/>
                <w:color w:val="auto"/>
                <w:sz w:val="24"/>
                <w:highlight w:val="none"/>
                <w:lang w:val="en-US" w:eastAsia="zh-CN"/>
              </w:rPr>
              <w:t>250t/a</w:t>
            </w:r>
            <w:r>
              <w:rPr>
                <w:rFonts w:hint="default" w:ascii="Times New Roman" w:hAnsi="Times New Roman" w:cs="Times New Roman"/>
                <w:color w:val="auto"/>
                <w:sz w:val="24"/>
                <w:highlight w:val="none"/>
              </w:rPr>
              <w:t>，</w:t>
            </w:r>
            <w:r>
              <w:rPr>
                <w:rFonts w:hint="eastAsia" w:cs="Times New Roman"/>
                <w:color w:val="auto"/>
                <w:sz w:val="24"/>
                <w:highlight w:val="none"/>
                <w:lang w:eastAsia="zh-CN"/>
              </w:rPr>
              <w:t>由</w:t>
            </w:r>
            <w:r>
              <w:rPr>
                <w:rFonts w:hint="default" w:ascii="Times New Roman" w:hAnsi="Times New Roman" w:cs="Times New Roman"/>
                <w:color w:val="auto"/>
                <w:sz w:val="24"/>
                <w:highlight w:val="none"/>
              </w:rPr>
              <w:t>市政供水管网</w:t>
            </w:r>
            <w:r>
              <w:rPr>
                <w:rFonts w:hint="eastAsia" w:cs="Times New Roman"/>
                <w:color w:val="auto"/>
                <w:sz w:val="24"/>
                <w:highlight w:val="none"/>
                <w:lang w:eastAsia="zh-CN"/>
              </w:rPr>
              <w:t>供给</w:t>
            </w:r>
            <w:r>
              <w:rPr>
                <w:rFonts w:hint="default" w:ascii="Times New Roman" w:hAnsi="Times New Roman" w:cs="Times New Roman"/>
                <w:color w:val="auto"/>
                <w:sz w:val="24"/>
                <w:highlight w:val="none"/>
              </w:rPr>
              <w:t>，不会达到</w:t>
            </w:r>
            <w:r>
              <w:rPr>
                <w:rFonts w:hint="eastAsia" w:ascii="Times New Roman" w:hAnsi="Times New Roman" w:cs="Times New Roman"/>
                <w:color w:val="auto"/>
                <w:sz w:val="24"/>
                <w:highlight w:val="none"/>
                <w:lang w:eastAsia="zh-CN"/>
              </w:rPr>
              <w:t>水</w:t>
            </w:r>
            <w:r>
              <w:rPr>
                <w:rFonts w:hint="default" w:ascii="Times New Roman" w:hAnsi="Times New Roman" w:cs="Times New Roman"/>
                <w:color w:val="auto"/>
                <w:sz w:val="24"/>
                <w:highlight w:val="none"/>
              </w:rPr>
              <w:t>资源利用上线</w:t>
            </w:r>
            <w:r>
              <w:rPr>
                <w:rFonts w:hint="eastAsia" w:cs="Times New Roman"/>
                <w:color w:val="auto"/>
                <w:sz w:val="24"/>
                <w:highlight w:val="none"/>
                <w:lang w:eastAsia="zh-CN"/>
              </w:rPr>
              <w:t>要求</w:t>
            </w:r>
            <w:r>
              <w:rPr>
                <w:rFonts w:hint="default" w:ascii="Times New Roman" w:hAnsi="Times New Roman" w:cs="Times New Roman"/>
                <w:color w:val="auto"/>
                <w:sz w:val="24"/>
                <w:highlight w:val="none"/>
              </w:rPr>
              <w:t>；</w:t>
            </w:r>
            <w:r>
              <w:rPr>
                <w:rFonts w:hint="eastAsia" w:cs="Times New Roman"/>
                <w:color w:val="auto"/>
                <w:sz w:val="24"/>
                <w:szCs w:val="24"/>
                <w:highlight w:val="none"/>
                <w:lang w:eastAsia="zh-CN"/>
              </w:rPr>
              <w:t>拟建</w:t>
            </w:r>
            <w:r>
              <w:rPr>
                <w:rFonts w:hint="default" w:ascii="Times New Roman" w:hAnsi="Times New Roman" w:eastAsia="宋体" w:cs="Times New Roman"/>
                <w:color w:val="auto"/>
                <w:sz w:val="24"/>
                <w:szCs w:val="24"/>
                <w:highlight w:val="none"/>
              </w:rPr>
              <w:t>项目</w:t>
            </w:r>
            <w:r>
              <w:rPr>
                <w:rFonts w:hint="default" w:ascii="Times New Roman" w:hAnsi="Times New Roman" w:eastAsia="宋体" w:cs="Times New Roman"/>
                <w:color w:val="auto"/>
                <w:sz w:val="24"/>
                <w:szCs w:val="24"/>
                <w:highlight w:val="none"/>
                <w:lang w:eastAsia="zh-CN"/>
              </w:rPr>
              <w:t>不涉及燃料的使用</w:t>
            </w:r>
            <w:r>
              <w:rPr>
                <w:rFonts w:hint="default" w:ascii="Times New Roman" w:hAnsi="Times New Roman" w:eastAsia="宋体" w:cs="Times New Roman"/>
                <w:color w:val="auto"/>
                <w:sz w:val="24"/>
                <w:szCs w:val="24"/>
                <w:highlight w:val="none"/>
              </w:rPr>
              <w:t>，不会达到资源利用上线</w:t>
            </w:r>
            <w:r>
              <w:rPr>
                <w:rFonts w:hint="default" w:ascii="Times New Roman" w:hAnsi="Times New Roman" w:eastAsia="宋体" w:cs="Times New Roman"/>
                <w:color w:val="auto"/>
                <w:sz w:val="24"/>
                <w:szCs w:val="24"/>
                <w:highlight w:val="none"/>
                <w:lang w:eastAsia="zh-CN"/>
              </w:rPr>
              <w:t>要求</w:t>
            </w:r>
            <w:r>
              <w:rPr>
                <w:rFonts w:hint="default" w:ascii="Times New Roman" w:hAnsi="Times New Roman" w:eastAsia="宋体" w:cs="Times New Roman"/>
                <w:color w:val="auto"/>
                <w:sz w:val="24"/>
                <w:szCs w:val="24"/>
                <w:lang w:val="en-US" w:eastAsia="zh-CN"/>
              </w:rPr>
              <w:t>。</w:t>
            </w:r>
          </w:p>
          <w:p w14:paraId="7331BCFF">
            <w:pPr>
              <w:keepNext w:val="0"/>
              <w:keepLines w:val="0"/>
              <w:suppressLineNumbers w:val="0"/>
              <w:spacing w:before="0" w:beforeAutospacing="0" w:after="0" w:afterAutospacing="0"/>
              <w:ind w:left="0" w:right="0" w:firstLine="480"/>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综上，</w:t>
            </w:r>
            <w:r>
              <w:rPr>
                <w:rFonts w:hint="default" w:ascii="Times New Roman" w:hAnsi="Times New Roman" w:eastAsia="宋体" w:cs="Times New Roman"/>
                <w:color w:val="auto"/>
              </w:rPr>
              <w:t>建设项目所用</w:t>
            </w:r>
            <w:r>
              <w:rPr>
                <w:rFonts w:hint="default" w:ascii="Times New Roman" w:hAnsi="Times New Roman" w:eastAsia="宋体" w:cs="Times New Roman"/>
                <w:color w:val="auto"/>
                <w:lang w:eastAsia="zh-CN"/>
              </w:rPr>
              <w:t>资源能源</w:t>
            </w:r>
            <w:r>
              <w:rPr>
                <w:rFonts w:hint="default" w:ascii="Times New Roman" w:hAnsi="Times New Roman" w:eastAsia="宋体" w:cs="Times New Roman"/>
                <w:color w:val="auto"/>
              </w:rPr>
              <w:t>，未从环境资源中直接获取，市场供应量充足；项目电能</w:t>
            </w:r>
            <w:r>
              <w:rPr>
                <w:rFonts w:hint="eastAsia" w:cs="Times New Roman"/>
                <w:color w:val="auto"/>
                <w:lang w:eastAsia="zh-CN"/>
              </w:rPr>
              <w:t>、新鲜水</w:t>
            </w:r>
            <w:r>
              <w:rPr>
                <w:rFonts w:hint="default" w:ascii="Times New Roman" w:hAnsi="Times New Roman" w:eastAsia="宋体" w:cs="Times New Roman"/>
                <w:color w:val="auto"/>
              </w:rPr>
              <w:t>来自市政供应，余量充足</w:t>
            </w:r>
            <w:r>
              <w:rPr>
                <w:rFonts w:hint="default" w:ascii="Times New Roman" w:hAnsi="Times New Roman" w:eastAsia="宋体" w:cs="Times New Roman"/>
                <w:color w:val="auto"/>
                <w:lang w:eastAsia="zh-CN"/>
              </w:rPr>
              <w:t>，</w:t>
            </w:r>
            <w:r>
              <w:rPr>
                <w:rFonts w:hint="default" w:ascii="Times New Roman" w:hAnsi="Times New Roman" w:eastAsia="宋体" w:cs="Times New Roman"/>
                <w:color w:val="auto"/>
              </w:rPr>
              <w:t>不会突破当地资源利用上线</w:t>
            </w:r>
            <w:r>
              <w:rPr>
                <w:rFonts w:hint="default" w:ascii="Times New Roman" w:hAnsi="Times New Roman" w:eastAsia="宋体" w:cs="Times New Roman"/>
                <w:color w:val="auto"/>
                <w:sz w:val="24"/>
                <w:lang w:eastAsia="zh-CN"/>
              </w:rPr>
              <w:t>的</w:t>
            </w:r>
            <w:r>
              <w:rPr>
                <w:rFonts w:hint="default" w:ascii="Times New Roman" w:hAnsi="Times New Roman" w:eastAsia="宋体" w:cs="Times New Roman"/>
                <w:color w:val="auto"/>
                <w:sz w:val="24"/>
                <w:lang w:val="en-US" w:eastAsia="zh-CN"/>
              </w:rPr>
              <w:t>要求</w:t>
            </w:r>
            <w:r>
              <w:rPr>
                <w:rFonts w:hint="default" w:ascii="Times New Roman" w:hAnsi="Times New Roman" w:eastAsia="宋体" w:cs="Times New Roman"/>
                <w:color w:val="auto"/>
              </w:rPr>
              <w:t>。</w:t>
            </w:r>
          </w:p>
          <w:p w14:paraId="25769541">
            <w:pPr>
              <w:keepNext w:val="0"/>
              <w:keepLines w:val="0"/>
              <w:suppressLineNumbers w:val="0"/>
              <w:spacing w:before="0" w:beforeAutospacing="0" w:after="0" w:afterAutospacing="0"/>
              <w:ind w:left="0" w:right="0" w:firstLine="480"/>
              <w:rPr>
                <w:rFonts w:hint="default" w:ascii="Times New Roman" w:hAnsi="Times New Roman" w:eastAsia="宋体" w:cs="Times New Roman"/>
                <w:color w:val="auto"/>
              </w:rPr>
            </w:pPr>
            <w:r>
              <w:rPr>
                <w:rFonts w:hint="default" w:ascii="Times New Roman" w:hAnsi="Times New Roman" w:eastAsia="宋体" w:cs="Times New Roman"/>
                <w:color w:val="auto"/>
              </w:rPr>
              <w:t>（4）</w:t>
            </w:r>
            <w:r>
              <w:rPr>
                <w:rFonts w:hint="default" w:ascii="Times New Roman" w:hAnsi="Times New Roman" w:eastAsia="宋体" w:cs="Times New Roman"/>
                <w:color w:val="auto"/>
                <w:lang w:val="en-US" w:eastAsia="zh-CN"/>
              </w:rPr>
              <w:t>生态</w:t>
            </w:r>
            <w:r>
              <w:rPr>
                <w:rFonts w:hint="default" w:ascii="Times New Roman" w:hAnsi="Times New Roman" w:eastAsia="宋体" w:cs="Times New Roman"/>
                <w:color w:val="auto"/>
              </w:rPr>
              <w:t>环境准入清单</w:t>
            </w:r>
          </w:p>
          <w:p w14:paraId="5C4BA7A5">
            <w:pPr>
              <w:keepNext w:val="0"/>
              <w:keepLines w:val="0"/>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本次环评对照国家及地方产业政策进行说明，具体见表1</w:t>
            </w:r>
            <w:r>
              <w:rPr>
                <w:rFonts w:hint="default" w:ascii="Times New Roman" w:hAnsi="Times New Roman" w:eastAsia="宋体" w:cs="Times New Roman"/>
                <w:color w:val="auto"/>
                <w:sz w:val="24"/>
                <w:lang w:val="en-US" w:eastAsia="zh-CN"/>
              </w:rPr>
              <w:t>.1</w:t>
            </w:r>
            <w:r>
              <w:rPr>
                <w:rFonts w:hint="default" w:ascii="Times New Roman" w:hAnsi="Times New Roman" w:eastAsia="宋体" w:cs="Times New Roman"/>
                <w:color w:val="auto"/>
                <w:sz w:val="24"/>
              </w:rPr>
              <w:t>-</w:t>
            </w:r>
            <w:r>
              <w:rPr>
                <w:rFonts w:hint="default" w:ascii="Times New Roman" w:hAnsi="Times New Roman" w:eastAsia="宋体" w:cs="Times New Roman"/>
                <w:color w:val="auto"/>
                <w:sz w:val="24"/>
                <w:lang w:val="en-US" w:eastAsia="zh-CN"/>
              </w:rPr>
              <w:t>6</w:t>
            </w:r>
            <w:r>
              <w:rPr>
                <w:rFonts w:hint="default" w:ascii="Times New Roman" w:hAnsi="Times New Roman" w:eastAsia="宋体" w:cs="Times New Roman"/>
                <w:color w:val="auto"/>
                <w:sz w:val="24"/>
                <w:highlight w:val="none"/>
                <w:lang w:eastAsia="zh-CN"/>
              </w:rPr>
              <w:t>。</w:t>
            </w:r>
          </w:p>
          <w:p w14:paraId="779EC27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24"/>
              </w:rPr>
            </w:pPr>
            <w:r>
              <w:rPr>
                <w:rFonts w:hint="default" w:ascii="Times New Roman" w:hAnsi="Times New Roman" w:eastAsia="宋体" w:cs="Times New Roman"/>
                <w:b/>
                <w:color w:val="auto"/>
                <w:sz w:val="24"/>
              </w:rPr>
              <w:t>表1</w:t>
            </w:r>
            <w:r>
              <w:rPr>
                <w:rFonts w:hint="default" w:ascii="Times New Roman" w:hAnsi="Times New Roman" w:eastAsia="宋体" w:cs="Times New Roman"/>
                <w:b/>
                <w:color w:val="auto"/>
                <w:sz w:val="24"/>
                <w:lang w:val="en-US" w:eastAsia="zh-CN"/>
              </w:rPr>
              <w:t>.1</w:t>
            </w:r>
            <w:r>
              <w:rPr>
                <w:rFonts w:hint="default" w:ascii="Times New Roman" w:hAnsi="Times New Roman" w:eastAsia="宋体" w:cs="Times New Roman"/>
                <w:b/>
                <w:color w:val="auto"/>
                <w:sz w:val="24"/>
              </w:rPr>
              <w:t>-</w:t>
            </w:r>
            <w:r>
              <w:rPr>
                <w:rFonts w:hint="default" w:ascii="Times New Roman" w:hAnsi="Times New Roman" w:eastAsia="宋体" w:cs="Times New Roman"/>
                <w:b/>
                <w:color w:val="auto"/>
                <w:sz w:val="24"/>
                <w:lang w:val="en-US" w:eastAsia="zh-CN"/>
              </w:rPr>
              <w:t xml:space="preserve">6 </w:t>
            </w:r>
            <w:r>
              <w:rPr>
                <w:rFonts w:hint="default" w:ascii="Times New Roman" w:hAnsi="Times New Roman" w:eastAsia="宋体" w:cs="Times New Roman"/>
                <w:b/>
                <w:color w:val="auto"/>
                <w:sz w:val="24"/>
              </w:rPr>
              <w:t xml:space="preserve"> </w:t>
            </w:r>
            <w:r>
              <w:rPr>
                <w:rFonts w:hint="default" w:ascii="Times New Roman" w:hAnsi="Times New Roman" w:eastAsia="宋体" w:cs="Times New Roman"/>
                <w:b/>
                <w:color w:val="auto"/>
                <w:sz w:val="24"/>
                <w:lang w:val="en-US" w:eastAsia="zh-CN"/>
              </w:rPr>
              <w:t>建设项目与园区规划及市场准入负面清单相符性分析一览表</w:t>
            </w:r>
          </w:p>
          <w:tbl>
            <w:tblPr>
              <w:tblStyle w:val="27"/>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28" w:type="dxa"/>
                <w:bottom w:w="0" w:type="dxa"/>
                <w:right w:w="28" w:type="dxa"/>
              </w:tblCellMar>
            </w:tblPr>
            <w:tblGrid>
              <w:gridCol w:w="671"/>
              <w:gridCol w:w="4730"/>
              <w:gridCol w:w="2142"/>
              <w:gridCol w:w="841"/>
            </w:tblGrid>
            <w:tr w14:paraId="654DC33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40" w:hRule="atLeast"/>
              </w:trPr>
              <w:tc>
                <w:tcPr>
                  <w:tcW w:w="400" w:type="pct"/>
                  <w:tcBorders>
                    <w:tl2br w:val="nil"/>
                    <w:tr2bl w:val="nil"/>
                  </w:tcBorders>
                  <w:vAlign w:val="center"/>
                </w:tcPr>
                <w:p w14:paraId="46F09B9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序号</w:t>
                  </w:r>
                </w:p>
              </w:tc>
              <w:tc>
                <w:tcPr>
                  <w:tcW w:w="2820" w:type="pct"/>
                  <w:tcBorders>
                    <w:tl2br w:val="nil"/>
                    <w:tr2bl w:val="nil"/>
                  </w:tcBorders>
                  <w:vAlign w:val="center"/>
                </w:tcPr>
                <w:p w14:paraId="199B4E6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文件</w:t>
                  </w:r>
                </w:p>
              </w:tc>
              <w:tc>
                <w:tcPr>
                  <w:tcW w:w="1277" w:type="pct"/>
                  <w:tcBorders>
                    <w:tl2br w:val="nil"/>
                    <w:tr2bl w:val="nil"/>
                  </w:tcBorders>
                  <w:vAlign w:val="center"/>
                </w:tcPr>
                <w:p w14:paraId="6BDF218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相符性分析</w:t>
                  </w:r>
                </w:p>
              </w:tc>
              <w:tc>
                <w:tcPr>
                  <w:tcW w:w="501" w:type="pct"/>
                  <w:tcBorders>
                    <w:tl2br w:val="nil"/>
                    <w:tr2bl w:val="nil"/>
                  </w:tcBorders>
                  <w:vAlign w:val="center"/>
                </w:tcPr>
                <w:p w14:paraId="5340E0F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判定结果</w:t>
                  </w:r>
                </w:p>
              </w:tc>
            </w:tr>
            <w:tr w14:paraId="2D6E5C3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40" w:hRule="atLeast"/>
              </w:trPr>
              <w:tc>
                <w:tcPr>
                  <w:tcW w:w="400" w:type="pct"/>
                  <w:tcBorders>
                    <w:tl2br w:val="nil"/>
                    <w:tr2bl w:val="nil"/>
                  </w:tcBorders>
                  <w:vAlign w:val="center"/>
                </w:tcPr>
                <w:p w14:paraId="0190567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highlight w:val="lightGray"/>
                      <w:lang w:eastAsia="zh-CN"/>
                    </w:rPr>
                  </w:pPr>
                  <w:r>
                    <w:rPr>
                      <w:rFonts w:hint="default" w:ascii="Times New Roman" w:hAnsi="Times New Roman" w:eastAsia="宋体" w:cs="Times New Roman"/>
                      <w:color w:val="auto"/>
                      <w:sz w:val="18"/>
                      <w:szCs w:val="18"/>
                      <w:lang w:val="en-US" w:eastAsia="zh-CN"/>
                    </w:rPr>
                    <w:t>1</w:t>
                  </w:r>
                </w:p>
              </w:tc>
              <w:tc>
                <w:tcPr>
                  <w:tcW w:w="2820" w:type="pct"/>
                  <w:tcBorders>
                    <w:tl2br w:val="nil"/>
                    <w:tr2bl w:val="nil"/>
                  </w:tcBorders>
                  <w:vAlign w:val="center"/>
                </w:tcPr>
                <w:p w14:paraId="64DC49A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《产业结构调整指导目录（2024年本）》（国家发展改革委令第7号）</w:t>
                  </w:r>
                </w:p>
              </w:tc>
              <w:tc>
                <w:tcPr>
                  <w:tcW w:w="1277" w:type="pct"/>
                  <w:tcBorders>
                    <w:tl2br w:val="nil"/>
                    <w:tr2bl w:val="nil"/>
                  </w:tcBorders>
                  <w:vAlign w:val="center"/>
                </w:tcPr>
                <w:p w14:paraId="1DF5F09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不属于鼓励类、限制类、淘汰类项目</w:t>
                  </w:r>
                </w:p>
              </w:tc>
              <w:tc>
                <w:tcPr>
                  <w:tcW w:w="501" w:type="pct"/>
                  <w:tcBorders>
                    <w:tl2br w:val="nil"/>
                    <w:tr2bl w:val="nil"/>
                  </w:tcBorders>
                  <w:vAlign w:val="center"/>
                </w:tcPr>
                <w:p w14:paraId="4568360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highlight w:val="lightGray"/>
                    </w:rPr>
                  </w:pPr>
                  <w:r>
                    <w:rPr>
                      <w:rFonts w:hint="default" w:ascii="Times New Roman" w:hAnsi="Times New Roman" w:eastAsia="宋体" w:cs="Times New Roman"/>
                      <w:color w:val="auto"/>
                      <w:sz w:val="18"/>
                      <w:szCs w:val="18"/>
                    </w:rPr>
                    <w:t>相符</w:t>
                  </w:r>
                </w:p>
              </w:tc>
            </w:tr>
            <w:tr w14:paraId="0B6A2F9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40" w:hRule="atLeast"/>
              </w:trPr>
              <w:tc>
                <w:tcPr>
                  <w:tcW w:w="717" w:type="dxa"/>
                  <w:tcBorders>
                    <w:tl2br w:val="nil"/>
                    <w:tr2bl w:val="nil"/>
                  </w:tcBorders>
                  <w:vAlign w:val="center"/>
                </w:tcPr>
                <w:p w14:paraId="61AD6A1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2</w:t>
                  </w:r>
                </w:p>
              </w:tc>
              <w:tc>
                <w:tcPr>
                  <w:tcW w:w="2820" w:type="pct"/>
                  <w:tcBorders>
                    <w:tl2br w:val="nil"/>
                    <w:tr2bl w:val="nil"/>
                  </w:tcBorders>
                  <w:vAlign w:val="center"/>
                </w:tcPr>
                <w:p w14:paraId="7BD7C96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highlight w:val="yellow"/>
                    </w:rPr>
                  </w:pPr>
                  <w:r>
                    <w:rPr>
                      <w:rFonts w:hint="default" w:ascii="Times New Roman" w:hAnsi="Times New Roman" w:eastAsia="宋体" w:cs="Times New Roman"/>
                      <w:color w:val="auto"/>
                      <w:sz w:val="18"/>
                      <w:szCs w:val="18"/>
                    </w:rPr>
                    <w:t>《关于加快全省化工钢铁煤电行业转型升级高质量发展的实施意见》（苏办发[2018]32号）附件3“江苏省产业结构调整限制、淘汰和禁止目录”</w:t>
                  </w:r>
                </w:p>
              </w:tc>
              <w:tc>
                <w:tcPr>
                  <w:tcW w:w="1277" w:type="pct"/>
                  <w:tcBorders>
                    <w:tl2br w:val="nil"/>
                    <w:tr2bl w:val="nil"/>
                  </w:tcBorders>
                  <w:vAlign w:val="center"/>
                </w:tcPr>
                <w:p w14:paraId="6E267A5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不属于限制类、淘汰类、禁止类项目</w:t>
                  </w:r>
                </w:p>
              </w:tc>
              <w:tc>
                <w:tcPr>
                  <w:tcW w:w="501" w:type="pct"/>
                  <w:tcBorders>
                    <w:tl2br w:val="nil"/>
                    <w:tr2bl w:val="nil"/>
                  </w:tcBorders>
                  <w:vAlign w:val="center"/>
                </w:tcPr>
                <w:p w14:paraId="623C580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相符</w:t>
                  </w:r>
                </w:p>
              </w:tc>
            </w:tr>
            <w:tr w14:paraId="65A9646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40" w:hRule="atLeast"/>
              </w:trPr>
              <w:tc>
                <w:tcPr>
                  <w:tcW w:w="717" w:type="dxa"/>
                  <w:tcBorders>
                    <w:tl2br w:val="nil"/>
                    <w:tr2bl w:val="nil"/>
                  </w:tcBorders>
                  <w:vAlign w:val="center"/>
                </w:tcPr>
                <w:p w14:paraId="6B93FD9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3</w:t>
                  </w:r>
                </w:p>
              </w:tc>
              <w:tc>
                <w:tcPr>
                  <w:tcW w:w="2820" w:type="pct"/>
                  <w:tcBorders>
                    <w:tl2br w:val="nil"/>
                    <w:tr2bl w:val="nil"/>
                  </w:tcBorders>
                  <w:vAlign w:val="center"/>
                </w:tcPr>
                <w:p w14:paraId="783CD5E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《市场准入负面清单（2022年版）》</w:t>
                  </w:r>
                  <w:r>
                    <w:rPr>
                      <w:rFonts w:hint="default" w:ascii="Times New Roman" w:hAnsi="Times New Roman" w:eastAsia="宋体" w:cs="Times New Roman"/>
                      <w:color w:val="auto"/>
                      <w:sz w:val="18"/>
                      <w:szCs w:val="18"/>
                      <w:highlight w:val="none"/>
                    </w:rPr>
                    <w:t>（发改体改规〔2022〕397号）</w:t>
                  </w:r>
                </w:p>
              </w:tc>
              <w:tc>
                <w:tcPr>
                  <w:tcW w:w="1277" w:type="pct"/>
                  <w:tcBorders>
                    <w:tl2br w:val="nil"/>
                    <w:tr2bl w:val="nil"/>
                  </w:tcBorders>
                  <w:vAlign w:val="center"/>
                </w:tcPr>
                <w:p w14:paraId="2C05F5D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不属于市场禁止准入事项</w:t>
                  </w:r>
                </w:p>
              </w:tc>
              <w:tc>
                <w:tcPr>
                  <w:tcW w:w="501" w:type="pct"/>
                  <w:tcBorders>
                    <w:tl2br w:val="nil"/>
                    <w:tr2bl w:val="nil"/>
                  </w:tcBorders>
                  <w:vAlign w:val="center"/>
                </w:tcPr>
                <w:p w14:paraId="7086A15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highlight w:val="lightGray"/>
                    </w:rPr>
                  </w:pPr>
                  <w:r>
                    <w:rPr>
                      <w:rFonts w:hint="default" w:ascii="Times New Roman" w:hAnsi="Times New Roman" w:eastAsia="宋体" w:cs="Times New Roman"/>
                      <w:color w:val="auto"/>
                      <w:sz w:val="18"/>
                      <w:szCs w:val="18"/>
                    </w:rPr>
                    <w:t>相符</w:t>
                  </w:r>
                </w:p>
              </w:tc>
            </w:tr>
            <w:tr w14:paraId="5386F7E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40" w:hRule="atLeast"/>
              </w:trPr>
              <w:tc>
                <w:tcPr>
                  <w:tcW w:w="717" w:type="dxa"/>
                  <w:tcBorders>
                    <w:tl2br w:val="nil"/>
                    <w:tr2bl w:val="nil"/>
                  </w:tcBorders>
                  <w:vAlign w:val="center"/>
                </w:tcPr>
                <w:p w14:paraId="7FED72D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4</w:t>
                  </w:r>
                </w:p>
              </w:tc>
              <w:tc>
                <w:tcPr>
                  <w:tcW w:w="2820" w:type="pct"/>
                  <w:tcBorders>
                    <w:tl2br w:val="nil"/>
                    <w:tr2bl w:val="nil"/>
                  </w:tcBorders>
                  <w:vAlign w:val="center"/>
                </w:tcPr>
                <w:p w14:paraId="2BE7E09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《长江经济带发展负面清单指南（试行，2022年版）》（长江办[2022]7号）</w:t>
                  </w:r>
                </w:p>
              </w:tc>
              <w:tc>
                <w:tcPr>
                  <w:tcW w:w="1277" w:type="pct"/>
                  <w:tcBorders>
                    <w:tl2br w:val="nil"/>
                    <w:tr2bl w:val="nil"/>
                  </w:tcBorders>
                  <w:vAlign w:val="center"/>
                </w:tcPr>
                <w:p w14:paraId="798C1BC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不属于负面清单中禁止类项目</w:t>
                  </w:r>
                </w:p>
              </w:tc>
              <w:tc>
                <w:tcPr>
                  <w:tcW w:w="501" w:type="pct"/>
                  <w:tcBorders>
                    <w:tl2br w:val="nil"/>
                    <w:tr2bl w:val="nil"/>
                  </w:tcBorders>
                  <w:vAlign w:val="center"/>
                </w:tcPr>
                <w:p w14:paraId="5A11C3C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highlight w:val="lightGray"/>
                    </w:rPr>
                  </w:pPr>
                  <w:r>
                    <w:rPr>
                      <w:rFonts w:hint="default" w:ascii="Times New Roman" w:hAnsi="Times New Roman" w:eastAsia="宋体" w:cs="Times New Roman"/>
                      <w:color w:val="auto"/>
                      <w:sz w:val="18"/>
                      <w:szCs w:val="18"/>
                    </w:rPr>
                    <w:t>相符</w:t>
                  </w:r>
                </w:p>
              </w:tc>
            </w:tr>
            <w:tr w14:paraId="5A9DE18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40" w:hRule="atLeast"/>
              </w:trPr>
              <w:tc>
                <w:tcPr>
                  <w:tcW w:w="717" w:type="dxa"/>
                  <w:tcBorders>
                    <w:tl2br w:val="nil"/>
                    <w:tr2bl w:val="nil"/>
                  </w:tcBorders>
                  <w:vAlign w:val="center"/>
                </w:tcPr>
                <w:p w14:paraId="259F709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5</w:t>
                  </w:r>
                </w:p>
              </w:tc>
              <w:tc>
                <w:tcPr>
                  <w:tcW w:w="2820" w:type="pct"/>
                  <w:tcBorders>
                    <w:tl2br w:val="nil"/>
                    <w:tr2bl w:val="nil"/>
                  </w:tcBorders>
                  <w:vAlign w:val="center"/>
                </w:tcPr>
                <w:p w14:paraId="7F63249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《&lt;长江经济带发展负面清单指南（试行，2022年版）&gt;江苏省实施细则》（苏长江办发[2022]55号）</w:t>
                  </w:r>
                </w:p>
              </w:tc>
              <w:tc>
                <w:tcPr>
                  <w:tcW w:w="1277" w:type="pct"/>
                  <w:tcBorders>
                    <w:tl2br w:val="nil"/>
                    <w:tr2bl w:val="nil"/>
                  </w:tcBorders>
                  <w:vAlign w:val="center"/>
                </w:tcPr>
                <w:p w14:paraId="0822DB6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不属于负面清单中禁止类项目</w:t>
                  </w:r>
                </w:p>
              </w:tc>
              <w:tc>
                <w:tcPr>
                  <w:tcW w:w="501" w:type="pct"/>
                  <w:tcBorders>
                    <w:tl2br w:val="nil"/>
                    <w:tr2bl w:val="nil"/>
                  </w:tcBorders>
                  <w:vAlign w:val="center"/>
                </w:tcPr>
                <w:p w14:paraId="2D2B62E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相符</w:t>
                  </w:r>
                </w:p>
              </w:tc>
            </w:tr>
            <w:tr w14:paraId="3D937C0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40" w:hRule="atLeast"/>
              </w:trPr>
              <w:tc>
                <w:tcPr>
                  <w:tcW w:w="717" w:type="dxa"/>
                  <w:tcBorders>
                    <w:tl2br w:val="nil"/>
                    <w:tr2bl w:val="nil"/>
                  </w:tcBorders>
                  <w:vAlign w:val="center"/>
                </w:tcPr>
                <w:p w14:paraId="1A70857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6</w:t>
                  </w:r>
                </w:p>
              </w:tc>
              <w:tc>
                <w:tcPr>
                  <w:tcW w:w="2820" w:type="pct"/>
                  <w:tcBorders>
                    <w:tl2br w:val="nil"/>
                    <w:tr2bl w:val="nil"/>
                  </w:tcBorders>
                  <w:vAlign w:val="center"/>
                </w:tcPr>
                <w:p w14:paraId="4F932C2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《限制用地项目目录（2012年本）》</w:t>
                  </w:r>
                  <w:r>
                    <w:rPr>
                      <w:rFonts w:hint="default" w:ascii="Times New Roman" w:hAnsi="Times New Roman" w:eastAsia="宋体" w:cs="Times New Roman"/>
                      <w:color w:val="auto"/>
                      <w:sz w:val="18"/>
                      <w:szCs w:val="18"/>
                      <w:lang w:eastAsia="zh-CN"/>
                    </w:rPr>
                    <w:t>、</w:t>
                  </w:r>
                  <w:r>
                    <w:rPr>
                      <w:rFonts w:hint="default" w:ascii="Times New Roman" w:hAnsi="Times New Roman" w:eastAsia="宋体" w:cs="Times New Roman"/>
                      <w:color w:val="auto"/>
                      <w:sz w:val="18"/>
                      <w:szCs w:val="18"/>
                    </w:rPr>
                    <w:t>《禁止用地项目目录（2012年本）》</w:t>
                  </w:r>
                  <w:r>
                    <w:rPr>
                      <w:rFonts w:hint="default" w:ascii="Times New Roman" w:hAnsi="Times New Roman" w:eastAsia="宋体" w:cs="Times New Roman"/>
                      <w:color w:val="auto"/>
                      <w:sz w:val="18"/>
                      <w:szCs w:val="18"/>
                      <w:lang w:eastAsia="zh-CN"/>
                    </w:rPr>
                    <w:t>、</w:t>
                  </w:r>
                  <w:r>
                    <w:rPr>
                      <w:rFonts w:hint="default" w:ascii="Times New Roman" w:hAnsi="Times New Roman" w:eastAsia="宋体" w:cs="Times New Roman"/>
                      <w:color w:val="auto"/>
                      <w:sz w:val="18"/>
                      <w:szCs w:val="18"/>
                    </w:rPr>
                    <w:t>《江苏省限制用地项目目录（2013年本）》</w:t>
                  </w:r>
                  <w:r>
                    <w:rPr>
                      <w:rFonts w:hint="default" w:ascii="Times New Roman" w:hAnsi="Times New Roman" w:eastAsia="宋体" w:cs="Times New Roman"/>
                      <w:color w:val="auto"/>
                      <w:sz w:val="18"/>
                      <w:szCs w:val="18"/>
                      <w:lang w:eastAsia="zh-CN"/>
                    </w:rPr>
                    <w:t>、</w:t>
                  </w:r>
                  <w:r>
                    <w:rPr>
                      <w:rFonts w:hint="default" w:ascii="Times New Roman" w:hAnsi="Times New Roman" w:eastAsia="宋体" w:cs="Times New Roman"/>
                      <w:color w:val="auto"/>
                      <w:sz w:val="18"/>
                      <w:szCs w:val="18"/>
                    </w:rPr>
                    <w:t>《江苏省禁止用地项目目录（2013年本）》</w:t>
                  </w:r>
                </w:p>
              </w:tc>
              <w:tc>
                <w:tcPr>
                  <w:tcW w:w="1277" w:type="pct"/>
                  <w:tcBorders>
                    <w:tl2br w:val="nil"/>
                    <w:tr2bl w:val="nil"/>
                  </w:tcBorders>
                  <w:vAlign w:val="center"/>
                </w:tcPr>
                <w:p w14:paraId="6305E19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不属于限制、禁止用地项目</w:t>
                  </w:r>
                </w:p>
              </w:tc>
              <w:tc>
                <w:tcPr>
                  <w:tcW w:w="501" w:type="pct"/>
                  <w:tcBorders>
                    <w:tl2br w:val="nil"/>
                    <w:tr2bl w:val="nil"/>
                  </w:tcBorders>
                  <w:vAlign w:val="center"/>
                </w:tcPr>
                <w:p w14:paraId="45C6FE0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相符</w:t>
                  </w:r>
                </w:p>
              </w:tc>
            </w:tr>
          </w:tbl>
          <w:p w14:paraId="5C2CFED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对照《2023年生态环境分区管控成果动态更新工作方案》（环办环评函﹝2023﹞81号）、江苏省生态环境分区管控服务平台（http://ywxt.sthjt.jiangsu.gov.cn:8089/sxydOuter/#/Homepage）以及《淮安市生态环境分区管控动态更新成果》（2023年版），本项目所在新渡工业集中区属于重点管控单元（单元名称；新渡工业集中区；单元编码：ZH32080420146），与新渡工业集中区管控单元准入要求相符性见</w:t>
            </w:r>
            <w:r>
              <w:rPr>
                <w:rFonts w:hint="eastAsia"/>
                <w:color w:val="auto"/>
                <w:lang w:val="en-US" w:eastAsia="zh-CN"/>
              </w:rPr>
              <w:t>表1.1-7</w:t>
            </w:r>
            <w:r>
              <w:rPr>
                <w:rFonts w:hint="default" w:ascii="Times New Roman" w:hAnsi="Times New Roman" w:eastAsia="宋体" w:cs="Times New Roman"/>
                <w:color w:val="auto"/>
                <w:sz w:val="24"/>
                <w:szCs w:val="24"/>
                <w:lang w:val="en-US" w:eastAsia="zh-CN"/>
              </w:rPr>
              <w:t>。</w:t>
            </w:r>
          </w:p>
          <w:p w14:paraId="136FDDDE">
            <w:pPr>
              <w:pStyle w:val="51"/>
              <w:keepNext w:val="0"/>
              <w:keepLines w:val="0"/>
              <w:suppressLineNumbers w:val="0"/>
              <w:spacing w:before="0" w:beforeAutospacing="0" w:after="0" w:afterAutospacing="0" w:line="240" w:lineRule="auto"/>
              <w:ind w:right="0"/>
              <w:rPr>
                <w:rFonts w:hint="default" w:ascii="Times New Roman" w:hAnsi="Times New Roman" w:eastAsia="宋体" w:cs="Times New Roman"/>
                <w:color w:val="auto"/>
                <w:sz w:val="24"/>
                <w:szCs w:val="24"/>
              </w:rPr>
            </w:pPr>
          </w:p>
          <w:p w14:paraId="2DE9144B">
            <w:pPr>
              <w:pStyle w:val="51"/>
              <w:keepNext w:val="0"/>
              <w:keepLines w:val="0"/>
              <w:suppressLineNumbers w:val="0"/>
              <w:spacing w:before="0" w:beforeAutospacing="0" w:after="0" w:afterAutospacing="0" w:line="240" w:lineRule="auto"/>
              <w:ind w:right="0"/>
              <w:rPr>
                <w:rFonts w:hint="default" w:ascii="Times New Roman" w:hAnsi="Times New Roman" w:eastAsia="宋体" w:cs="Times New Roman"/>
                <w:color w:val="auto"/>
                <w:sz w:val="24"/>
                <w:szCs w:val="24"/>
              </w:rPr>
            </w:pPr>
          </w:p>
          <w:p w14:paraId="30ACC19E">
            <w:pPr>
              <w:pStyle w:val="51"/>
              <w:keepNext w:val="0"/>
              <w:keepLines w:val="0"/>
              <w:suppressLineNumbers w:val="0"/>
              <w:spacing w:before="0" w:beforeAutospacing="0" w:after="0" w:afterAutospacing="0" w:line="240" w:lineRule="auto"/>
              <w:ind w:right="0"/>
              <w:rPr>
                <w:rFonts w:hint="default" w:ascii="Times New Roman" w:hAnsi="Times New Roman" w:eastAsia="宋体" w:cs="Times New Roman"/>
                <w:color w:val="auto"/>
                <w:sz w:val="24"/>
                <w:szCs w:val="24"/>
              </w:rPr>
            </w:pPr>
          </w:p>
          <w:p w14:paraId="400DCCFD">
            <w:pPr>
              <w:pStyle w:val="51"/>
              <w:keepNext w:val="0"/>
              <w:keepLines w:val="0"/>
              <w:suppressLineNumbers w:val="0"/>
              <w:spacing w:before="0" w:beforeAutospacing="0" w:after="0" w:afterAutospacing="0" w:line="240" w:lineRule="auto"/>
              <w:ind w:right="0"/>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表</w:t>
            </w:r>
            <w:r>
              <w:rPr>
                <w:rFonts w:hint="default" w:ascii="Times New Roman" w:hAnsi="Times New Roman" w:eastAsia="宋体" w:cs="Times New Roman"/>
                <w:color w:val="auto"/>
                <w:sz w:val="24"/>
                <w:szCs w:val="24"/>
                <w:lang w:val="en-US" w:eastAsia="zh-CN"/>
              </w:rPr>
              <w:t xml:space="preserve">1.1-7 </w:t>
            </w:r>
            <w:r>
              <w:rPr>
                <w:rFonts w:hint="default" w:ascii="Times New Roman" w:hAnsi="Times New Roman" w:eastAsia="宋体" w:cs="Times New Roman"/>
                <w:color w:val="auto"/>
                <w:sz w:val="24"/>
                <w:szCs w:val="24"/>
              </w:rPr>
              <w:t>与</w:t>
            </w:r>
            <w:r>
              <w:rPr>
                <w:rFonts w:hint="default" w:ascii="Times New Roman" w:hAnsi="Times New Roman" w:eastAsia="宋体" w:cs="Times New Roman"/>
                <w:color w:val="auto"/>
                <w:sz w:val="24"/>
                <w:szCs w:val="24"/>
                <w:lang w:val="en-US" w:eastAsia="zh-CN"/>
              </w:rPr>
              <w:t>新渡工业集中区环境</w:t>
            </w:r>
            <w:r>
              <w:rPr>
                <w:rFonts w:hint="default" w:ascii="Times New Roman" w:hAnsi="Times New Roman" w:eastAsia="宋体" w:cs="Times New Roman"/>
                <w:color w:val="auto"/>
                <w:sz w:val="24"/>
                <w:szCs w:val="24"/>
              </w:rPr>
              <w:t>管控单元准入要求相符性分析</w:t>
            </w:r>
          </w:p>
          <w:tbl>
            <w:tblPr>
              <w:tblStyle w:val="27"/>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30"/>
              <w:gridCol w:w="3613"/>
              <w:gridCol w:w="3341"/>
            </w:tblGrid>
            <w:tr w14:paraId="102A4C9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30" w:type="dxa"/>
                  <w:tcBorders>
                    <w:tl2br w:val="nil"/>
                    <w:tr2bl w:val="nil"/>
                  </w:tcBorders>
                  <w:noWrap w:val="0"/>
                  <w:vAlign w:val="center"/>
                </w:tcPr>
                <w:p w14:paraId="663A01C5">
                  <w:pPr>
                    <w:pStyle w:val="34"/>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18"/>
                      <w:szCs w:val="18"/>
                      <w:lang w:eastAsia="zh-CN"/>
                    </w:rPr>
                  </w:pPr>
                  <w:r>
                    <w:rPr>
                      <w:rFonts w:hint="default" w:ascii="Times New Roman" w:hAnsi="Times New Roman" w:eastAsia="宋体" w:cs="Times New Roman"/>
                      <w:bCs/>
                      <w:color w:val="auto"/>
                      <w:sz w:val="18"/>
                      <w:szCs w:val="18"/>
                    </w:rPr>
                    <w:t>管控</w:t>
                  </w:r>
                  <w:r>
                    <w:rPr>
                      <w:rFonts w:hint="default" w:ascii="Times New Roman" w:hAnsi="Times New Roman" w:eastAsia="宋体" w:cs="Times New Roman"/>
                      <w:bCs/>
                      <w:color w:val="auto"/>
                      <w:sz w:val="18"/>
                      <w:szCs w:val="18"/>
                      <w:lang w:eastAsia="zh-CN"/>
                    </w:rPr>
                    <w:t>单元分类</w:t>
                  </w:r>
                </w:p>
              </w:tc>
              <w:tc>
                <w:tcPr>
                  <w:tcW w:w="3613" w:type="dxa"/>
                  <w:tcBorders>
                    <w:tl2br w:val="nil"/>
                    <w:tr2bl w:val="nil"/>
                  </w:tcBorders>
                  <w:noWrap w:val="0"/>
                  <w:vAlign w:val="center"/>
                </w:tcPr>
                <w:p w14:paraId="727A8599">
                  <w:pPr>
                    <w:pStyle w:val="34"/>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18"/>
                      <w:szCs w:val="18"/>
                    </w:rPr>
                  </w:pPr>
                  <w:r>
                    <w:rPr>
                      <w:rFonts w:hint="default" w:ascii="Times New Roman" w:hAnsi="Times New Roman" w:eastAsia="宋体" w:cs="Times New Roman"/>
                      <w:bCs/>
                      <w:color w:val="auto"/>
                      <w:sz w:val="18"/>
                      <w:szCs w:val="18"/>
                    </w:rPr>
                    <w:t>管控要求</w:t>
                  </w:r>
                </w:p>
              </w:tc>
              <w:tc>
                <w:tcPr>
                  <w:tcW w:w="3341" w:type="dxa"/>
                  <w:tcBorders>
                    <w:tl2br w:val="nil"/>
                    <w:tr2bl w:val="nil"/>
                  </w:tcBorders>
                  <w:noWrap w:val="0"/>
                  <w:vAlign w:val="center"/>
                </w:tcPr>
                <w:p w14:paraId="747AE218">
                  <w:pPr>
                    <w:pStyle w:val="34"/>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18"/>
                      <w:szCs w:val="18"/>
                    </w:rPr>
                  </w:pPr>
                  <w:r>
                    <w:rPr>
                      <w:rFonts w:hint="default" w:ascii="Times New Roman" w:hAnsi="Times New Roman" w:eastAsia="宋体" w:cs="Times New Roman"/>
                      <w:bCs/>
                      <w:color w:val="auto"/>
                      <w:sz w:val="18"/>
                      <w:szCs w:val="18"/>
                    </w:rPr>
                    <w:t>相符性</w:t>
                  </w:r>
                </w:p>
              </w:tc>
            </w:tr>
            <w:tr w14:paraId="74B49FA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30" w:type="dxa"/>
                  <w:tcBorders>
                    <w:tl2br w:val="nil"/>
                    <w:tr2bl w:val="nil"/>
                  </w:tcBorders>
                  <w:noWrap w:val="0"/>
                  <w:vAlign w:val="center"/>
                </w:tcPr>
                <w:p w14:paraId="5F3B50EC">
                  <w:pPr>
                    <w:pStyle w:val="34"/>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color w:val="auto"/>
                      <w:sz w:val="18"/>
                      <w:szCs w:val="18"/>
                    </w:rPr>
                  </w:pPr>
                  <w:r>
                    <w:rPr>
                      <w:rFonts w:hint="default" w:ascii="Times New Roman" w:hAnsi="Times New Roman" w:eastAsia="宋体" w:cs="Times New Roman"/>
                      <w:b w:val="0"/>
                      <w:color w:val="auto"/>
                      <w:sz w:val="18"/>
                      <w:szCs w:val="18"/>
                    </w:rPr>
                    <w:t>空间布局约束</w:t>
                  </w:r>
                </w:p>
              </w:tc>
              <w:tc>
                <w:tcPr>
                  <w:tcW w:w="3613" w:type="dxa"/>
                  <w:tcBorders>
                    <w:tl2br w:val="nil"/>
                    <w:tr2bl w:val="nil"/>
                  </w:tcBorders>
                  <w:noWrap w:val="0"/>
                  <w:vAlign w:val="center"/>
                </w:tcPr>
                <w:p w14:paraId="046D0421">
                  <w:pPr>
                    <w:pStyle w:val="34"/>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color w:val="auto"/>
                      <w:sz w:val="18"/>
                      <w:szCs w:val="18"/>
                      <w:lang w:eastAsia="zh-CN"/>
                    </w:rPr>
                  </w:pPr>
                  <w:r>
                    <w:rPr>
                      <w:rFonts w:hint="default" w:ascii="Times New Roman" w:hAnsi="Times New Roman" w:eastAsia="宋体" w:cs="Times New Roman"/>
                      <w:b w:val="0"/>
                      <w:color w:val="auto"/>
                      <w:sz w:val="18"/>
                      <w:szCs w:val="18"/>
                      <w:lang w:eastAsia="zh-CN"/>
                    </w:rPr>
                    <w:t>（1）优先发展：以轻工、电子、服装加工、机械、建材、食品加工等一、二类工业为主，适当发展物流产业、配套建设居住及各类公共设施。</w:t>
                  </w:r>
                </w:p>
                <w:p w14:paraId="692E4BDD">
                  <w:pPr>
                    <w:pStyle w:val="34"/>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color w:val="auto"/>
                      <w:sz w:val="18"/>
                      <w:szCs w:val="18"/>
                      <w:lang w:eastAsia="zh-CN"/>
                    </w:rPr>
                  </w:pPr>
                  <w:r>
                    <w:rPr>
                      <w:rFonts w:hint="default" w:ascii="Times New Roman" w:hAnsi="Times New Roman" w:eastAsia="宋体" w:cs="Times New Roman"/>
                      <w:b w:val="0"/>
                      <w:color w:val="auto"/>
                      <w:sz w:val="18"/>
                      <w:szCs w:val="18"/>
                      <w:lang w:eastAsia="zh-CN"/>
                    </w:rPr>
                    <w:t>（2）禁止发展：机电（电镀）；建材（水泥）；食品（白酒、酒精、糖精、味精）；纺织（含有印染、染整等工段）；医药（原药、医药中间体）。</w:t>
                  </w:r>
                </w:p>
              </w:tc>
              <w:tc>
                <w:tcPr>
                  <w:tcW w:w="3341" w:type="dxa"/>
                  <w:tcBorders>
                    <w:tl2br w:val="nil"/>
                    <w:tr2bl w:val="nil"/>
                  </w:tcBorders>
                  <w:noWrap w:val="0"/>
                  <w:vAlign w:val="center"/>
                </w:tcPr>
                <w:p w14:paraId="0C25B3D4">
                  <w:pPr>
                    <w:pStyle w:val="34"/>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color w:val="auto"/>
                      <w:sz w:val="18"/>
                      <w:szCs w:val="18"/>
                      <w:lang w:val="en-US" w:eastAsia="zh-CN"/>
                    </w:rPr>
                  </w:pPr>
                  <w:r>
                    <w:rPr>
                      <w:rFonts w:hint="default" w:ascii="Times New Roman" w:hAnsi="Times New Roman" w:eastAsia="宋体" w:cs="Times New Roman"/>
                      <w:b w:val="0"/>
                      <w:color w:val="auto"/>
                      <w:sz w:val="18"/>
                      <w:szCs w:val="18"/>
                      <w:lang w:val="en-US" w:eastAsia="zh-CN"/>
                    </w:rPr>
                    <w:t>项目属于</w:t>
                  </w:r>
                  <w:r>
                    <w:rPr>
                      <w:rFonts w:hint="eastAsia" w:ascii="Times New Roman" w:hAnsi="Times New Roman" w:eastAsia="宋体" w:cs="Times New Roman"/>
                      <w:b w:val="0"/>
                      <w:color w:val="auto"/>
                      <w:sz w:val="18"/>
                      <w:szCs w:val="18"/>
                      <w:lang w:val="en-US" w:eastAsia="zh-CN"/>
                    </w:rPr>
                    <w:t>耐火材料制造</w:t>
                  </w:r>
                  <w:r>
                    <w:rPr>
                      <w:rFonts w:hint="default" w:ascii="Times New Roman" w:hAnsi="Times New Roman" w:eastAsia="宋体" w:cs="Times New Roman"/>
                      <w:b w:val="0"/>
                      <w:color w:val="auto"/>
                      <w:sz w:val="18"/>
                      <w:szCs w:val="18"/>
                      <w:lang w:val="en-US" w:eastAsia="zh-CN"/>
                    </w:rPr>
                    <w:t>项目，不属于电镀、化学制浆造纸、制革、化工、印染、酿造等污染严重的企业。</w:t>
                  </w:r>
                </w:p>
              </w:tc>
            </w:tr>
            <w:tr w14:paraId="1A0CD5C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tcBorders>
                    <w:tl2br w:val="nil"/>
                    <w:tr2bl w:val="nil"/>
                  </w:tcBorders>
                  <w:noWrap w:val="0"/>
                  <w:vAlign w:val="center"/>
                </w:tcPr>
                <w:p w14:paraId="384B1ED8">
                  <w:pPr>
                    <w:pStyle w:val="34"/>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color w:val="auto"/>
                      <w:sz w:val="18"/>
                      <w:szCs w:val="18"/>
                    </w:rPr>
                  </w:pPr>
                  <w:r>
                    <w:rPr>
                      <w:rFonts w:hint="default" w:ascii="Times New Roman" w:hAnsi="Times New Roman" w:eastAsia="宋体" w:cs="Times New Roman"/>
                      <w:b w:val="0"/>
                      <w:color w:val="auto"/>
                      <w:sz w:val="18"/>
                      <w:szCs w:val="18"/>
                    </w:rPr>
                    <w:t>污染物排放管控</w:t>
                  </w:r>
                </w:p>
              </w:tc>
              <w:tc>
                <w:tcPr>
                  <w:tcW w:w="3613" w:type="dxa"/>
                  <w:tcBorders>
                    <w:tl2br w:val="nil"/>
                    <w:tr2bl w:val="nil"/>
                  </w:tcBorders>
                  <w:noWrap w:val="0"/>
                  <w:vAlign w:val="center"/>
                </w:tcPr>
                <w:p w14:paraId="4125FE8D">
                  <w:pPr>
                    <w:pStyle w:val="34"/>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color w:val="auto"/>
                      <w:sz w:val="18"/>
                      <w:szCs w:val="18"/>
                      <w:lang w:eastAsia="zh-CN"/>
                    </w:rPr>
                  </w:pPr>
                  <w:r>
                    <w:rPr>
                      <w:rFonts w:hint="default" w:ascii="Times New Roman" w:hAnsi="Times New Roman" w:eastAsia="宋体" w:cs="Times New Roman"/>
                      <w:b w:val="0"/>
                      <w:color w:val="auto"/>
                      <w:sz w:val="18"/>
                      <w:szCs w:val="18"/>
                      <w:lang w:eastAsia="zh-CN"/>
                    </w:rPr>
                    <w:t>（1）大气污染物排放总量：粉尘124.39吨/年，氯化氢8.60吨/年，二甲苯2.15吨/年，苯9.32吨/年，二氧化硫29.21吨/年。</w:t>
                  </w:r>
                </w:p>
                <w:p w14:paraId="15D5809E">
                  <w:pPr>
                    <w:pStyle w:val="34"/>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color w:val="auto"/>
                      <w:sz w:val="18"/>
                      <w:szCs w:val="18"/>
                    </w:rPr>
                  </w:pPr>
                  <w:r>
                    <w:rPr>
                      <w:rFonts w:hint="default" w:ascii="Times New Roman" w:hAnsi="Times New Roman" w:eastAsia="宋体" w:cs="Times New Roman"/>
                      <w:b w:val="0"/>
                      <w:color w:val="auto"/>
                      <w:sz w:val="18"/>
                      <w:szCs w:val="18"/>
                      <w:lang w:eastAsia="zh-CN"/>
                    </w:rPr>
                    <w:t>（2）水污染物排放总量：化学需氧量481.275吨/年，氨氮48.128吨/年，总磷4.813吨/年。</w:t>
                  </w:r>
                </w:p>
              </w:tc>
              <w:tc>
                <w:tcPr>
                  <w:tcW w:w="3341" w:type="dxa"/>
                  <w:tcBorders>
                    <w:tl2br w:val="nil"/>
                    <w:tr2bl w:val="nil"/>
                  </w:tcBorders>
                  <w:noWrap w:val="0"/>
                  <w:vAlign w:val="center"/>
                </w:tcPr>
                <w:p w14:paraId="44B42077">
                  <w:pPr>
                    <w:pStyle w:val="34"/>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color w:val="auto"/>
                      <w:sz w:val="18"/>
                      <w:szCs w:val="18"/>
                      <w:lang w:val="en-US" w:eastAsia="zh-CN"/>
                    </w:rPr>
                  </w:pPr>
                  <w:r>
                    <w:rPr>
                      <w:rFonts w:hint="default" w:ascii="Times New Roman" w:hAnsi="Times New Roman" w:eastAsia="宋体" w:cs="Times New Roman"/>
                      <w:b w:val="0"/>
                      <w:color w:val="auto"/>
                      <w:sz w:val="18"/>
                      <w:szCs w:val="18"/>
                      <w:lang w:val="en-US" w:eastAsia="zh-CN"/>
                    </w:rPr>
                    <w:t>（1）</w:t>
                  </w:r>
                  <w:r>
                    <w:rPr>
                      <w:rFonts w:hint="eastAsia" w:ascii="Times New Roman" w:hAnsi="Times New Roman" w:eastAsia="宋体" w:cs="Times New Roman"/>
                      <w:b w:val="0"/>
                      <w:color w:val="auto"/>
                      <w:sz w:val="18"/>
                      <w:szCs w:val="18"/>
                      <w:lang w:val="en-US" w:eastAsia="zh-CN"/>
                    </w:rPr>
                    <w:t>拟建</w:t>
                  </w:r>
                  <w:r>
                    <w:rPr>
                      <w:rFonts w:hint="default" w:ascii="Times New Roman" w:hAnsi="Times New Roman" w:eastAsia="宋体" w:cs="Times New Roman"/>
                      <w:b w:val="0"/>
                      <w:color w:val="auto"/>
                      <w:sz w:val="18"/>
                      <w:szCs w:val="18"/>
                      <w:lang w:val="en-US" w:eastAsia="zh-CN"/>
                    </w:rPr>
                    <w:t>项目新增颗粒物排放</w:t>
                  </w:r>
                  <w:r>
                    <w:rPr>
                      <w:rFonts w:hint="default" w:ascii="Times New Roman" w:hAnsi="Times New Roman" w:eastAsia="宋体" w:cs="Times New Roman"/>
                      <w:b w:val="0"/>
                      <w:color w:val="auto"/>
                      <w:sz w:val="18"/>
                      <w:szCs w:val="18"/>
                      <w:lang w:val="en-US" w:eastAsia="zh-CN"/>
                    </w:rPr>
                    <w:t>0.</w:t>
                  </w:r>
                  <w:r>
                    <w:rPr>
                      <w:rFonts w:hint="eastAsia" w:ascii="Times New Roman" w:hAnsi="Times New Roman" w:eastAsia="宋体" w:cs="Times New Roman"/>
                      <w:b w:val="0"/>
                      <w:color w:val="auto"/>
                      <w:sz w:val="18"/>
                      <w:szCs w:val="18"/>
                      <w:lang w:val="en-US" w:eastAsia="zh-CN"/>
                    </w:rPr>
                    <w:t>08</w:t>
                  </w:r>
                  <w:r>
                    <w:rPr>
                      <w:rFonts w:hint="default" w:ascii="Times New Roman" w:hAnsi="Times New Roman" w:eastAsia="宋体" w:cs="Times New Roman"/>
                      <w:b w:val="0"/>
                      <w:color w:val="auto"/>
                      <w:sz w:val="18"/>
                      <w:szCs w:val="18"/>
                      <w:lang w:val="en-US" w:eastAsia="zh-CN"/>
                    </w:rPr>
                    <w:t>t/a，未突破管控废气污染物总量的要求，对区域大气污染物排放总量贡献值较低。</w:t>
                  </w:r>
                </w:p>
                <w:p w14:paraId="4B8E186C">
                  <w:pPr>
                    <w:pStyle w:val="34"/>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color w:val="auto"/>
                      <w:sz w:val="18"/>
                      <w:szCs w:val="18"/>
                      <w:lang w:val="en-US" w:eastAsia="zh-CN"/>
                    </w:rPr>
                  </w:pPr>
                  <w:r>
                    <w:rPr>
                      <w:rFonts w:hint="default" w:ascii="Times New Roman" w:hAnsi="Times New Roman" w:eastAsia="宋体" w:cs="Times New Roman"/>
                      <w:b w:val="0"/>
                      <w:color w:val="auto"/>
                      <w:sz w:val="18"/>
                      <w:szCs w:val="18"/>
                      <w:lang w:val="en-US" w:eastAsia="zh-CN"/>
                    </w:rPr>
                    <w:t>（2）拟建项目不产生工业废水，项目生活污水排放量162t/a，COD0.045t/a、氨氮0.005t/a、总氮0.007t/a、总磷0.0006t/a，未突破</w:t>
                  </w:r>
                  <w:r>
                    <w:rPr>
                      <w:rFonts w:hint="eastAsia" w:ascii="Times New Roman" w:hAnsi="Times New Roman" w:eastAsia="宋体" w:cs="Times New Roman"/>
                      <w:b w:val="0"/>
                      <w:color w:val="auto"/>
                      <w:sz w:val="18"/>
                      <w:szCs w:val="18"/>
                      <w:lang w:val="en-US" w:eastAsia="zh-CN"/>
                    </w:rPr>
                    <w:t>区域</w:t>
                  </w:r>
                  <w:r>
                    <w:rPr>
                      <w:rFonts w:hint="default" w:ascii="Times New Roman" w:hAnsi="Times New Roman" w:eastAsia="宋体" w:cs="Times New Roman"/>
                      <w:b w:val="0"/>
                      <w:color w:val="auto"/>
                      <w:sz w:val="18"/>
                      <w:szCs w:val="18"/>
                      <w:lang w:val="en-US" w:eastAsia="zh-CN"/>
                    </w:rPr>
                    <w:t>废水及污染物总量</w:t>
                  </w:r>
                  <w:r>
                    <w:rPr>
                      <w:rFonts w:hint="eastAsia" w:ascii="Times New Roman" w:hAnsi="Times New Roman" w:eastAsia="宋体" w:cs="Times New Roman"/>
                      <w:b w:val="0"/>
                      <w:color w:val="auto"/>
                      <w:sz w:val="18"/>
                      <w:szCs w:val="18"/>
                      <w:lang w:val="en-US" w:eastAsia="zh-CN"/>
                    </w:rPr>
                    <w:t>控制</w:t>
                  </w:r>
                  <w:r>
                    <w:rPr>
                      <w:rFonts w:hint="default" w:ascii="Times New Roman" w:hAnsi="Times New Roman" w:eastAsia="宋体" w:cs="Times New Roman"/>
                      <w:b w:val="0"/>
                      <w:color w:val="auto"/>
                      <w:sz w:val="18"/>
                      <w:szCs w:val="18"/>
                      <w:lang w:val="en-US" w:eastAsia="zh-CN"/>
                    </w:rPr>
                    <w:t>的要求，对区域废水污染物贡献值较低。</w:t>
                  </w:r>
                </w:p>
              </w:tc>
            </w:tr>
            <w:tr w14:paraId="29A0EE3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tcBorders>
                    <w:tl2br w:val="nil"/>
                    <w:tr2bl w:val="nil"/>
                  </w:tcBorders>
                  <w:noWrap w:val="0"/>
                  <w:vAlign w:val="center"/>
                </w:tcPr>
                <w:p w14:paraId="49B4473E">
                  <w:pPr>
                    <w:pStyle w:val="34"/>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color w:val="auto"/>
                      <w:sz w:val="18"/>
                      <w:szCs w:val="18"/>
                    </w:rPr>
                  </w:pPr>
                  <w:r>
                    <w:rPr>
                      <w:rFonts w:hint="default" w:ascii="Times New Roman" w:hAnsi="Times New Roman" w:eastAsia="宋体" w:cs="Times New Roman"/>
                      <w:b w:val="0"/>
                      <w:color w:val="auto"/>
                      <w:sz w:val="18"/>
                      <w:szCs w:val="18"/>
                      <w:lang w:val="en-US" w:eastAsia="zh-CN"/>
                    </w:rPr>
                    <w:t>环境</w:t>
                  </w:r>
                  <w:r>
                    <w:rPr>
                      <w:rFonts w:hint="default" w:ascii="Times New Roman" w:hAnsi="Times New Roman" w:eastAsia="宋体" w:cs="Times New Roman"/>
                      <w:b w:val="0"/>
                      <w:color w:val="auto"/>
                      <w:sz w:val="18"/>
                      <w:szCs w:val="18"/>
                    </w:rPr>
                    <w:t>风险</w:t>
                  </w:r>
                  <w:r>
                    <w:rPr>
                      <w:rFonts w:hint="default" w:ascii="Times New Roman" w:hAnsi="Times New Roman" w:eastAsia="宋体" w:cs="Times New Roman"/>
                      <w:b w:val="0"/>
                      <w:color w:val="auto"/>
                      <w:sz w:val="18"/>
                      <w:szCs w:val="18"/>
                      <w:lang w:val="en-US" w:eastAsia="zh-CN"/>
                    </w:rPr>
                    <w:t>防</w:t>
                  </w:r>
                  <w:r>
                    <w:rPr>
                      <w:rFonts w:hint="default" w:ascii="Times New Roman" w:hAnsi="Times New Roman" w:eastAsia="宋体" w:cs="Times New Roman"/>
                      <w:b w:val="0"/>
                      <w:color w:val="auto"/>
                      <w:sz w:val="18"/>
                      <w:szCs w:val="18"/>
                    </w:rPr>
                    <w:t>控</w:t>
                  </w:r>
                </w:p>
              </w:tc>
              <w:tc>
                <w:tcPr>
                  <w:tcW w:w="3613" w:type="dxa"/>
                  <w:tcBorders>
                    <w:tl2br w:val="nil"/>
                    <w:tr2bl w:val="nil"/>
                  </w:tcBorders>
                  <w:noWrap w:val="0"/>
                  <w:vAlign w:val="center"/>
                </w:tcPr>
                <w:p w14:paraId="5764B0C6">
                  <w:pPr>
                    <w:pStyle w:val="34"/>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color w:val="auto"/>
                      <w:sz w:val="18"/>
                      <w:szCs w:val="18"/>
                    </w:rPr>
                  </w:pPr>
                  <w:r>
                    <w:rPr>
                      <w:rFonts w:hint="default" w:ascii="Times New Roman" w:hAnsi="Times New Roman" w:eastAsia="宋体" w:cs="Times New Roman"/>
                      <w:b w:val="0"/>
                      <w:color w:val="auto"/>
                      <w:sz w:val="18"/>
                      <w:szCs w:val="18"/>
                    </w:rPr>
                    <w:t>园区周边设置100米安全防护距离，制定并落实区内建设项目环境风险防范措施和事故应急预案，防止事故性污染的发生。</w:t>
                  </w:r>
                </w:p>
              </w:tc>
              <w:tc>
                <w:tcPr>
                  <w:tcW w:w="3341" w:type="dxa"/>
                  <w:tcBorders>
                    <w:tl2br w:val="nil"/>
                    <w:tr2bl w:val="nil"/>
                  </w:tcBorders>
                  <w:noWrap w:val="0"/>
                  <w:vAlign w:val="center"/>
                </w:tcPr>
                <w:p w14:paraId="6F943AB1">
                  <w:pPr>
                    <w:pStyle w:val="34"/>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color w:val="auto"/>
                      <w:sz w:val="18"/>
                      <w:szCs w:val="18"/>
                      <w:lang w:eastAsia="zh-CN"/>
                    </w:rPr>
                  </w:pPr>
                  <w:r>
                    <w:rPr>
                      <w:rFonts w:hint="eastAsia" w:ascii="Times New Roman" w:hAnsi="Times New Roman" w:eastAsia="宋体" w:cs="Times New Roman"/>
                      <w:b w:val="0"/>
                      <w:color w:val="auto"/>
                      <w:sz w:val="18"/>
                      <w:szCs w:val="18"/>
                      <w:lang w:val="en-US" w:eastAsia="zh-CN"/>
                    </w:rPr>
                    <w:t>拟建</w:t>
                  </w:r>
                  <w:r>
                    <w:rPr>
                      <w:rFonts w:hint="default" w:ascii="Times New Roman" w:hAnsi="Times New Roman" w:eastAsia="宋体" w:cs="Times New Roman"/>
                      <w:b w:val="0"/>
                      <w:color w:val="auto"/>
                      <w:sz w:val="18"/>
                      <w:szCs w:val="18"/>
                      <w:lang w:val="en-US" w:eastAsia="zh-CN"/>
                    </w:rPr>
                    <w:t>项目建成后</w:t>
                  </w:r>
                  <w:r>
                    <w:rPr>
                      <w:rFonts w:hint="default" w:ascii="Times New Roman" w:hAnsi="Times New Roman" w:eastAsia="宋体" w:cs="Times New Roman"/>
                      <w:b w:val="0"/>
                      <w:color w:val="auto"/>
                      <w:sz w:val="18"/>
                      <w:szCs w:val="18"/>
                      <w:lang w:eastAsia="zh-CN"/>
                    </w:rPr>
                    <w:t>将按照管理要求配备相应应急物质，落实风险防范措施，健全环境风险防控体系，提升环境应急能力，加强环境应急基础设施建设，提高环境应急救援能力</w:t>
                  </w:r>
                </w:p>
              </w:tc>
            </w:tr>
            <w:tr w14:paraId="2338629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tcBorders>
                    <w:tl2br w:val="nil"/>
                    <w:tr2bl w:val="nil"/>
                  </w:tcBorders>
                  <w:noWrap w:val="0"/>
                  <w:vAlign w:val="center"/>
                </w:tcPr>
                <w:p w14:paraId="2DA27C6A">
                  <w:pPr>
                    <w:pStyle w:val="34"/>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color w:val="auto"/>
                      <w:sz w:val="18"/>
                      <w:szCs w:val="18"/>
                    </w:rPr>
                  </w:pPr>
                  <w:r>
                    <w:rPr>
                      <w:rFonts w:hint="default" w:ascii="Times New Roman" w:hAnsi="Times New Roman" w:eastAsia="宋体" w:cs="Times New Roman"/>
                      <w:b w:val="0"/>
                      <w:color w:val="auto"/>
                      <w:sz w:val="18"/>
                      <w:szCs w:val="18"/>
                    </w:rPr>
                    <w:t>资源利用效率要求</w:t>
                  </w:r>
                </w:p>
              </w:tc>
              <w:tc>
                <w:tcPr>
                  <w:tcW w:w="3613" w:type="dxa"/>
                  <w:tcBorders>
                    <w:tl2br w:val="nil"/>
                    <w:tr2bl w:val="nil"/>
                  </w:tcBorders>
                  <w:noWrap w:val="0"/>
                  <w:vAlign w:val="center"/>
                </w:tcPr>
                <w:p w14:paraId="3FD4CA37">
                  <w:pPr>
                    <w:pStyle w:val="34"/>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color w:val="auto"/>
                      <w:sz w:val="18"/>
                      <w:szCs w:val="18"/>
                      <w:lang w:eastAsia="zh-CN"/>
                    </w:rPr>
                  </w:pPr>
                  <w:r>
                    <w:rPr>
                      <w:rFonts w:hint="default" w:ascii="Times New Roman" w:hAnsi="Times New Roman" w:eastAsia="宋体" w:cs="Times New Roman"/>
                      <w:b w:val="0"/>
                      <w:color w:val="auto"/>
                      <w:sz w:val="18"/>
                      <w:szCs w:val="18"/>
                      <w:lang w:val="en-US" w:eastAsia="zh-CN"/>
                    </w:rPr>
                    <w:t>禁止销售使用燃料为“Ⅱ类”（较严），具体包括：①除单台出力大于等于20蒸吨/小时锅炉以外燃用的煤炭及其制品。②石油焦、油页岩、原油、重油、渣油、煤焦油。</w:t>
                  </w:r>
                </w:p>
              </w:tc>
              <w:tc>
                <w:tcPr>
                  <w:tcW w:w="3341" w:type="dxa"/>
                  <w:tcBorders>
                    <w:tl2br w:val="nil"/>
                    <w:tr2bl w:val="nil"/>
                  </w:tcBorders>
                  <w:noWrap w:val="0"/>
                  <w:vAlign w:val="center"/>
                </w:tcPr>
                <w:p w14:paraId="1C230F4E">
                  <w:pPr>
                    <w:pStyle w:val="34"/>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color w:val="auto"/>
                      <w:sz w:val="18"/>
                      <w:szCs w:val="18"/>
                      <w:lang w:val="en-US" w:eastAsia="zh-CN"/>
                    </w:rPr>
                  </w:pPr>
                  <w:r>
                    <w:rPr>
                      <w:rFonts w:hint="eastAsia" w:ascii="Times New Roman" w:hAnsi="Times New Roman" w:eastAsia="宋体" w:cs="Times New Roman"/>
                      <w:b w:val="0"/>
                      <w:color w:val="auto"/>
                      <w:sz w:val="18"/>
                      <w:szCs w:val="18"/>
                      <w:lang w:val="en-US" w:eastAsia="zh-CN"/>
                    </w:rPr>
                    <w:t>拟建</w:t>
                  </w:r>
                  <w:r>
                    <w:rPr>
                      <w:rFonts w:hint="default" w:ascii="Times New Roman" w:hAnsi="Times New Roman" w:eastAsia="宋体" w:cs="Times New Roman"/>
                      <w:b w:val="0"/>
                      <w:color w:val="auto"/>
                      <w:sz w:val="18"/>
                      <w:szCs w:val="18"/>
                      <w:lang w:val="en-US" w:eastAsia="zh-CN"/>
                    </w:rPr>
                    <w:t>项目不涉及高污染燃料使用</w:t>
                  </w:r>
                </w:p>
              </w:tc>
            </w:tr>
          </w:tbl>
          <w:p w14:paraId="3307316C">
            <w:pPr>
              <w:keepNext w:val="0"/>
              <w:keepLines w:val="0"/>
              <w:suppressLineNumbers w:val="0"/>
              <w:adjustRightInd w:val="0"/>
              <w:snapToGrid w:val="0"/>
              <w:spacing w:before="0" w:beforeLines="50" w:beforeAutospacing="0" w:after="0" w:afterAutospacing="0" w:line="360" w:lineRule="auto"/>
              <w:ind w:left="0" w:right="0" w:firstLine="480" w:firstLineChars="200"/>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综上所述，</w:t>
            </w:r>
            <w:r>
              <w:rPr>
                <w:rFonts w:hint="eastAsia" w:cs="Times New Roman"/>
                <w:color w:val="auto"/>
                <w:sz w:val="24"/>
                <w:lang w:val="en-US" w:eastAsia="zh-CN"/>
              </w:rPr>
              <w:t>拟建</w:t>
            </w:r>
            <w:r>
              <w:rPr>
                <w:rFonts w:hint="default" w:ascii="Times New Roman" w:hAnsi="Times New Roman" w:eastAsia="宋体" w:cs="Times New Roman"/>
                <w:color w:val="auto"/>
                <w:sz w:val="24"/>
                <w:lang w:val="en-US" w:eastAsia="zh-CN"/>
              </w:rPr>
              <w:t>项目</w:t>
            </w:r>
            <w:r>
              <w:rPr>
                <w:rFonts w:hint="default" w:ascii="Times New Roman" w:hAnsi="Times New Roman" w:eastAsia="宋体" w:cs="Times New Roman"/>
                <w:color w:val="auto"/>
                <w:sz w:val="24"/>
              </w:rPr>
              <w:t>符合</w:t>
            </w:r>
            <w:r>
              <w:rPr>
                <w:rFonts w:hint="default" w:ascii="Times New Roman" w:hAnsi="Times New Roman" w:eastAsia="宋体" w:cs="Times New Roman"/>
                <w:color w:val="auto"/>
                <w:sz w:val="24"/>
                <w:lang w:eastAsia="zh-CN"/>
              </w:rPr>
              <w:t>区域</w:t>
            </w:r>
            <w:r>
              <w:rPr>
                <w:rFonts w:hint="default" w:ascii="Times New Roman" w:hAnsi="Times New Roman" w:eastAsia="宋体" w:cs="Times New Roman"/>
                <w:color w:val="auto"/>
                <w:sz w:val="24"/>
              </w:rPr>
              <w:t>“三线一单”的要求。</w:t>
            </w:r>
          </w:p>
          <w:p w14:paraId="583B49DE">
            <w:pPr>
              <w:keepNext w:val="0"/>
              <w:keepLines w:val="0"/>
              <w:numPr>
                <w:ilvl w:val="0"/>
                <w:numId w:val="6"/>
              </w:numPr>
              <w:suppressLineNumbers w:val="0"/>
              <w:spacing w:before="0" w:beforeAutospacing="0" w:after="0" w:afterAutospacing="0"/>
              <w:ind w:left="0" w:right="0" w:firstLine="482"/>
              <w:rPr>
                <w:rFonts w:hint="default" w:ascii="Times New Roman" w:hAnsi="Times New Roman" w:eastAsia="宋体" w:cs="Times New Roman"/>
                <w:b/>
                <w:bCs/>
                <w:color w:val="auto"/>
              </w:rPr>
            </w:pPr>
            <w:r>
              <w:rPr>
                <w:rFonts w:hint="default" w:ascii="Times New Roman" w:hAnsi="Times New Roman" w:eastAsia="宋体" w:cs="Times New Roman"/>
                <w:b/>
                <w:bCs/>
                <w:color w:val="auto"/>
              </w:rPr>
              <w:t>产业政策相符性分析</w:t>
            </w:r>
          </w:p>
          <w:p w14:paraId="6DD4366A">
            <w:pPr>
              <w:keepNext w:val="0"/>
              <w:keepLines w:val="0"/>
              <w:suppressLineNumbers w:val="0"/>
              <w:spacing w:before="0" w:beforeAutospacing="0" w:after="0" w:afterAutospacing="0"/>
              <w:ind w:left="0" w:right="0" w:firstLine="480"/>
              <w:rPr>
                <w:rFonts w:hint="default" w:ascii="Times New Roman" w:hAnsi="Times New Roman" w:eastAsia="宋体" w:cs="Times New Roman"/>
                <w:color w:val="auto"/>
                <w:sz w:val="24"/>
                <w:lang w:eastAsia="zh-CN"/>
              </w:rPr>
            </w:pPr>
            <w:r>
              <w:rPr>
                <w:rFonts w:hint="default" w:ascii="Times New Roman" w:hAnsi="Times New Roman" w:eastAsia="宋体" w:cs="Times New Roman"/>
                <w:color w:val="auto"/>
                <w:lang w:val="en-US" w:eastAsia="zh-CN"/>
              </w:rPr>
              <w:t>项目属于</w:t>
            </w:r>
            <w:r>
              <w:rPr>
                <w:rFonts w:hint="eastAsia" w:cs="Times New Roman"/>
                <w:color w:val="auto"/>
                <w:lang w:val="en-US" w:eastAsia="zh-CN"/>
              </w:rPr>
              <w:t>耐火材料制造项目</w:t>
            </w:r>
            <w:r>
              <w:rPr>
                <w:rFonts w:hint="default" w:ascii="Times New Roman" w:hAnsi="Times New Roman" w:eastAsia="宋体" w:cs="Times New Roman"/>
                <w:color w:val="auto"/>
                <w:lang w:val="en-US" w:eastAsia="zh-CN"/>
              </w:rPr>
              <w:t>，</w:t>
            </w:r>
            <w:r>
              <w:rPr>
                <w:rFonts w:hint="default" w:ascii="Times New Roman" w:hAnsi="Times New Roman" w:eastAsia="宋体" w:cs="Times New Roman"/>
                <w:color w:val="auto"/>
              </w:rPr>
              <w:t>经查《产业结构调整指导目录》（20</w:t>
            </w:r>
            <w:r>
              <w:rPr>
                <w:rFonts w:hint="default" w:ascii="Times New Roman" w:hAnsi="Times New Roman" w:eastAsia="宋体" w:cs="Times New Roman"/>
                <w:color w:val="auto"/>
                <w:lang w:val="en-US" w:eastAsia="zh-CN"/>
              </w:rPr>
              <w:t>24</w:t>
            </w:r>
            <w:r>
              <w:rPr>
                <w:rFonts w:hint="default" w:ascii="Times New Roman" w:hAnsi="Times New Roman" w:eastAsia="宋体" w:cs="Times New Roman"/>
                <w:color w:val="auto"/>
              </w:rPr>
              <w:t>年本）</w:t>
            </w:r>
            <w:r>
              <w:rPr>
                <w:rFonts w:hint="default" w:ascii="Times New Roman" w:hAnsi="Times New Roman" w:eastAsia="宋体" w:cs="Times New Roman"/>
                <w:color w:val="auto"/>
                <w:kern w:val="0"/>
                <w:sz w:val="24"/>
                <w:szCs w:val="20"/>
              </w:rPr>
              <w:t>（国家发展和改革委员会令第7号）</w:t>
            </w:r>
            <w:r>
              <w:rPr>
                <w:rFonts w:hint="default" w:ascii="Times New Roman" w:hAnsi="Times New Roman" w:eastAsia="宋体" w:cs="Times New Roman"/>
                <w:color w:val="auto"/>
                <w:lang w:eastAsia="zh-CN"/>
              </w:rPr>
              <w:t>，</w:t>
            </w:r>
            <w:r>
              <w:rPr>
                <w:rFonts w:hint="default" w:ascii="Times New Roman" w:hAnsi="Times New Roman" w:eastAsia="宋体" w:cs="Times New Roman"/>
                <w:color w:val="auto"/>
                <w:lang w:val="en-US" w:eastAsia="zh-CN"/>
              </w:rPr>
              <w:t>建设项目不属于</w:t>
            </w:r>
            <w:r>
              <w:rPr>
                <w:rFonts w:hint="default" w:ascii="Times New Roman" w:hAnsi="Times New Roman" w:eastAsia="宋体" w:cs="Times New Roman"/>
                <w:color w:val="auto"/>
                <w:kern w:val="0"/>
                <w:sz w:val="24"/>
                <w:szCs w:val="20"/>
              </w:rPr>
              <w:t>鼓励类、限制类、淘汰类项目</w:t>
            </w:r>
            <w:r>
              <w:rPr>
                <w:rFonts w:hint="default" w:ascii="Times New Roman" w:hAnsi="Times New Roman" w:eastAsia="宋体" w:cs="Times New Roman"/>
                <w:color w:val="auto"/>
                <w:kern w:val="0"/>
                <w:sz w:val="24"/>
                <w:szCs w:val="20"/>
                <w:lang w:eastAsia="zh-CN"/>
              </w:rPr>
              <w:t>，</w:t>
            </w:r>
            <w:r>
              <w:rPr>
                <w:rFonts w:hint="default" w:ascii="Times New Roman" w:hAnsi="Times New Roman" w:eastAsia="宋体" w:cs="Times New Roman"/>
                <w:color w:val="auto"/>
                <w:kern w:val="0"/>
                <w:sz w:val="24"/>
                <w:szCs w:val="20"/>
                <w:lang w:val="en-US" w:eastAsia="zh-CN"/>
              </w:rPr>
              <w:t>为允许类项目</w:t>
            </w:r>
            <w:r>
              <w:rPr>
                <w:rFonts w:hint="default" w:ascii="Times New Roman" w:hAnsi="Times New Roman" w:eastAsia="宋体" w:cs="Times New Roman"/>
                <w:color w:val="auto"/>
                <w:lang w:val="en-US" w:eastAsia="zh-CN"/>
              </w:rPr>
              <w:t>。</w:t>
            </w:r>
          </w:p>
          <w:p w14:paraId="38D9146B">
            <w:pPr>
              <w:keepNext w:val="0"/>
              <w:keepLines w:val="0"/>
              <w:suppressLineNumbers w:val="0"/>
              <w:spacing w:before="0" w:beforeAutospacing="0" w:after="0" w:afterAutospacing="0"/>
              <w:ind w:left="0" w:right="0" w:firstLine="480"/>
              <w:rPr>
                <w:rFonts w:hint="default" w:ascii="Times New Roman" w:hAnsi="Times New Roman" w:eastAsia="宋体" w:cs="Times New Roman"/>
                <w:color w:val="auto"/>
                <w:lang w:val="en-US" w:eastAsia="zh-CN"/>
              </w:rPr>
            </w:pPr>
            <w:r>
              <w:rPr>
                <w:rFonts w:hint="eastAsia" w:cs="Times New Roman"/>
                <w:color w:val="auto"/>
                <w:lang w:val="en-US" w:eastAsia="zh-CN"/>
              </w:rPr>
              <w:t>拟建</w:t>
            </w:r>
            <w:r>
              <w:rPr>
                <w:rFonts w:hint="default" w:ascii="Times New Roman" w:hAnsi="Times New Roman" w:eastAsia="宋体" w:cs="Times New Roman"/>
                <w:color w:val="auto"/>
                <w:lang w:val="en-US" w:eastAsia="zh-CN"/>
              </w:rPr>
              <w:t>项目于202</w:t>
            </w:r>
            <w:r>
              <w:rPr>
                <w:rFonts w:hint="eastAsia" w:cs="Times New Roman"/>
                <w:color w:val="auto"/>
                <w:lang w:val="en-US" w:eastAsia="zh-CN"/>
              </w:rPr>
              <w:t>5</w:t>
            </w:r>
            <w:r>
              <w:rPr>
                <w:rFonts w:hint="default" w:ascii="Times New Roman" w:hAnsi="Times New Roman" w:eastAsia="宋体" w:cs="Times New Roman"/>
                <w:color w:val="auto"/>
                <w:lang w:val="en-US" w:eastAsia="zh-CN"/>
              </w:rPr>
              <w:t>年1月</w:t>
            </w:r>
            <w:r>
              <w:rPr>
                <w:rFonts w:hint="eastAsia" w:cs="Times New Roman"/>
                <w:color w:val="auto"/>
                <w:lang w:val="en-US" w:eastAsia="zh-CN"/>
              </w:rPr>
              <w:t>16</w:t>
            </w:r>
            <w:r>
              <w:rPr>
                <w:rFonts w:hint="default" w:ascii="Times New Roman" w:hAnsi="Times New Roman" w:eastAsia="宋体" w:cs="Times New Roman"/>
                <w:color w:val="auto"/>
                <w:lang w:val="en-US" w:eastAsia="zh-CN"/>
              </w:rPr>
              <w:t>日取得淮安市淮阴区政务服务管理办公室备案，备案证号：</w:t>
            </w:r>
            <w:r>
              <w:rPr>
                <w:rFonts w:hint="default" w:ascii="Times New Roman" w:hAnsi="Times New Roman" w:eastAsia="宋体" w:cs="Times New Roman"/>
                <w:color w:val="auto"/>
                <w:lang w:val="en-US" w:eastAsia="zh-CN"/>
              </w:rPr>
              <w:t>淮安高新区数据投资备〔2025〕6号</w:t>
            </w:r>
            <w:r>
              <w:rPr>
                <w:rFonts w:hint="default" w:ascii="Times New Roman" w:hAnsi="Times New Roman" w:eastAsia="宋体" w:cs="Times New Roman"/>
                <w:color w:val="auto"/>
                <w:lang w:val="en-US" w:eastAsia="zh-CN"/>
              </w:rPr>
              <w:t>，项目代码：2501-320856-89-01-215693。</w:t>
            </w:r>
          </w:p>
          <w:p w14:paraId="349909BF">
            <w:pPr>
              <w:keepNext w:val="0"/>
              <w:keepLines w:val="0"/>
              <w:suppressLineNumbers w:val="0"/>
              <w:spacing w:before="0" w:beforeAutospacing="0" w:after="0" w:afterAutospacing="0"/>
              <w:ind w:left="0" w:right="0" w:firstLine="480"/>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综上，</w:t>
            </w:r>
            <w:r>
              <w:rPr>
                <w:rFonts w:hint="eastAsia" w:cs="Times New Roman"/>
                <w:color w:val="auto"/>
                <w:lang w:val="en-US" w:eastAsia="zh-CN"/>
              </w:rPr>
              <w:t>拟建</w:t>
            </w:r>
            <w:r>
              <w:rPr>
                <w:rFonts w:hint="default" w:ascii="Times New Roman" w:hAnsi="Times New Roman" w:eastAsia="宋体" w:cs="Times New Roman"/>
                <w:color w:val="auto"/>
                <w:lang w:val="en-US" w:eastAsia="zh-CN"/>
              </w:rPr>
              <w:t>项目与国家产业政策相符。</w:t>
            </w:r>
          </w:p>
          <w:p w14:paraId="33E19D49">
            <w:pPr>
              <w:keepNext w:val="0"/>
              <w:keepLines w:val="0"/>
              <w:numPr>
                <w:ilvl w:val="0"/>
                <w:numId w:val="6"/>
              </w:numPr>
              <w:suppressLineNumbers w:val="0"/>
              <w:spacing w:before="0" w:beforeAutospacing="0" w:after="0" w:afterAutospacing="0"/>
              <w:ind w:left="0" w:right="0" w:firstLine="482"/>
              <w:rPr>
                <w:rFonts w:hint="default" w:ascii="Times New Roman" w:hAnsi="Times New Roman" w:eastAsia="宋体" w:cs="Times New Roman"/>
                <w:b/>
                <w:bCs/>
                <w:color w:val="auto"/>
              </w:rPr>
            </w:pPr>
            <w:r>
              <w:rPr>
                <w:rFonts w:hint="default" w:ascii="Times New Roman" w:hAnsi="Times New Roman" w:eastAsia="宋体" w:cs="Times New Roman"/>
                <w:b/>
                <w:bCs/>
                <w:color w:val="auto"/>
              </w:rPr>
              <w:t>与相关环保法规、</w:t>
            </w:r>
            <w:r>
              <w:rPr>
                <w:rFonts w:hint="default" w:ascii="Times New Roman" w:hAnsi="Times New Roman" w:eastAsia="宋体" w:cs="Times New Roman"/>
                <w:b/>
                <w:bCs/>
                <w:color w:val="auto"/>
                <w:lang w:eastAsia="zh-CN"/>
              </w:rPr>
              <w:t>政策</w:t>
            </w:r>
            <w:r>
              <w:rPr>
                <w:rFonts w:hint="default" w:ascii="Times New Roman" w:hAnsi="Times New Roman" w:eastAsia="宋体" w:cs="Times New Roman"/>
                <w:b/>
                <w:bCs/>
                <w:color w:val="auto"/>
              </w:rPr>
              <w:t>等相符性分析</w:t>
            </w:r>
          </w:p>
          <w:p w14:paraId="183B2BC4">
            <w:pPr>
              <w:keepNext w:val="0"/>
              <w:keepLines w:val="0"/>
              <w:suppressLineNumbers w:val="0"/>
              <w:spacing w:before="0" w:beforeAutospacing="0" w:after="0" w:afterAutospacing="0"/>
              <w:ind w:left="0" w:right="0" w:firstLine="480"/>
              <w:rPr>
                <w:rFonts w:hint="default" w:ascii="Times New Roman" w:hAnsi="Times New Roman" w:eastAsia="宋体" w:cs="Times New Roman"/>
                <w:b/>
                <w:bCs/>
                <w:color w:val="auto"/>
              </w:rPr>
            </w:pPr>
            <w:r>
              <w:rPr>
                <w:rFonts w:hint="eastAsia" w:cs="Times New Roman"/>
                <w:color w:val="auto"/>
                <w:lang w:val="en-US" w:eastAsia="zh-CN"/>
              </w:rPr>
              <w:t>拟建</w:t>
            </w:r>
            <w:r>
              <w:rPr>
                <w:rFonts w:hint="default" w:ascii="Times New Roman" w:hAnsi="Times New Roman" w:eastAsia="宋体" w:cs="Times New Roman"/>
                <w:color w:val="auto"/>
                <w:lang w:val="en-US" w:eastAsia="zh-CN"/>
              </w:rPr>
              <w:t>项目</w:t>
            </w:r>
            <w:r>
              <w:rPr>
                <w:rFonts w:hint="default" w:ascii="Times New Roman" w:hAnsi="Times New Roman" w:eastAsia="宋体" w:cs="Times New Roman"/>
                <w:color w:val="auto"/>
              </w:rPr>
              <w:t>与国家、江苏省、淮安市相关环保法规、</w:t>
            </w:r>
            <w:r>
              <w:rPr>
                <w:rFonts w:hint="default" w:ascii="Times New Roman" w:hAnsi="Times New Roman" w:eastAsia="宋体" w:cs="Times New Roman"/>
                <w:color w:val="auto"/>
                <w:lang w:eastAsia="zh-CN"/>
              </w:rPr>
              <w:t>政策</w:t>
            </w:r>
            <w:r>
              <w:rPr>
                <w:rFonts w:hint="default" w:ascii="Times New Roman" w:hAnsi="Times New Roman" w:eastAsia="宋体" w:cs="Times New Roman"/>
                <w:color w:val="auto"/>
              </w:rPr>
              <w:t>等相符性分析见表1</w:t>
            </w:r>
            <w:r>
              <w:rPr>
                <w:rFonts w:hint="default" w:ascii="Times New Roman" w:hAnsi="Times New Roman" w:eastAsia="宋体" w:cs="Times New Roman"/>
                <w:color w:val="auto"/>
                <w:lang w:val="en-US" w:eastAsia="zh-CN"/>
              </w:rPr>
              <w:t>.1</w:t>
            </w:r>
            <w:r>
              <w:rPr>
                <w:rFonts w:hint="default" w:ascii="Times New Roman" w:hAnsi="Times New Roman" w:eastAsia="宋体" w:cs="Times New Roman"/>
                <w:color w:val="auto"/>
              </w:rPr>
              <w:t>-</w:t>
            </w:r>
            <w:r>
              <w:rPr>
                <w:rFonts w:hint="default" w:ascii="Times New Roman" w:hAnsi="Times New Roman" w:eastAsia="宋体" w:cs="Times New Roman"/>
                <w:color w:val="auto"/>
                <w:lang w:val="en-US" w:eastAsia="zh-CN"/>
              </w:rPr>
              <w:t>8</w:t>
            </w:r>
            <w:r>
              <w:rPr>
                <w:rFonts w:hint="default" w:ascii="Times New Roman" w:hAnsi="Times New Roman" w:eastAsia="宋体" w:cs="Times New Roman"/>
                <w:color w:val="auto"/>
              </w:rPr>
              <w:t>。</w:t>
            </w:r>
          </w:p>
          <w:p w14:paraId="24F4840D">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rPr>
            </w:pPr>
            <w:r>
              <w:rPr>
                <w:rFonts w:hint="default" w:ascii="Times New Roman" w:hAnsi="Times New Roman" w:eastAsia="宋体" w:cs="Times New Roman"/>
                <w:b/>
                <w:bCs/>
                <w:color w:val="auto"/>
              </w:rPr>
              <w:t>表1</w:t>
            </w:r>
            <w:r>
              <w:rPr>
                <w:rFonts w:hint="default" w:ascii="Times New Roman" w:hAnsi="Times New Roman" w:eastAsia="宋体" w:cs="Times New Roman"/>
                <w:b/>
                <w:bCs/>
                <w:color w:val="auto"/>
                <w:lang w:val="en-US" w:eastAsia="zh-CN"/>
              </w:rPr>
              <w:t>.1</w:t>
            </w:r>
            <w:r>
              <w:rPr>
                <w:rFonts w:hint="default" w:ascii="Times New Roman" w:hAnsi="Times New Roman" w:eastAsia="宋体" w:cs="Times New Roman"/>
                <w:b/>
                <w:bCs/>
                <w:color w:val="auto"/>
              </w:rPr>
              <w:t>-</w:t>
            </w:r>
            <w:r>
              <w:rPr>
                <w:rFonts w:hint="default" w:ascii="Times New Roman" w:hAnsi="Times New Roman" w:eastAsia="宋体" w:cs="Times New Roman"/>
                <w:b/>
                <w:bCs/>
                <w:color w:val="auto"/>
                <w:lang w:val="en-US" w:eastAsia="zh-CN"/>
              </w:rPr>
              <w:t>8</w:t>
            </w:r>
            <w:r>
              <w:rPr>
                <w:rFonts w:hint="default" w:ascii="Times New Roman" w:hAnsi="Times New Roman" w:eastAsia="宋体" w:cs="Times New Roman"/>
                <w:b/>
                <w:bCs/>
                <w:color w:val="auto"/>
              </w:rPr>
              <w:t xml:space="preserve">  </w:t>
            </w:r>
            <w:r>
              <w:rPr>
                <w:rFonts w:hint="default" w:ascii="Times New Roman" w:hAnsi="Times New Roman" w:eastAsia="宋体" w:cs="Times New Roman"/>
                <w:b/>
                <w:bCs/>
                <w:color w:val="auto"/>
                <w:lang w:val="en-US" w:eastAsia="zh-CN"/>
              </w:rPr>
              <w:t>建设项目</w:t>
            </w:r>
            <w:r>
              <w:rPr>
                <w:rFonts w:hint="default" w:ascii="Times New Roman" w:hAnsi="Times New Roman" w:eastAsia="宋体" w:cs="Times New Roman"/>
                <w:b/>
                <w:bCs/>
                <w:color w:val="auto"/>
              </w:rPr>
              <w:t>与相关环保法规、指南等相符性分析表</w:t>
            </w:r>
          </w:p>
          <w:tbl>
            <w:tblPr>
              <w:tblStyle w:val="27"/>
              <w:tblW w:w="8338" w:type="dxa"/>
              <w:jc w:val="center"/>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Layout w:type="autofit"/>
              <w:tblCellMar>
                <w:top w:w="0" w:type="dxa"/>
                <w:left w:w="28" w:type="dxa"/>
                <w:bottom w:w="0" w:type="dxa"/>
                <w:right w:w="28" w:type="dxa"/>
              </w:tblCellMar>
            </w:tblPr>
            <w:tblGrid>
              <w:gridCol w:w="1786"/>
              <w:gridCol w:w="549"/>
              <w:gridCol w:w="3164"/>
              <w:gridCol w:w="2140"/>
              <w:gridCol w:w="699"/>
            </w:tblGrid>
            <w:tr w14:paraId="79F0D4AE">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28" w:type="dxa"/>
                  <w:bottom w:w="0" w:type="dxa"/>
                  <w:right w:w="28" w:type="dxa"/>
                </w:tblCellMar>
              </w:tblPrEx>
              <w:trPr>
                <w:trHeight w:val="340" w:hRule="atLeast"/>
                <w:jc w:val="center"/>
              </w:trPr>
              <w:tc>
                <w:tcPr>
                  <w:tcW w:w="1786" w:type="dxa"/>
                  <w:tcBorders>
                    <w:tl2br w:val="nil"/>
                    <w:tr2bl w:val="nil"/>
                  </w:tcBorders>
                  <w:noWrap w:val="0"/>
                  <w:vAlign w:val="center"/>
                </w:tcPr>
                <w:p w14:paraId="15119841">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文件名称</w:t>
                  </w:r>
                </w:p>
              </w:tc>
              <w:tc>
                <w:tcPr>
                  <w:tcW w:w="3713" w:type="dxa"/>
                  <w:gridSpan w:val="2"/>
                  <w:tcBorders>
                    <w:tl2br w:val="nil"/>
                    <w:tr2bl w:val="nil"/>
                  </w:tcBorders>
                  <w:noWrap w:val="0"/>
                  <w:vAlign w:val="center"/>
                </w:tcPr>
                <w:p w14:paraId="1F11E3E6">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要求</w:t>
                  </w:r>
                </w:p>
              </w:tc>
              <w:tc>
                <w:tcPr>
                  <w:tcW w:w="2140" w:type="dxa"/>
                  <w:tcBorders>
                    <w:tl2br w:val="nil"/>
                    <w:tr2bl w:val="nil"/>
                  </w:tcBorders>
                  <w:noWrap w:val="0"/>
                  <w:vAlign w:val="center"/>
                </w:tcPr>
                <w:p w14:paraId="2BCDB19C">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eastAsia" w:cs="Times New Roman"/>
                      <w:b/>
                      <w:bCs/>
                      <w:color w:val="auto"/>
                      <w:kern w:val="0"/>
                      <w:sz w:val="18"/>
                      <w:szCs w:val="18"/>
                      <w:lang w:eastAsia="zh-CN"/>
                    </w:rPr>
                    <w:t>拟建</w:t>
                  </w:r>
                  <w:r>
                    <w:rPr>
                      <w:rFonts w:hint="default" w:ascii="Times New Roman" w:hAnsi="Times New Roman" w:eastAsia="宋体" w:cs="Times New Roman"/>
                      <w:b/>
                      <w:bCs/>
                      <w:color w:val="auto"/>
                      <w:kern w:val="0"/>
                      <w:sz w:val="18"/>
                      <w:szCs w:val="18"/>
                      <w:lang w:eastAsia="zh-CN"/>
                    </w:rPr>
                    <w:t>项目</w:t>
                  </w:r>
                  <w:r>
                    <w:rPr>
                      <w:rFonts w:hint="default" w:ascii="Times New Roman" w:hAnsi="Times New Roman" w:eastAsia="宋体" w:cs="Times New Roman"/>
                      <w:b/>
                      <w:color w:val="auto"/>
                      <w:sz w:val="18"/>
                      <w:szCs w:val="18"/>
                    </w:rPr>
                    <w:t>情况</w:t>
                  </w:r>
                </w:p>
              </w:tc>
              <w:tc>
                <w:tcPr>
                  <w:tcW w:w="699" w:type="dxa"/>
                  <w:tcBorders>
                    <w:tl2br w:val="nil"/>
                    <w:tr2bl w:val="nil"/>
                  </w:tcBorders>
                  <w:noWrap w:val="0"/>
                  <w:vAlign w:val="center"/>
                </w:tcPr>
                <w:p w14:paraId="1B5E33CD">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相符性判定</w:t>
                  </w:r>
                </w:p>
              </w:tc>
            </w:tr>
            <w:tr w14:paraId="6AAC6D4B">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28" w:type="dxa"/>
                  <w:bottom w:w="0" w:type="dxa"/>
                  <w:right w:w="28" w:type="dxa"/>
                </w:tblCellMar>
              </w:tblPrEx>
              <w:trPr>
                <w:trHeight w:val="340" w:hRule="atLeast"/>
                <w:jc w:val="center"/>
              </w:trPr>
              <w:tc>
                <w:tcPr>
                  <w:tcW w:w="1786" w:type="dxa"/>
                  <w:tcBorders>
                    <w:tl2br w:val="nil"/>
                    <w:tr2bl w:val="nil"/>
                  </w:tcBorders>
                  <w:noWrap w:val="0"/>
                  <w:vAlign w:val="center"/>
                </w:tcPr>
                <w:p w14:paraId="78A1B807">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color w:val="auto"/>
                      <w:sz w:val="18"/>
                      <w:szCs w:val="18"/>
                    </w:rPr>
                  </w:pPr>
                  <w:r>
                    <w:rPr>
                      <w:rFonts w:hint="default" w:ascii="Times New Roman" w:hAnsi="Times New Roman" w:eastAsia="宋体" w:cs="Times New Roman"/>
                      <w:b w:val="0"/>
                      <w:bCs/>
                      <w:color w:val="auto"/>
                      <w:sz w:val="18"/>
                      <w:szCs w:val="18"/>
                    </w:rPr>
                    <w:t>《江苏省大气污染防治条例》</w:t>
                  </w:r>
                </w:p>
              </w:tc>
              <w:tc>
                <w:tcPr>
                  <w:tcW w:w="3713" w:type="dxa"/>
                  <w:gridSpan w:val="2"/>
                  <w:tcBorders>
                    <w:tl2br w:val="nil"/>
                    <w:tr2bl w:val="nil"/>
                  </w:tcBorders>
                  <w:noWrap w:val="0"/>
                  <w:vAlign w:val="center"/>
                </w:tcPr>
                <w:p w14:paraId="71C49C9B">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color w:val="auto"/>
                      <w:sz w:val="18"/>
                      <w:szCs w:val="18"/>
                    </w:rPr>
                  </w:pPr>
                  <w:r>
                    <w:rPr>
                      <w:rFonts w:hint="default" w:ascii="Times New Roman" w:hAnsi="Times New Roman" w:eastAsia="宋体" w:cs="Times New Roman"/>
                      <w:b w:val="0"/>
                      <w:bCs/>
                      <w:color w:val="auto"/>
                      <w:sz w:val="18"/>
                      <w:szCs w:val="18"/>
                    </w:rPr>
                    <w:t>第三十七条：严格控制新建、改建、扩建钢铁、建材、石化、有色、化工等行业中的大气重污染工业项目。新建、改建、扩建的大气重污染工业项目生产过程中排放烟粉尘、硫化物和氮氧化物等大气污染物的，应当配套建设和使用除尘、脱硫、脱硝等减排装置，或者采取其他控制大气污染物排放的措施。</w:t>
                  </w:r>
                </w:p>
                <w:p w14:paraId="238F66CD">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color w:val="auto"/>
                      <w:sz w:val="18"/>
                      <w:szCs w:val="18"/>
                      <w:lang w:val="en-US" w:eastAsia="zh-CN"/>
                    </w:rPr>
                  </w:pPr>
                  <w:r>
                    <w:rPr>
                      <w:rFonts w:hint="default" w:ascii="Times New Roman" w:hAnsi="Times New Roman" w:eastAsia="宋体" w:cs="Times New Roman"/>
                      <w:b w:val="0"/>
                      <w:bCs/>
                      <w:color w:val="auto"/>
                      <w:sz w:val="18"/>
                      <w:szCs w:val="18"/>
                      <w:lang w:val="en-US" w:eastAsia="zh-CN"/>
                    </w:rPr>
                    <w:t>第三十九条：产生挥发性有机物废气的生产经营活动，应当在密闭空间或者设备中进行，并设置废气收集和处理系统等污染防治设施，保持其正常使用；造船等无法在密闭空间进行的生产经营活动，应当采取有效措施，减少挥发性有机物排放量。</w:t>
                  </w:r>
                </w:p>
              </w:tc>
              <w:tc>
                <w:tcPr>
                  <w:tcW w:w="2140" w:type="dxa"/>
                  <w:tcBorders>
                    <w:tl2br w:val="nil"/>
                    <w:tr2bl w:val="nil"/>
                  </w:tcBorders>
                  <w:noWrap w:val="0"/>
                  <w:vAlign w:val="center"/>
                </w:tcPr>
                <w:p w14:paraId="057049BE">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color w:val="auto"/>
                      <w:sz w:val="18"/>
                      <w:szCs w:val="18"/>
                      <w:lang w:val="en-US" w:eastAsia="zh-CN"/>
                    </w:rPr>
                  </w:pPr>
                  <w:r>
                    <w:rPr>
                      <w:rFonts w:hint="default" w:ascii="Times New Roman" w:hAnsi="Times New Roman" w:eastAsia="宋体" w:cs="Times New Roman"/>
                      <w:b w:val="0"/>
                      <w:bCs/>
                      <w:color w:val="auto"/>
                      <w:sz w:val="18"/>
                      <w:szCs w:val="18"/>
                      <w:lang w:eastAsia="zh-CN"/>
                    </w:rPr>
                    <w:t>（</w:t>
                  </w:r>
                  <w:r>
                    <w:rPr>
                      <w:rFonts w:hint="default" w:ascii="Times New Roman" w:hAnsi="Times New Roman" w:eastAsia="宋体" w:cs="Times New Roman"/>
                      <w:b w:val="0"/>
                      <w:bCs/>
                      <w:color w:val="auto"/>
                      <w:sz w:val="18"/>
                      <w:szCs w:val="18"/>
                      <w:lang w:val="en-US" w:eastAsia="zh-CN"/>
                    </w:rPr>
                    <w:t>1</w:t>
                  </w:r>
                  <w:r>
                    <w:rPr>
                      <w:rFonts w:hint="default" w:ascii="Times New Roman" w:hAnsi="Times New Roman" w:eastAsia="宋体" w:cs="Times New Roman"/>
                      <w:b w:val="0"/>
                      <w:bCs/>
                      <w:color w:val="auto"/>
                      <w:sz w:val="18"/>
                      <w:szCs w:val="18"/>
                      <w:lang w:eastAsia="zh-CN"/>
                    </w:rPr>
                    <w:t>）</w:t>
                  </w:r>
                  <w:r>
                    <w:rPr>
                      <w:rFonts w:hint="eastAsia" w:cs="Times New Roman"/>
                      <w:b w:val="0"/>
                      <w:bCs/>
                      <w:color w:val="auto"/>
                      <w:sz w:val="18"/>
                      <w:szCs w:val="18"/>
                      <w:lang w:eastAsia="zh-CN"/>
                    </w:rPr>
                    <w:t>拟建</w:t>
                  </w:r>
                  <w:r>
                    <w:rPr>
                      <w:rFonts w:hint="default" w:ascii="Times New Roman" w:hAnsi="Times New Roman" w:eastAsia="宋体" w:cs="Times New Roman"/>
                      <w:b w:val="0"/>
                      <w:bCs/>
                      <w:color w:val="auto"/>
                      <w:sz w:val="18"/>
                      <w:szCs w:val="18"/>
                      <w:lang w:eastAsia="zh-CN"/>
                    </w:rPr>
                    <w:t>项目不属于</w:t>
                  </w:r>
                  <w:r>
                    <w:rPr>
                      <w:rFonts w:hint="default" w:ascii="Times New Roman" w:hAnsi="Times New Roman" w:eastAsia="宋体" w:cs="Times New Roman"/>
                      <w:b w:val="0"/>
                      <w:bCs/>
                      <w:color w:val="auto"/>
                      <w:sz w:val="18"/>
                      <w:szCs w:val="18"/>
                    </w:rPr>
                    <w:t>钢铁、石化、有色、化工</w:t>
                  </w:r>
                  <w:r>
                    <w:rPr>
                      <w:rFonts w:hint="default" w:ascii="Times New Roman" w:hAnsi="Times New Roman" w:eastAsia="宋体" w:cs="Times New Roman"/>
                      <w:b w:val="0"/>
                      <w:bCs/>
                      <w:color w:val="auto"/>
                      <w:sz w:val="18"/>
                      <w:szCs w:val="18"/>
                      <w:lang w:eastAsia="zh-CN"/>
                    </w:rPr>
                    <w:t>等重污染工业的建设项目，</w:t>
                  </w:r>
                  <w:r>
                    <w:rPr>
                      <w:rFonts w:hint="eastAsia" w:cs="Times New Roman"/>
                      <w:b w:val="0"/>
                      <w:bCs/>
                      <w:color w:val="auto"/>
                      <w:sz w:val="18"/>
                      <w:szCs w:val="18"/>
                      <w:lang w:eastAsia="zh-CN"/>
                    </w:rPr>
                    <w:t>拟建</w:t>
                  </w:r>
                  <w:r>
                    <w:rPr>
                      <w:rFonts w:hint="default" w:ascii="Times New Roman" w:hAnsi="Times New Roman" w:eastAsia="宋体" w:cs="Times New Roman"/>
                      <w:b w:val="0"/>
                      <w:bCs/>
                      <w:color w:val="auto"/>
                      <w:sz w:val="18"/>
                      <w:szCs w:val="18"/>
                      <w:lang w:eastAsia="zh-CN"/>
                    </w:rPr>
                    <w:t>项目产生的工艺废气颗粒物收集经袋式除尘处理后达标排放，</w:t>
                  </w:r>
                  <w:r>
                    <w:rPr>
                      <w:rFonts w:hint="eastAsia" w:cs="Times New Roman"/>
                      <w:b w:val="0"/>
                      <w:bCs/>
                      <w:color w:val="auto"/>
                      <w:sz w:val="18"/>
                      <w:szCs w:val="18"/>
                      <w:lang w:eastAsia="zh-CN"/>
                    </w:rPr>
                    <w:t>拟建</w:t>
                  </w:r>
                  <w:r>
                    <w:rPr>
                      <w:rFonts w:hint="default" w:ascii="Times New Roman" w:hAnsi="Times New Roman" w:eastAsia="宋体" w:cs="Times New Roman"/>
                      <w:b w:val="0"/>
                      <w:bCs/>
                      <w:color w:val="auto"/>
                      <w:sz w:val="18"/>
                      <w:szCs w:val="18"/>
                      <w:lang w:eastAsia="zh-CN"/>
                    </w:rPr>
                    <w:t>项目对无组织产尘点</w:t>
                  </w:r>
                  <w:r>
                    <w:rPr>
                      <w:rFonts w:hint="eastAsia" w:cs="Times New Roman"/>
                      <w:b w:val="0"/>
                      <w:bCs/>
                      <w:color w:val="auto"/>
                      <w:sz w:val="18"/>
                      <w:szCs w:val="18"/>
                      <w:lang w:eastAsia="zh-CN"/>
                    </w:rPr>
                    <w:t>通过</w:t>
                  </w:r>
                  <w:r>
                    <w:rPr>
                      <w:rFonts w:hint="default" w:ascii="Times New Roman" w:hAnsi="Times New Roman" w:eastAsia="宋体" w:cs="Times New Roman"/>
                      <w:b w:val="0"/>
                      <w:bCs/>
                      <w:color w:val="auto"/>
                      <w:sz w:val="18"/>
                      <w:szCs w:val="18"/>
                      <w:lang w:val="en-US" w:eastAsia="zh-CN"/>
                    </w:rPr>
                    <w:t>加强绿化，加大集气设施风量，采用先进生产设备等</w:t>
                  </w:r>
                  <w:r>
                    <w:rPr>
                      <w:rFonts w:hint="eastAsia" w:cs="Times New Roman"/>
                      <w:b w:val="0"/>
                      <w:bCs/>
                      <w:color w:val="auto"/>
                      <w:sz w:val="18"/>
                      <w:szCs w:val="18"/>
                      <w:lang w:val="en-US" w:eastAsia="zh-CN"/>
                    </w:rPr>
                    <w:t>措施</w:t>
                  </w:r>
                  <w:r>
                    <w:rPr>
                      <w:rFonts w:hint="default" w:ascii="Times New Roman" w:hAnsi="Times New Roman" w:eastAsia="宋体" w:cs="Times New Roman"/>
                      <w:b w:val="0"/>
                      <w:bCs/>
                      <w:color w:val="auto"/>
                      <w:sz w:val="18"/>
                      <w:szCs w:val="18"/>
                      <w:lang w:eastAsia="zh-CN"/>
                    </w:rPr>
                    <w:t>，</w:t>
                  </w:r>
                  <w:r>
                    <w:rPr>
                      <w:rFonts w:hint="eastAsia" w:cs="Times New Roman"/>
                      <w:b w:val="0"/>
                      <w:bCs/>
                      <w:color w:val="auto"/>
                      <w:sz w:val="18"/>
                      <w:szCs w:val="18"/>
                      <w:lang w:eastAsia="zh-CN"/>
                    </w:rPr>
                    <w:t>以</w:t>
                  </w:r>
                  <w:r>
                    <w:rPr>
                      <w:rFonts w:hint="default" w:ascii="Times New Roman" w:hAnsi="Times New Roman" w:eastAsia="宋体" w:cs="Times New Roman"/>
                      <w:b w:val="0"/>
                      <w:bCs/>
                      <w:color w:val="auto"/>
                      <w:sz w:val="18"/>
                      <w:szCs w:val="18"/>
                      <w:lang w:eastAsia="zh-CN"/>
                    </w:rPr>
                    <w:t>尽可能减少无组织废气</w:t>
                  </w:r>
                  <w:r>
                    <w:rPr>
                      <w:rFonts w:hint="eastAsia" w:cs="Times New Roman"/>
                      <w:b w:val="0"/>
                      <w:bCs/>
                      <w:color w:val="auto"/>
                      <w:sz w:val="18"/>
                      <w:szCs w:val="18"/>
                      <w:lang w:eastAsia="zh-CN"/>
                    </w:rPr>
                    <w:t>颗粒物</w:t>
                  </w:r>
                  <w:r>
                    <w:rPr>
                      <w:rFonts w:hint="default" w:ascii="Times New Roman" w:hAnsi="Times New Roman" w:eastAsia="宋体" w:cs="Times New Roman"/>
                      <w:b w:val="0"/>
                      <w:bCs/>
                      <w:color w:val="auto"/>
                      <w:sz w:val="18"/>
                      <w:szCs w:val="18"/>
                      <w:lang w:eastAsia="zh-CN"/>
                    </w:rPr>
                    <w:t>排放。（</w:t>
                  </w:r>
                  <w:r>
                    <w:rPr>
                      <w:rFonts w:hint="default" w:ascii="Times New Roman" w:hAnsi="Times New Roman" w:eastAsia="宋体" w:cs="Times New Roman"/>
                      <w:b w:val="0"/>
                      <w:bCs/>
                      <w:color w:val="auto"/>
                      <w:sz w:val="18"/>
                      <w:szCs w:val="18"/>
                      <w:lang w:val="en-US" w:eastAsia="zh-CN"/>
                    </w:rPr>
                    <w:t>2</w:t>
                  </w:r>
                  <w:r>
                    <w:rPr>
                      <w:rFonts w:hint="default" w:ascii="Times New Roman" w:hAnsi="Times New Roman" w:eastAsia="宋体" w:cs="Times New Roman"/>
                      <w:b w:val="0"/>
                      <w:bCs/>
                      <w:color w:val="auto"/>
                      <w:sz w:val="18"/>
                      <w:szCs w:val="18"/>
                      <w:lang w:eastAsia="zh-CN"/>
                    </w:rPr>
                    <w:t>）</w:t>
                  </w:r>
                  <w:r>
                    <w:rPr>
                      <w:rFonts w:hint="eastAsia" w:cs="Times New Roman"/>
                      <w:color w:val="auto"/>
                      <w:sz w:val="18"/>
                      <w:szCs w:val="18"/>
                      <w:lang w:val="en-US" w:eastAsia="zh-CN"/>
                    </w:rPr>
                    <w:t>拟建</w:t>
                  </w:r>
                  <w:r>
                    <w:rPr>
                      <w:rFonts w:hint="default" w:ascii="Times New Roman" w:hAnsi="Times New Roman" w:eastAsia="宋体" w:cs="Times New Roman"/>
                      <w:color w:val="auto"/>
                      <w:sz w:val="18"/>
                      <w:szCs w:val="18"/>
                      <w:lang w:val="en-US" w:eastAsia="zh-CN"/>
                    </w:rPr>
                    <w:t>项目不涉及VOCs物料的使用</w:t>
                  </w:r>
                  <w:r>
                    <w:rPr>
                      <w:rFonts w:hint="default" w:ascii="Times New Roman" w:hAnsi="Times New Roman" w:eastAsia="宋体" w:cs="Times New Roman"/>
                      <w:color w:val="auto"/>
                      <w:sz w:val="18"/>
                      <w:szCs w:val="18"/>
                    </w:rPr>
                    <w:t>。</w:t>
                  </w:r>
                </w:p>
              </w:tc>
              <w:tc>
                <w:tcPr>
                  <w:tcW w:w="699" w:type="dxa"/>
                  <w:tcBorders>
                    <w:tl2br w:val="nil"/>
                    <w:tr2bl w:val="nil"/>
                  </w:tcBorders>
                  <w:noWrap w:val="0"/>
                  <w:vAlign w:val="center"/>
                </w:tcPr>
                <w:p w14:paraId="47C280FD">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color w:val="auto"/>
                      <w:sz w:val="18"/>
                      <w:szCs w:val="18"/>
                    </w:rPr>
                    <w:t>符合</w:t>
                  </w:r>
                </w:p>
              </w:tc>
            </w:tr>
            <w:tr w14:paraId="1309139E">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28" w:type="dxa"/>
                  <w:bottom w:w="0" w:type="dxa"/>
                  <w:right w:w="28" w:type="dxa"/>
                </w:tblCellMar>
              </w:tblPrEx>
              <w:trPr>
                <w:trHeight w:val="340" w:hRule="atLeast"/>
                <w:jc w:val="center"/>
              </w:trPr>
              <w:tc>
                <w:tcPr>
                  <w:tcW w:w="1786" w:type="dxa"/>
                  <w:vMerge w:val="restart"/>
                  <w:tcBorders>
                    <w:tl2br w:val="nil"/>
                    <w:tr2bl w:val="nil"/>
                  </w:tcBorders>
                  <w:noWrap w:val="0"/>
                  <w:vAlign w:val="center"/>
                </w:tcPr>
                <w:p w14:paraId="4408B775">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推动长江经济带发展领导小组办公室关于印发《长江经济带发展负面清单指南(试行，2022年版)》的通知（长江办[2022]7号）</w:t>
                  </w:r>
                </w:p>
              </w:tc>
              <w:tc>
                <w:tcPr>
                  <w:tcW w:w="3713" w:type="dxa"/>
                  <w:gridSpan w:val="2"/>
                  <w:tcBorders>
                    <w:tl2br w:val="nil"/>
                    <w:tr2bl w:val="nil"/>
                  </w:tcBorders>
                  <w:noWrap w:val="0"/>
                  <w:vAlign w:val="center"/>
                </w:tcPr>
                <w:p w14:paraId="4412E0FE">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1.禁止建设不符合全国和省级港口布局规划以及港口总体规划的码头项目，禁止建设不符合《长江干线过江通道布局规划》的过长江通道项目。</w:t>
                  </w:r>
                </w:p>
              </w:tc>
              <w:tc>
                <w:tcPr>
                  <w:tcW w:w="2140" w:type="dxa"/>
                  <w:tcBorders>
                    <w:tl2br w:val="nil"/>
                    <w:tr2bl w:val="nil"/>
                  </w:tcBorders>
                  <w:noWrap w:val="0"/>
                  <w:vAlign w:val="center"/>
                </w:tcPr>
                <w:p w14:paraId="470CC43B">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eastAsia" w:cs="Times New Roman"/>
                      <w:color w:val="auto"/>
                      <w:sz w:val="18"/>
                      <w:szCs w:val="18"/>
                      <w:lang w:val="en-US" w:eastAsia="zh-CN"/>
                    </w:rPr>
                    <w:t>拟建</w:t>
                  </w:r>
                  <w:r>
                    <w:rPr>
                      <w:rFonts w:hint="default" w:ascii="Times New Roman" w:hAnsi="Times New Roman" w:eastAsia="宋体" w:cs="Times New Roman"/>
                      <w:color w:val="auto"/>
                      <w:sz w:val="18"/>
                      <w:szCs w:val="18"/>
                      <w:lang w:val="en-US" w:eastAsia="zh-CN"/>
                    </w:rPr>
                    <w:t>项目不在长江流域</w:t>
                  </w:r>
                  <w:r>
                    <w:rPr>
                      <w:rFonts w:hint="default" w:ascii="Times New Roman" w:hAnsi="Times New Roman" w:eastAsia="宋体" w:cs="Times New Roman"/>
                      <w:color w:val="auto"/>
                      <w:sz w:val="18"/>
                      <w:szCs w:val="18"/>
                    </w:rPr>
                    <w:t>，</w:t>
                  </w:r>
                  <w:r>
                    <w:rPr>
                      <w:rFonts w:hint="eastAsia" w:cs="Times New Roman"/>
                      <w:color w:val="auto"/>
                      <w:sz w:val="18"/>
                      <w:szCs w:val="18"/>
                      <w:lang w:eastAsia="zh-CN"/>
                    </w:rPr>
                    <w:t>拟建</w:t>
                  </w:r>
                  <w:r>
                    <w:rPr>
                      <w:rFonts w:hint="default" w:ascii="Times New Roman" w:hAnsi="Times New Roman" w:eastAsia="宋体" w:cs="Times New Roman"/>
                      <w:color w:val="auto"/>
                      <w:sz w:val="18"/>
                      <w:szCs w:val="18"/>
                      <w:lang w:eastAsia="zh-CN"/>
                    </w:rPr>
                    <w:t>项目物料输送不涉及码头运输</w:t>
                  </w:r>
                  <w:r>
                    <w:rPr>
                      <w:rFonts w:hint="default" w:ascii="Times New Roman" w:hAnsi="Times New Roman" w:eastAsia="宋体" w:cs="Times New Roman"/>
                      <w:color w:val="auto"/>
                      <w:sz w:val="18"/>
                      <w:szCs w:val="18"/>
                    </w:rPr>
                    <w:t>。</w:t>
                  </w:r>
                </w:p>
              </w:tc>
              <w:tc>
                <w:tcPr>
                  <w:tcW w:w="699" w:type="dxa"/>
                  <w:vMerge w:val="restart"/>
                  <w:tcBorders>
                    <w:tl2br w:val="nil"/>
                    <w:tr2bl w:val="nil"/>
                  </w:tcBorders>
                  <w:noWrap w:val="0"/>
                  <w:vAlign w:val="center"/>
                </w:tcPr>
                <w:p w14:paraId="2A048425">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符合</w:t>
                  </w:r>
                </w:p>
              </w:tc>
            </w:tr>
            <w:tr w14:paraId="75EF82EF">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28" w:type="dxa"/>
                  <w:bottom w:w="0" w:type="dxa"/>
                  <w:right w:w="28" w:type="dxa"/>
                </w:tblCellMar>
              </w:tblPrEx>
              <w:trPr>
                <w:trHeight w:val="340" w:hRule="atLeast"/>
                <w:jc w:val="center"/>
              </w:trPr>
              <w:tc>
                <w:tcPr>
                  <w:tcW w:w="1786" w:type="dxa"/>
                  <w:vMerge w:val="continue"/>
                  <w:tcBorders>
                    <w:tl2br w:val="nil"/>
                    <w:tr2bl w:val="nil"/>
                  </w:tcBorders>
                  <w:noWrap w:val="0"/>
                  <w:vAlign w:val="center"/>
                </w:tcPr>
                <w:p w14:paraId="737F6208">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c>
                <w:tcPr>
                  <w:tcW w:w="3713" w:type="dxa"/>
                  <w:gridSpan w:val="2"/>
                  <w:tcBorders>
                    <w:tl2br w:val="nil"/>
                    <w:tr2bl w:val="nil"/>
                  </w:tcBorders>
                  <w:noWrap w:val="0"/>
                  <w:vAlign w:val="center"/>
                </w:tcPr>
                <w:p w14:paraId="565CF425">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2.禁止在自然保护区核心区、缓冲区的岸线和河段范围内投资建设旅游和生产经营项目。禁止在风景名胜区核心景区的岸线和河段范围内投资建设与风景名胜资源保护无关的项目。</w:t>
                  </w:r>
                </w:p>
              </w:tc>
              <w:tc>
                <w:tcPr>
                  <w:tcW w:w="2140" w:type="dxa"/>
                  <w:vMerge w:val="restart"/>
                  <w:tcBorders>
                    <w:tl2br w:val="nil"/>
                    <w:tr2bl w:val="nil"/>
                  </w:tcBorders>
                  <w:noWrap w:val="0"/>
                  <w:vAlign w:val="center"/>
                </w:tcPr>
                <w:p w14:paraId="049FAF6B">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eastAsia" w:cs="Times New Roman"/>
                      <w:color w:val="auto"/>
                      <w:sz w:val="18"/>
                      <w:szCs w:val="18"/>
                      <w:lang w:val="en-US" w:eastAsia="zh-CN"/>
                    </w:rPr>
                    <w:t>拟建</w:t>
                  </w:r>
                  <w:r>
                    <w:rPr>
                      <w:rFonts w:hint="default" w:ascii="Times New Roman" w:hAnsi="Times New Roman" w:eastAsia="宋体" w:cs="Times New Roman"/>
                      <w:color w:val="auto"/>
                      <w:sz w:val="18"/>
                      <w:szCs w:val="18"/>
                      <w:lang w:val="en-US" w:eastAsia="zh-CN"/>
                    </w:rPr>
                    <w:t>项目位于</w:t>
                  </w:r>
                  <w:r>
                    <w:rPr>
                      <w:rFonts w:hint="default" w:ascii="Times New Roman" w:hAnsi="Times New Roman" w:eastAsia="宋体" w:cs="Times New Roman"/>
                      <w:color w:val="auto"/>
                      <w:sz w:val="18"/>
                      <w:szCs w:val="18"/>
                      <w:lang w:val="en-US" w:eastAsia="zh-CN"/>
                    </w:rPr>
                    <w:t>新渡工业集中区(淮安高新技术产业开发区西区)</w:t>
                  </w:r>
                  <w:r>
                    <w:rPr>
                      <w:rFonts w:hint="eastAsia" w:cs="Times New Roman"/>
                      <w:color w:val="auto"/>
                      <w:sz w:val="18"/>
                      <w:szCs w:val="18"/>
                      <w:lang w:val="en-US" w:eastAsia="zh-CN"/>
                    </w:rPr>
                    <w:t>，</w:t>
                  </w:r>
                  <w:r>
                    <w:rPr>
                      <w:rFonts w:hint="default" w:ascii="Times New Roman" w:hAnsi="Times New Roman" w:eastAsia="宋体" w:cs="Times New Roman"/>
                      <w:color w:val="auto"/>
                      <w:sz w:val="18"/>
                      <w:szCs w:val="18"/>
                      <w:lang w:val="en-US" w:eastAsia="zh-CN"/>
                    </w:rPr>
                    <w:t>项目所在地块</w:t>
                  </w:r>
                  <w:r>
                    <w:rPr>
                      <w:rFonts w:hint="default" w:ascii="Times New Roman" w:hAnsi="Times New Roman" w:eastAsia="宋体" w:cs="Times New Roman"/>
                      <w:color w:val="auto"/>
                      <w:sz w:val="18"/>
                      <w:szCs w:val="18"/>
                    </w:rPr>
                    <w:t>用地性质为工业用地，</w:t>
                  </w:r>
                  <w:r>
                    <w:rPr>
                      <w:rFonts w:hint="default" w:ascii="Times New Roman" w:hAnsi="Times New Roman" w:eastAsia="宋体" w:cs="Times New Roman"/>
                      <w:color w:val="auto"/>
                      <w:sz w:val="18"/>
                      <w:szCs w:val="18"/>
                      <w:lang w:val="en-US" w:eastAsia="zh-CN"/>
                    </w:rPr>
                    <w:t>项目不占用生态红线，</w:t>
                  </w:r>
                  <w:r>
                    <w:rPr>
                      <w:rFonts w:hint="default" w:ascii="Times New Roman" w:hAnsi="Times New Roman" w:eastAsia="宋体" w:cs="Times New Roman"/>
                      <w:color w:val="auto"/>
                      <w:sz w:val="18"/>
                      <w:szCs w:val="18"/>
                    </w:rPr>
                    <w:t>不在自然保护区核心区、缓冲区、风景名胜区、饮用水源保护区、水产种质资源保护区、国家湿地公园、水产种质资源保护区内。</w:t>
                  </w:r>
                </w:p>
              </w:tc>
              <w:tc>
                <w:tcPr>
                  <w:tcW w:w="699" w:type="dxa"/>
                  <w:vMerge w:val="continue"/>
                  <w:tcBorders>
                    <w:tl2br w:val="nil"/>
                    <w:tr2bl w:val="nil"/>
                  </w:tcBorders>
                  <w:noWrap w:val="0"/>
                  <w:vAlign w:val="center"/>
                </w:tcPr>
                <w:p w14:paraId="5E5429B4">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r>
            <w:tr w14:paraId="6524EB63">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28" w:type="dxa"/>
                  <w:bottom w:w="0" w:type="dxa"/>
                  <w:right w:w="28" w:type="dxa"/>
                </w:tblCellMar>
              </w:tblPrEx>
              <w:trPr>
                <w:trHeight w:val="340" w:hRule="atLeast"/>
                <w:jc w:val="center"/>
              </w:trPr>
              <w:tc>
                <w:tcPr>
                  <w:tcW w:w="1786" w:type="dxa"/>
                  <w:vMerge w:val="continue"/>
                  <w:tcBorders>
                    <w:tl2br w:val="nil"/>
                    <w:tr2bl w:val="nil"/>
                  </w:tcBorders>
                  <w:noWrap w:val="0"/>
                  <w:vAlign w:val="center"/>
                </w:tcPr>
                <w:p w14:paraId="1E89261F">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c>
                <w:tcPr>
                  <w:tcW w:w="3713" w:type="dxa"/>
                  <w:gridSpan w:val="2"/>
                  <w:tcBorders>
                    <w:tl2br w:val="nil"/>
                    <w:tr2bl w:val="nil"/>
                  </w:tcBorders>
                  <w:noWrap w:val="0"/>
                  <w:vAlign w:val="center"/>
                </w:tcPr>
                <w:p w14:paraId="6A7E6613">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color w:val="auto"/>
                      <w:sz w:val="18"/>
                      <w:szCs w:val="18"/>
                    </w:rPr>
                    <w:t>3.禁止在饮用水水源一级保护区的岸线和河段范围内新建、改建、扩建与供水设施和保护水源无关的项目，以及网箱养殖、畜禽养殖、旅游等可能污染饮用水水体的投资建设项目。禁止在饮用水水源二级保护区的岸线和河段范围内新建、改建、扩建排放污染物的投资建设项目。</w:t>
                  </w:r>
                </w:p>
              </w:tc>
              <w:tc>
                <w:tcPr>
                  <w:tcW w:w="2140" w:type="dxa"/>
                  <w:vMerge w:val="continue"/>
                  <w:tcBorders>
                    <w:tl2br w:val="nil"/>
                    <w:tr2bl w:val="nil"/>
                  </w:tcBorders>
                  <w:noWrap w:val="0"/>
                  <w:vAlign w:val="center"/>
                </w:tcPr>
                <w:p w14:paraId="111B55CF">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c>
                <w:tcPr>
                  <w:tcW w:w="699" w:type="dxa"/>
                  <w:vMerge w:val="continue"/>
                  <w:tcBorders>
                    <w:tl2br w:val="nil"/>
                    <w:tr2bl w:val="nil"/>
                  </w:tcBorders>
                  <w:noWrap w:val="0"/>
                  <w:vAlign w:val="center"/>
                </w:tcPr>
                <w:p w14:paraId="254F4F5B">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r>
            <w:tr w14:paraId="4D45DB4E">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28" w:type="dxa"/>
                  <w:bottom w:w="0" w:type="dxa"/>
                  <w:right w:w="28" w:type="dxa"/>
                </w:tblCellMar>
              </w:tblPrEx>
              <w:trPr>
                <w:trHeight w:val="340" w:hRule="atLeast"/>
                <w:jc w:val="center"/>
              </w:trPr>
              <w:tc>
                <w:tcPr>
                  <w:tcW w:w="1786" w:type="dxa"/>
                  <w:vMerge w:val="continue"/>
                  <w:tcBorders>
                    <w:tl2br w:val="nil"/>
                    <w:tr2bl w:val="nil"/>
                  </w:tcBorders>
                  <w:noWrap w:val="0"/>
                  <w:vAlign w:val="center"/>
                </w:tcPr>
                <w:p w14:paraId="01029033">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c>
                <w:tcPr>
                  <w:tcW w:w="3713" w:type="dxa"/>
                  <w:gridSpan w:val="2"/>
                  <w:tcBorders>
                    <w:tl2br w:val="nil"/>
                    <w:tr2bl w:val="nil"/>
                  </w:tcBorders>
                  <w:noWrap w:val="0"/>
                  <w:vAlign w:val="center"/>
                </w:tcPr>
                <w:p w14:paraId="2ECD1B34">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4.禁止在水产种质资源保护区的岸线和河段范围内新建围湖造田、围海造地或围填海等投资建设项目。禁止在国家湿地公园的岸线和河段范围内挖沙、采矿，以及任何不符合主体功能定位的投资建设项目。</w:t>
                  </w:r>
                </w:p>
              </w:tc>
              <w:tc>
                <w:tcPr>
                  <w:tcW w:w="2140" w:type="dxa"/>
                  <w:vMerge w:val="continue"/>
                  <w:tcBorders>
                    <w:tl2br w:val="nil"/>
                    <w:tr2bl w:val="nil"/>
                  </w:tcBorders>
                  <w:noWrap w:val="0"/>
                  <w:vAlign w:val="center"/>
                </w:tcPr>
                <w:p w14:paraId="7271D96A">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c>
                <w:tcPr>
                  <w:tcW w:w="699" w:type="dxa"/>
                  <w:vMerge w:val="continue"/>
                  <w:tcBorders>
                    <w:tl2br w:val="nil"/>
                    <w:tr2bl w:val="nil"/>
                  </w:tcBorders>
                  <w:noWrap w:val="0"/>
                  <w:vAlign w:val="center"/>
                </w:tcPr>
                <w:p w14:paraId="2C614CBE">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r>
            <w:tr w14:paraId="0B46DB1C">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28" w:type="dxa"/>
                  <w:bottom w:w="0" w:type="dxa"/>
                  <w:right w:w="28" w:type="dxa"/>
                </w:tblCellMar>
              </w:tblPrEx>
              <w:trPr>
                <w:trHeight w:val="340" w:hRule="atLeast"/>
                <w:jc w:val="center"/>
              </w:trPr>
              <w:tc>
                <w:tcPr>
                  <w:tcW w:w="1786" w:type="dxa"/>
                  <w:vMerge w:val="continue"/>
                  <w:tcBorders>
                    <w:tl2br w:val="nil"/>
                    <w:tr2bl w:val="nil"/>
                  </w:tcBorders>
                  <w:noWrap w:val="0"/>
                  <w:vAlign w:val="center"/>
                </w:tcPr>
                <w:p w14:paraId="5DA6CDE3">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c>
                <w:tcPr>
                  <w:tcW w:w="3713" w:type="dxa"/>
                  <w:gridSpan w:val="2"/>
                  <w:tcBorders>
                    <w:tl2br w:val="nil"/>
                    <w:tr2bl w:val="nil"/>
                  </w:tcBorders>
                  <w:noWrap w:val="0"/>
                  <w:vAlign w:val="center"/>
                </w:tcPr>
                <w:p w14:paraId="1E536DC5">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5.禁止违法利用、占用长江流域河湖岸线。禁止在《长江岸线保护和开发利用总体规划》划定的岸线保护区和保留区内投资建设除事关公共安全及公众利益的防洪护岸、河道治理、供水、生态环境保护、航道整治、国家重要基础设施以外的项目。禁止在《全国重要江河湖泊水功能区划》划定的河段及湖泊保护区、保留区内投资建设不利于水资源及自然生态保护的项目。</w:t>
                  </w:r>
                </w:p>
              </w:tc>
              <w:tc>
                <w:tcPr>
                  <w:tcW w:w="2140" w:type="dxa"/>
                  <w:tcBorders>
                    <w:tl2br w:val="nil"/>
                    <w:tr2bl w:val="nil"/>
                  </w:tcBorders>
                  <w:noWrap w:val="0"/>
                  <w:vAlign w:val="center"/>
                </w:tcPr>
                <w:p w14:paraId="7279D018">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eastAsia" w:cs="Times New Roman"/>
                      <w:color w:val="auto"/>
                      <w:sz w:val="18"/>
                      <w:szCs w:val="18"/>
                      <w:lang w:val="en-US" w:eastAsia="zh-CN"/>
                    </w:rPr>
                    <w:t>拟建</w:t>
                  </w:r>
                  <w:r>
                    <w:rPr>
                      <w:rFonts w:hint="default" w:ascii="Times New Roman" w:hAnsi="Times New Roman" w:eastAsia="宋体" w:cs="Times New Roman"/>
                      <w:color w:val="auto"/>
                      <w:sz w:val="18"/>
                      <w:szCs w:val="18"/>
                      <w:lang w:val="en-US" w:eastAsia="zh-CN"/>
                    </w:rPr>
                    <w:t>项目不在长江流域</w:t>
                  </w:r>
                  <w:r>
                    <w:rPr>
                      <w:rFonts w:hint="default" w:ascii="Times New Roman" w:hAnsi="Times New Roman" w:eastAsia="宋体" w:cs="Times New Roman"/>
                      <w:color w:val="auto"/>
                      <w:sz w:val="18"/>
                      <w:szCs w:val="18"/>
                    </w:rPr>
                    <w:t>，未利用、占用长江流域河湖岸线。</w:t>
                  </w:r>
                </w:p>
              </w:tc>
              <w:tc>
                <w:tcPr>
                  <w:tcW w:w="699" w:type="dxa"/>
                  <w:vMerge w:val="continue"/>
                  <w:tcBorders>
                    <w:tl2br w:val="nil"/>
                    <w:tr2bl w:val="nil"/>
                  </w:tcBorders>
                  <w:noWrap w:val="0"/>
                  <w:vAlign w:val="center"/>
                </w:tcPr>
                <w:p w14:paraId="647CECE4">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r>
            <w:tr w14:paraId="4116DA5B">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28" w:type="dxa"/>
                  <w:bottom w:w="0" w:type="dxa"/>
                  <w:right w:w="28" w:type="dxa"/>
                </w:tblCellMar>
              </w:tblPrEx>
              <w:trPr>
                <w:trHeight w:val="340" w:hRule="atLeast"/>
                <w:jc w:val="center"/>
              </w:trPr>
              <w:tc>
                <w:tcPr>
                  <w:tcW w:w="1786" w:type="dxa"/>
                  <w:vMerge w:val="continue"/>
                  <w:tcBorders>
                    <w:tl2br w:val="nil"/>
                    <w:tr2bl w:val="nil"/>
                  </w:tcBorders>
                  <w:noWrap w:val="0"/>
                  <w:vAlign w:val="center"/>
                </w:tcPr>
                <w:p w14:paraId="40A93F38">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c>
                <w:tcPr>
                  <w:tcW w:w="3713" w:type="dxa"/>
                  <w:gridSpan w:val="2"/>
                  <w:tcBorders>
                    <w:tl2br w:val="nil"/>
                    <w:tr2bl w:val="nil"/>
                  </w:tcBorders>
                  <w:noWrap w:val="0"/>
                  <w:vAlign w:val="center"/>
                </w:tcPr>
                <w:p w14:paraId="6724E6B7">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6.禁止未经许可在长江干支流及湖泊新设、改设或扩大排污口。</w:t>
                  </w:r>
                </w:p>
              </w:tc>
              <w:tc>
                <w:tcPr>
                  <w:tcW w:w="2140" w:type="dxa"/>
                  <w:vMerge w:val="restart"/>
                  <w:tcBorders>
                    <w:tl2br w:val="nil"/>
                    <w:tr2bl w:val="nil"/>
                  </w:tcBorders>
                  <w:noWrap w:val="0"/>
                  <w:vAlign w:val="center"/>
                </w:tcPr>
                <w:p w14:paraId="2C4BEF74">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eastAsia" w:cs="Times New Roman"/>
                      <w:color w:val="auto"/>
                      <w:sz w:val="18"/>
                      <w:szCs w:val="18"/>
                      <w:lang w:val="en-US" w:eastAsia="zh-CN"/>
                    </w:rPr>
                    <w:t>拟建</w:t>
                  </w:r>
                  <w:r>
                    <w:rPr>
                      <w:rFonts w:hint="default" w:ascii="Times New Roman" w:hAnsi="Times New Roman" w:eastAsia="宋体" w:cs="Times New Roman"/>
                      <w:color w:val="auto"/>
                      <w:sz w:val="18"/>
                      <w:szCs w:val="18"/>
                      <w:lang w:val="en-US" w:eastAsia="zh-CN"/>
                    </w:rPr>
                    <w:t>项目不在长江流域</w:t>
                  </w:r>
                  <w:r>
                    <w:rPr>
                      <w:rFonts w:hint="default" w:ascii="Times New Roman" w:hAnsi="Times New Roman" w:eastAsia="宋体" w:cs="Times New Roman"/>
                      <w:color w:val="auto"/>
                      <w:sz w:val="18"/>
                      <w:szCs w:val="18"/>
                    </w:rPr>
                    <w:t>。</w:t>
                  </w:r>
                </w:p>
              </w:tc>
              <w:tc>
                <w:tcPr>
                  <w:tcW w:w="699" w:type="dxa"/>
                  <w:vMerge w:val="continue"/>
                  <w:tcBorders>
                    <w:tl2br w:val="nil"/>
                    <w:tr2bl w:val="nil"/>
                  </w:tcBorders>
                  <w:noWrap w:val="0"/>
                  <w:vAlign w:val="center"/>
                </w:tcPr>
                <w:p w14:paraId="3CB86303">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r>
            <w:tr w14:paraId="2089112E">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28" w:type="dxa"/>
                  <w:bottom w:w="0" w:type="dxa"/>
                  <w:right w:w="28" w:type="dxa"/>
                </w:tblCellMar>
              </w:tblPrEx>
              <w:trPr>
                <w:trHeight w:val="340" w:hRule="atLeast"/>
                <w:jc w:val="center"/>
              </w:trPr>
              <w:tc>
                <w:tcPr>
                  <w:tcW w:w="1786" w:type="dxa"/>
                  <w:vMerge w:val="continue"/>
                  <w:tcBorders>
                    <w:tl2br w:val="nil"/>
                    <w:tr2bl w:val="nil"/>
                  </w:tcBorders>
                  <w:noWrap w:val="0"/>
                  <w:vAlign w:val="center"/>
                </w:tcPr>
                <w:p w14:paraId="259ECF0B">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c>
                <w:tcPr>
                  <w:tcW w:w="3713" w:type="dxa"/>
                  <w:gridSpan w:val="2"/>
                  <w:tcBorders>
                    <w:tl2br w:val="nil"/>
                    <w:tr2bl w:val="nil"/>
                  </w:tcBorders>
                  <w:noWrap w:val="0"/>
                  <w:vAlign w:val="center"/>
                </w:tcPr>
                <w:p w14:paraId="67F8C45C">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7.禁止在“一江一口两湖七河”和332个水生生物保护区开展生产性捕捞。</w:t>
                  </w:r>
                </w:p>
              </w:tc>
              <w:tc>
                <w:tcPr>
                  <w:tcW w:w="2140" w:type="dxa"/>
                  <w:vMerge w:val="continue"/>
                  <w:tcBorders>
                    <w:tl2br w:val="nil"/>
                    <w:tr2bl w:val="nil"/>
                  </w:tcBorders>
                  <w:noWrap w:val="0"/>
                  <w:vAlign w:val="center"/>
                </w:tcPr>
                <w:p w14:paraId="40173E20">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c>
                <w:tcPr>
                  <w:tcW w:w="699" w:type="dxa"/>
                  <w:vMerge w:val="continue"/>
                  <w:tcBorders>
                    <w:tl2br w:val="nil"/>
                    <w:tr2bl w:val="nil"/>
                  </w:tcBorders>
                  <w:noWrap w:val="0"/>
                  <w:vAlign w:val="center"/>
                </w:tcPr>
                <w:p w14:paraId="0E7BD953">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r>
            <w:tr w14:paraId="0FC64952">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28" w:type="dxa"/>
                  <w:bottom w:w="0" w:type="dxa"/>
                  <w:right w:w="28" w:type="dxa"/>
                </w:tblCellMar>
              </w:tblPrEx>
              <w:trPr>
                <w:trHeight w:val="340" w:hRule="atLeast"/>
                <w:jc w:val="center"/>
              </w:trPr>
              <w:tc>
                <w:tcPr>
                  <w:tcW w:w="1786" w:type="dxa"/>
                  <w:vMerge w:val="continue"/>
                  <w:tcBorders>
                    <w:tl2br w:val="nil"/>
                    <w:tr2bl w:val="nil"/>
                  </w:tcBorders>
                  <w:noWrap w:val="0"/>
                  <w:vAlign w:val="center"/>
                </w:tcPr>
                <w:p w14:paraId="5A5B8964">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c>
                <w:tcPr>
                  <w:tcW w:w="3713" w:type="dxa"/>
                  <w:gridSpan w:val="2"/>
                  <w:tcBorders>
                    <w:tl2br w:val="nil"/>
                    <w:tr2bl w:val="nil"/>
                  </w:tcBorders>
                  <w:noWrap w:val="0"/>
                  <w:vAlign w:val="center"/>
                </w:tcPr>
                <w:p w14:paraId="093C8832">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8.禁止在长江干支流、重要湖泊岸线一公里范围内新建、扩建化工园区和化工项目。禁止在长江干流岸线三公里范围内和重要支流岸线一公里范围内新建、改建、扩建尾矿库、冶炼渣库和磷石膏库，以提升安全、生态环境保护水平为目的的改建除外。</w:t>
                  </w:r>
                </w:p>
              </w:tc>
              <w:tc>
                <w:tcPr>
                  <w:tcW w:w="2140" w:type="dxa"/>
                  <w:vMerge w:val="continue"/>
                  <w:tcBorders>
                    <w:tl2br w:val="nil"/>
                    <w:tr2bl w:val="nil"/>
                  </w:tcBorders>
                  <w:noWrap w:val="0"/>
                  <w:vAlign w:val="center"/>
                </w:tcPr>
                <w:p w14:paraId="47BBCBBC">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c>
                <w:tcPr>
                  <w:tcW w:w="699" w:type="dxa"/>
                  <w:vMerge w:val="continue"/>
                  <w:tcBorders>
                    <w:tl2br w:val="nil"/>
                    <w:tr2bl w:val="nil"/>
                  </w:tcBorders>
                  <w:noWrap w:val="0"/>
                  <w:vAlign w:val="center"/>
                </w:tcPr>
                <w:p w14:paraId="30A49FAD">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r>
            <w:tr w14:paraId="751414CD">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28" w:type="dxa"/>
                  <w:bottom w:w="0" w:type="dxa"/>
                  <w:right w:w="28" w:type="dxa"/>
                </w:tblCellMar>
              </w:tblPrEx>
              <w:trPr>
                <w:trHeight w:val="340" w:hRule="atLeast"/>
                <w:jc w:val="center"/>
              </w:trPr>
              <w:tc>
                <w:tcPr>
                  <w:tcW w:w="1786" w:type="dxa"/>
                  <w:vMerge w:val="continue"/>
                  <w:tcBorders>
                    <w:tl2br w:val="nil"/>
                    <w:tr2bl w:val="nil"/>
                  </w:tcBorders>
                  <w:noWrap w:val="0"/>
                  <w:vAlign w:val="center"/>
                </w:tcPr>
                <w:p w14:paraId="406B5F22">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c>
                <w:tcPr>
                  <w:tcW w:w="3713" w:type="dxa"/>
                  <w:gridSpan w:val="2"/>
                  <w:tcBorders>
                    <w:tl2br w:val="nil"/>
                    <w:tr2bl w:val="nil"/>
                  </w:tcBorders>
                  <w:noWrap w:val="0"/>
                  <w:vAlign w:val="center"/>
                </w:tcPr>
                <w:p w14:paraId="3626F170">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9.禁止在合规园区外新建、扩建钢铁、石化、化工、焦化、建材、有色、制浆造纸等高污染项目。</w:t>
                  </w:r>
                </w:p>
              </w:tc>
              <w:tc>
                <w:tcPr>
                  <w:tcW w:w="2140" w:type="dxa"/>
                  <w:tcBorders>
                    <w:tl2br w:val="nil"/>
                    <w:tr2bl w:val="nil"/>
                  </w:tcBorders>
                  <w:noWrap w:val="0"/>
                  <w:vAlign w:val="center"/>
                </w:tcPr>
                <w:p w14:paraId="7228816F">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eastAsia" w:cs="Times New Roman"/>
                      <w:color w:val="auto"/>
                      <w:sz w:val="18"/>
                      <w:szCs w:val="18"/>
                      <w:lang w:val="en-US" w:eastAsia="zh-CN"/>
                    </w:rPr>
                    <w:t>拟建</w:t>
                  </w:r>
                  <w:r>
                    <w:rPr>
                      <w:rFonts w:hint="default" w:ascii="Times New Roman" w:hAnsi="Times New Roman" w:eastAsia="宋体" w:cs="Times New Roman"/>
                      <w:color w:val="auto"/>
                      <w:sz w:val="18"/>
                      <w:szCs w:val="18"/>
                      <w:lang w:val="en-US" w:eastAsia="zh-CN"/>
                    </w:rPr>
                    <w:t>项目</w:t>
                  </w:r>
                  <w:r>
                    <w:rPr>
                      <w:rFonts w:hint="default" w:ascii="Times New Roman" w:hAnsi="Times New Roman" w:eastAsia="宋体" w:cs="Times New Roman"/>
                      <w:color w:val="auto"/>
                      <w:sz w:val="18"/>
                      <w:szCs w:val="18"/>
                    </w:rPr>
                    <w:t>位于淮安高新技术产业开发区，且</w:t>
                  </w:r>
                  <w:r>
                    <w:rPr>
                      <w:rFonts w:hint="default" w:ascii="Times New Roman" w:hAnsi="Times New Roman" w:eastAsia="宋体" w:cs="Times New Roman"/>
                      <w:color w:val="auto"/>
                      <w:sz w:val="18"/>
                      <w:szCs w:val="18"/>
                      <w:lang w:val="en-US" w:eastAsia="zh-CN"/>
                    </w:rPr>
                    <w:t>建设项目</w:t>
                  </w:r>
                  <w:r>
                    <w:rPr>
                      <w:rFonts w:hint="default" w:ascii="Times New Roman" w:hAnsi="Times New Roman" w:eastAsia="宋体" w:cs="Times New Roman"/>
                      <w:color w:val="auto"/>
                      <w:sz w:val="18"/>
                      <w:szCs w:val="18"/>
                    </w:rPr>
                    <w:t>不属于</w:t>
                  </w:r>
                  <w:r>
                    <w:rPr>
                      <w:rFonts w:hint="default" w:ascii="Times New Roman" w:hAnsi="Times New Roman" w:eastAsia="宋体" w:cs="Times New Roman"/>
                      <w:color w:val="auto"/>
                      <w:sz w:val="18"/>
                      <w:szCs w:val="18"/>
                      <w:lang w:eastAsia="zh-CN"/>
                    </w:rPr>
                    <w:t>该条款所列</w:t>
                  </w:r>
                  <w:r>
                    <w:rPr>
                      <w:rFonts w:hint="default" w:ascii="Times New Roman" w:hAnsi="Times New Roman" w:eastAsia="宋体" w:cs="Times New Roman"/>
                      <w:color w:val="auto"/>
                      <w:sz w:val="18"/>
                      <w:szCs w:val="18"/>
                      <w:lang w:val="en-US" w:eastAsia="zh-CN"/>
                    </w:rPr>
                    <w:t>项目</w:t>
                  </w:r>
                  <w:r>
                    <w:rPr>
                      <w:rFonts w:hint="default" w:ascii="Times New Roman" w:hAnsi="Times New Roman" w:eastAsia="宋体" w:cs="Times New Roman"/>
                      <w:color w:val="auto"/>
                      <w:sz w:val="18"/>
                      <w:szCs w:val="18"/>
                    </w:rPr>
                    <w:t>。</w:t>
                  </w:r>
                </w:p>
              </w:tc>
              <w:tc>
                <w:tcPr>
                  <w:tcW w:w="699" w:type="dxa"/>
                  <w:vMerge w:val="continue"/>
                  <w:tcBorders>
                    <w:tl2br w:val="nil"/>
                    <w:tr2bl w:val="nil"/>
                  </w:tcBorders>
                  <w:noWrap w:val="0"/>
                  <w:vAlign w:val="center"/>
                </w:tcPr>
                <w:p w14:paraId="3C6B1798">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r>
            <w:tr w14:paraId="09910EE0">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28" w:type="dxa"/>
                  <w:bottom w:w="0" w:type="dxa"/>
                  <w:right w:w="28" w:type="dxa"/>
                </w:tblCellMar>
              </w:tblPrEx>
              <w:trPr>
                <w:trHeight w:val="340" w:hRule="atLeast"/>
                <w:jc w:val="center"/>
              </w:trPr>
              <w:tc>
                <w:tcPr>
                  <w:tcW w:w="1786" w:type="dxa"/>
                  <w:vMerge w:val="continue"/>
                  <w:tcBorders>
                    <w:tl2br w:val="nil"/>
                    <w:tr2bl w:val="nil"/>
                  </w:tcBorders>
                  <w:noWrap w:val="0"/>
                  <w:vAlign w:val="center"/>
                </w:tcPr>
                <w:p w14:paraId="31B32D0D">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c>
                <w:tcPr>
                  <w:tcW w:w="3713" w:type="dxa"/>
                  <w:gridSpan w:val="2"/>
                  <w:tcBorders>
                    <w:tl2br w:val="nil"/>
                    <w:tr2bl w:val="nil"/>
                  </w:tcBorders>
                  <w:noWrap w:val="0"/>
                  <w:vAlign w:val="center"/>
                </w:tcPr>
                <w:p w14:paraId="590E79C0">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10.禁止新建、扩建不符合国家石化、现代煤化工等产业布局规划的项目。</w:t>
                  </w:r>
                </w:p>
              </w:tc>
              <w:tc>
                <w:tcPr>
                  <w:tcW w:w="2140" w:type="dxa"/>
                  <w:tcBorders>
                    <w:tl2br w:val="nil"/>
                    <w:tr2bl w:val="nil"/>
                  </w:tcBorders>
                  <w:noWrap w:val="0"/>
                  <w:vAlign w:val="center"/>
                </w:tcPr>
                <w:p w14:paraId="3CF36744">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eastAsia" w:cs="Times New Roman"/>
                      <w:color w:val="auto"/>
                      <w:sz w:val="18"/>
                      <w:szCs w:val="18"/>
                      <w:lang w:val="en-US" w:eastAsia="zh-CN"/>
                    </w:rPr>
                    <w:t>拟建</w:t>
                  </w:r>
                  <w:r>
                    <w:rPr>
                      <w:rFonts w:hint="default" w:ascii="Times New Roman" w:hAnsi="Times New Roman" w:eastAsia="宋体" w:cs="Times New Roman"/>
                      <w:color w:val="auto"/>
                      <w:sz w:val="18"/>
                      <w:szCs w:val="18"/>
                      <w:lang w:val="en-US" w:eastAsia="zh-CN"/>
                    </w:rPr>
                    <w:t>项目</w:t>
                  </w:r>
                  <w:r>
                    <w:rPr>
                      <w:rFonts w:hint="default" w:ascii="Times New Roman" w:hAnsi="Times New Roman" w:eastAsia="宋体" w:cs="Times New Roman"/>
                      <w:color w:val="auto"/>
                      <w:sz w:val="18"/>
                      <w:szCs w:val="18"/>
                    </w:rPr>
                    <w:t>不属于</w:t>
                  </w:r>
                  <w:r>
                    <w:rPr>
                      <w:rFonts w:hint="default" w:ascii="Times New Roman" w:hAnsi="Times New Roman" w:eastAsia="宋体" w:cs="Times New Roman"/>
                      <w:color w:val="auto"/>
                      <w:sz w:val="18"/>
                      <w:szCs w:val="18"/>
                      <w:lang w:eastAsia="zh-CN"/>
                    </w:rPr>
                    <w:t>该条款所列</w:t>
                  </w:r>
                  <w:r>
                    <w:rPr>
                      <w:rFonts w:hint="default" w:ascii="Times New Roman" w:hAnsi="Times New Roman" w:eastAsia="宋体" w:cs="Times New Roman"/>
                      <w:color w:val="auto"/>
                      <w:sz w:val="18"/>
                      <w:szCs w:val="18"/>
                      <w:lang w:val="en-US" w:eastAsia="zh-CN"/>
                    </w:rPr>
                    <w:t>项目</w:t>
                  </w:r>
                  <w:r>
                    <w:rPr>
                      <w:rFonts w:hint="default" w:ascii="Times New Roman" w:hAnsi="Times New Roman" w:eastAsia="宋体" w:cs="Times New Roman"/>
                      <w:color w:val="auto"/>
                      <w:sz w:val="18"/>
                      <w:szCs w:val="18"/>
                    </w:rPr>
                    <w:t>。</w:t>
                  </w:r>
                </w:p>
              </w:tc>
              <w:tc>
                <w:tcPr>
                  <w:tcW w:w="699" w:type="dxa"/>
                  <w:vMerge w:val="continue"/>
                  <w:tcBorders>
                    <w:tl2br w:val="nil"/>
                    <w:tr2bl w:val="nil"/>
                  </w:tcBorders>
                  <w:noWrap w:val="0"/>
                  <w:vAlign w:val="center"/>
                </w:tcPr>
                <w:p w14:paraId="6B749B29">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r>
            <w:tr w14:paraId="6255B0C4">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28" w:type="dxa"/>
                  <w:bottom w:w="0" w:type="dxa"/>
                  <w:right w:w="28" w:type="dxa"/>
                </w:tblCellMar>
              </w:tblPrEx>
              <w:trPr>
                <w:trHeight w:val="340" w:hRule="atLeast"/>
                <w:jc w:val="center"/>
              </w:trPr>
              <w:tc>
                <w:tcPr>
                  <w:tcW w:w="1786" w:type="dxa"/>
                  <w:vMerge w:val="continue"/>
                  <w:tcBorders>
                    <w:tl2br w:val="nil"/>
                    <w:tr2bl w:val="nil"/>
                  </w:tcBorders>
                  <w:noWrap w:val="0"/>
                  <w:vAlign w:val="center"/>
                </w:tcPr>
                <w:p w14:paraId="6776EF39">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c>
                <w:tcPr>
                  <w:tcW w:w="3713" w:type="dxa"/>
                  <w:gridSpan w:val="2"/>
                  <w:tcBorders>
                    <w:tl2br w:val="nil"/>
                    <w:tr2bl w:val="nil"/>
                  </w:tcBorders>
                  <w:noWrap w:val="0"/>
                  <w:vAlign w:val="center"/>
                </w:tcPr>
                <w:p w14:paraId="39131757">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11.禁止新建、扩建法律法规和相关政策明令禁止的落后产能</w:t>
                  </w:r>
                </w:p>
                <w:p w14:paraId="0D760F12">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项目。禁止新建、扩建不符合国家产能置换要求的严重过剩产能行业的项目。禁止新建、扩建不符合要求的高耗能高排放项目。</w:t>
                  </w:r>
                </w:p>
              </w:tc>
              <w:tc>
                <w:tcPr>
                  <w:tcW w:w="2140" w:type="dxa"/>
                  <w:tcBorders>
                    <w:tl2br w:val="nil"/>
                    <w:tr2bl w:val="nil"/>
                  </w:tcBorders>
                  <w:noWrap w:val="0"/>
                  <w:vAlign w:val="center"/>
                </w:tcPr>
                <w:p w14:paraId="78DF41D2">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eastAsia" w:cs="Times New Roman"/>
                      <w:color w:val="auto"/>
                      <w:sz w:val="18"/>
                      <w:szCs w:val="18"/>
                      <w:lang w:val="en-US" w:eastAsia="zh-CN"/>
                    </w:rPr>
                    <w:t>拟建</w:t>
                  </w:r>
                  <w:r>
                    <w:rPr>
                      <w:rFonts w:hint="default" w:ascii="Times New Roman" w:hAnsi="Times New Roman" w:eastAsia="宋体" w:cs="Times New Roman"/>
                      <w:color w:val="auto"/>
                      <w:sz w:val="18"/>
                      <w:szCs w:val="18"/>
                      <w:lang w:val="en-US" w:eastAsia="zh-CN"/>
                    </w:rPr>
                    <w:t>项目</w:t>
                  </w:r>
                  <w:r>
                    <w:rPr>
                      <w:rFonts w:hint="default" w:ascii="Times New Roman" w:hAnsi="Times New Roman" w:eastAsia="宋体" w:cs="Times New Roman"/>
                      <w:color w:val="auto"/>
                      <w:sz w:val="18"/>
                      <w:szCs w:val="18"/>
                    </w:rPr>
                    <w:t>不属于落后产能项目，不涉及产能置换行业，不属于高耗能高排放项目</w:t>
                  </w:r>
                </w:p>
              </w:tc>
              <w:tc>
                <w:tcPr>
                  <w:tcW w:w="699" w:type="dxa"/>
                  <w:vMerge w:val="continue"/>
                  <w:tcBorders>
                    <w:tl2br w:val="nil"/>
                    <w:tr2bl w:val="nil"/>
                  </w:tcBorders>
                  <w:noWrap w:val="0"/>
                  <w:vAlign w:val="center"/>
                </w:tcPr>
                <w:p w14:paraId="64A776DD">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r>
            <w:tr w14:paraId="60C52D0F">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28" w:type="dxa"/>
                  <w:bottom w:w="0" w:type="dxa"/>
                  <w:right w:w="28" w:type="dxa"/>
                </w:tblCellMar>
              </w:tblPrEx>
              <w:trPr>
                <w:trHeight w:val="340" w:hRule="atLeast"/>
                <w:jc w:val="center"/>
              </w:trPr>
              <w:tc>
                <w:tcPr>
                  <w:tcW w:w="1786" w:type="dxa"/>
                  <w:vMerge w:val="continue"/>
                  <w:tcBorders>
                    <w:tl2br w:val="nil"/>
                    <w:tr2bl w:val="nil"/>
                  </w:tcBorders>
                  <w:noWrap w:val="0"/>
                  <w:vAlign w:val="center"/>
                </w:tcPr>
                <w:p w14:paraId="20927E25">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c>
                <w:tcPr>
                  <w:tcW w:w="3713" w:type="dxa"/>
                  <w:gridSpan w:val="2"/>
                  <w:tcBorders>
                    <w:tl2br w:val="nil"/>
                    <w:tr2bl w:val="nil"/>
                  </w:tcBorders>
                  <w:noWrap w:val="0"/>
                  <w:vAlign w:val="center"/>
                </w:tcPr>
                <w:p w14:paraId="49CEF328">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12.法律法规及相关政策文件有更加严格规定的从其规定。</w:t>
                  </w:r>
                </w:p>
              </w:tc>
              <w:tc>
                <w:tcPr>
                  <w:tcW w:w="2140" w:type="dxa"/>
                  <w:tcBorders>
                    <w:tl2br w:val="nil"/>
                    <w:tr2bl w:val="nil"/>
                  </w:tcBorders>
                  <w:noWrap w:val="0"/>
                  <w:vAlign w:val="center"/>
                </w:tcPr>
                <w:p w14:paraId="0E90B3A8">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eastAsia" w:cs="Times New Roman"/>
                      <w:color w:val="auto"/>
                      <w:sz w:val="18"/>
                      <w:szCs w:val="18"/>
                      <w:lang w:val="en-US" w:eastAsia="zh-CN"/>
                    </w:rPr>
                    <w:t>拟建</w:t>
                  </w:r>
                  <w:r>
                    <w:rPr>
                      <w:rFonts w:hint="default" w:ascii="Times New Roman" w:hAnsi="Times New Roman" w:eastAsia="宋体" w:cs="Times New Roman"/>
                      <w:color w:val="auto"/>
                      <w:sz w:val="18"/>
                      <w:szCs w:val="18"/>
                      <w:lang w:val="en-US" w:eastAsia="zh-CN"/>
                    </w:rPr>
                    <w:t>项目</w:t>
                  </w:r>
                  <w:r>
                    <w:rPr>
                      <w:rFonts w:hint="default" w:ascii="Times New Roman" w:hAnsi="Times New Roman" w:eastAsia="宋体" w:cs="Times New Roman"/>
                      <w:color w:val="auto"/>
                      <w:sz w:val="18"/>
                      <w:szCs w:val="18"/>
                    </w:rPr>
                    <w:t>严格执行各类法律法规及相关政策文件。</w:t>
                  </w:r>
                </w:p>
              </w:tc>
              <w:tc>
                <w:tcPr>
                  <w:tcW w:w="699" w:type="dxa"/>
                  <w:vMerge w:val="continue"/>
                  <w:tcBorders>
                    <w:tl2br w:val="nil"/>
                    <w:tr2bl w:val="nil"/>
                  </w:tcBorders>
                  <w:noWrap w:val="0"/>
                  <w:vAlign w:val="center"/>
                </w:tcPr>
                <w:p w14:paraId="492834F9">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r>
            <w:tr w14:paraId="632A3C77">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28" w:type="dxa"/>
                  <w:bottom w:w="0" w:type="dxa"/>
                  <w:right w:w="28" w:type="dxa"/>
                </w:tblCellMar>
              </w:tblPrEx>
              <w:trPr>
                <w:trHeight w:val="340" w:hRule="atLeast"/>
                <w:jc w:val="center"/>
              </w:trPr>
              <w:tc>
                <w:tcPr>
                  <w:tcW w:w="1786" w:type="dxa"/>
                  <w:vMerge w:val="restart"/>
                  <w:tcBorders>
                    <w:tl2br w:val="nil"/>
                    <w:tr2bl w:val="nil"/>
                  </w:tcBorders>
                  <w:noWrap w:val="0"/>
                  <w:vAlign w:val="center"/>
                </w:tcPr>
                <w:p w14:paraId="2AE59A4E">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关于印发《&lt;长江经济带发展负面清单指南（试行，2022年版）&gt;江苏省实施细则》的通知（苏长江办发[2022]55号）</w:t>
                  </w:r>
                </w:p>
              </w:tc>
              <w:tc>
                <w:tcPr>
                  <w:tcW w:w="3713" w:type="dxa"/>
                  <w:gridSpan w:val="2"/>
                  <w:tcBorders>
                    <w:tl2br w:val="nil"/>
                    <w:tr2bl w:val="nil"/>
                  </w:tcBorders>
                  <w:noWrap w:val="0"/>
                  <w:vAlign w:val="center"/>
                </w:tcPr>
                <w:p w14:paraId="7AFC8A3D">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禁止在国家确定的生态保护红线和永久基本农田范围内，投资建设除国家重大战略资源勘查项目、生态保护修复和环境及地质灾害治理项目、重大基础设施项目、军事国防项目以及农民基本生产生活等必要的民生以外的项目。</w:t>
                  </w:r>
                </w:p>
              </w:tc>
              <w:tc>
                <w:tcPr>
                  <w:tcW w:w="2140" w:type="dxa"/>
                  <w:tcBorders>
                    <w:tl2br w:val="nil"/>
                    <w:tr2bl w:val="nil"/>
                  </w:tcBorders>
                  <w:noWrap w:val="0"/>
                  <w:vAlign w:val="center"/>
                </w:tcPr>
                <w:p w14:paraId="1E905D7F">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eastAsia" w:cs="Times New Roman"/>
                      <w:color w:val="auto"/>
                      <w:sz w:val="18"/>
                      <w:szCs w:val="18"/>
                      <w:lang w:val="en-US" w:eastAsia="zh-CN"/>
                    </w:rPr>
                    <w:t>拟建</w:t>
                  </w:r>
                  <w:r>
                    <w:rPr>
                      <w:rFonts w:hint="default" w:ascii="Times New Roman" w:hAnsi="Times New Roman" w:eastAsia="宋体" w:cs="Times New Roman"/>
                      <w:color w:val="auto"/>
                      <w:sz w:val="18"/>
                      <w:szCs w:val="18"/>
                      <w:lang w:val="en-US" w:eastAsia="zh-CN"/>
                    </w:rPr>
                    <w:t>项目</w:t>
                  </w:r>
                  <w:r>
                    <w:rPr>
                      <w:rFonts w:hint="default" w:ascii="Times New Roman" w:hAnsi="Times New Roman" w:eastAsia="宋体" w:cs="Times New Roman"/>
                      <w:color w:val="auto"/>
                      <w:sz w:val="18"/>
                      <w:szCs w:val="18"/>
                    </w:rPr>
                    <w:t>位于</w:t>
                  </w:r>
                  <w:r>
                    <w:rPr>
                      <w:rFonts w:hint="default" w:ascii="Times New Roman" w:hAnsi="Times New Roman" w:eastAsia="宋体" w:cs="Times New Roman"/>
                      <w:color w:val="auto"/>
                      <w:sz w:val="18"/>
                      <w:szCs w:val="18"/>
                      <w:lang w:val="en-US" w:eastAsia="zh-CN"/>
                    </w:rPr>
                    <w:t>新渡工业集中区(淮安高新技术产业开发区西区)</w:t>
                  </w:r>
                  <w:r>
                    <w:rPr>
                      <w:rFonts w:hint="default" w:ascii="Times New Roman" w:hAnsi="Times New Roman" w:eastAsia="宋体" w:cs="Times New Roman"/>
                      <w:color w:val="auto"/>
                      <w:sz w:val="18"/>
                      <w:szCs w:val="18"/>
                    </w:rPr>
                    <w:t>，</w:t>
                  </w:r>
                  <w:r>
                    <w:rPr>
                      <w:rFonts w:hint="default" w:ascii="Times New Roman" w:hAnsi="Times New Roman" w:eastAsia="宋体" w:cs="Times New Roman"/>
                      <w:color w:val="auto"/>
                      <w:sz w:val="18"/>
                      <w:szCs w:val="18"/>
                    </w:rPr>
                    <w:t>用地性质为工业用地，不在国家</w:t>
                  </w:r>
                  <w:r>
                    <w:rPr>
                      <w:rFonts w:hint="default" w:ascii="Times New Roman" w:hAnsi="Times New Roman" w:eastAsia="宋体" w:cs="Times New Roman"/>
                      <w:color w:val="auto"/>
                      <w:sz w:val="18"/>
                      <w:szCs w:val="18"/>
                      <w:lang w:val="en-US" w:eastAsia="zh-CN"/>
                    </w:rPr>
                    <w:t>及地方</w:t>
                  </w:r>
                  <w:r>
                    <w:rPr>
                      <w:rFonts w:hint="default" w:ascii="Times New Roman" w:hAnsi="Times New Roman" w:eastAsia="宋体" w:cs="Times New Roman"/>
                      <w:color w:val="auto"/>
                      <w:sz w:val="18"/>
                      <w:szCs w:val="18"/>
                    </w:rPr>
                    <w:t>确定的生态保护红线和基本农田范围内。</w:t>
                  </w:r>
                </w:p>
              </w:tc>
              <w:tc>
                <w:tcPr>
                  <w:tcW w:w="699" w:type="dxa"/>
                  <w:vMerge w:val="restart"/>
                  <w:tcBorders>
                    <w:tl2br w:val="nil"/>
                    <w:tr2bl w:val="nil"/>
                  </w:tcBorders>
                  <w:noWrap w:val="0"/>
                  <w:vAlign w:val="center"/>
                </w:tcPr>
                <w:p w14:paraId="241562A6">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符合</w:t>
                  </w:r>
                </w:p>
              </w:tc>
            </w:tr>
            <w:tr w14:paraId="36D0818F">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28" w:type="dxa"/>
                  <w:bottom w:w="0" w:type="dxa"/>
                  <w:right w:w="28" w:type="dxa"/>
                </w:tblCellMar>
              </w:tblPrEx>
              <w:trPr>
                <w:trHeight w:val="340" w:hRule="atLeast"/>
                <w:jc w:val="center"/>
              </w:trPr>
              <w:tc>
                <w:tcPr>
                  <w:tcW w:w="1786" w:type="dxa"/>
                  <w:vMerge w:val="continue"/>
                  <w:tcBorders>
                    <w:tl2br w:val="nil"/>
                    <w:tr2bl w:val="nil"/>
                  </w:tcBorders>
                  <w:noWrap w:val="0"/>
                  <w:vAlign w:val="center"/>
                </w:tcPr>
                <w:p w14:paraId="4A648C8C">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c>
                <w:tcPr>
                  <w:tcW w:w="3713" w:type="dxa"/>
                  <w:gridSpan w:val="2"/>
                  <w:tcBorders>
                    <w:tl2br w:val="nil"/>
                    <w:tr2bl w:val="nil"/>
                  </w:tcBorders>
                  <w:noWrap w:val="0"/>
                  <w:vAlign w:val="center"/>
                </w:tcPr>
                <w:p w14:paraId="7E39AFCF">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禁止新建、扩建国家《产业结构调整指导目录》《江苏省产业结构调整限制、淘汰和禁止目录》明确的限制类、淘汰类、禁止类项目，法律法规和相关政策明令禁止的落后产能项目，以及明令淘汰的安全生产落后工艺及装备项目。</w:t>
                  </w:r>
                </w:p>
              </w:tc>
              <w:tc>
                <w:tcPr>
                  <w:tcW w:w="2140" w:type="dxa"/>
                  <w:tcBorders>
                    <w:tl2br w:val="nil"/>
                    <w:tr2bl w:val="nil"/>
                  </w:tcBorders>
                  <w:noWrap w:val="0"/>
                  <w:vAlign w:val="center"/>
                </w:tcPr>
                <w:p w14:paraId="35A4CB27">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eastAsia" w:cs="Times New Roman"/>
                      <w:color w:val="auto"/>
                      <w:sz w:val="18"/>
                      <w:szCs w:val="18"/>
                      <w:lang w:val="en-US" w:eastAsia="zh-CN"/>
                    </w:rPr>
                    <w:t>拟建</w:t>
                  </w:r>
                  <w:r>
                    <w:rPr>
                      <w:rFonts w:hint="default" w:ascii="Times New Roman" w:hAnsi="Times New Roman" w:eastAsia="宋体" w:cs="Times New Roman"/>
                      <w:color w:val="auto"/>
                      <w:sz w:val="18"/>
                      <w:szCs w:val="18"/>
                      <w:lang w:val="en-US" w:eastAsia="zh-CN"/>
                    </w:rPr>
                    <w:t>项目</w:t>
                  </w:r>
                  <w:r>
                    <w:rPr>
                      <w:rFonts w:hint="default" w:ascii="Times New Roman" w:hAnsi="Times New Roman" w:eastAsia="宋体" w:cs="Times New Roman"/>
                      <w:color w:val="auto"/>
                      <w:sz w:val="18"/>
                      <w:szCs w:val="18"/>
                    </w:rPr>
                    <w:t>不属于国家《产业结构调整指导目录》明确的限制类、淘汰类、禁止类项目，不属于法律法规和相关政策明令禁止的落后产能以及明令淘汰的安全生产落后工艺及装备项目。</w:t>
                  </w:r>
                </w:p>
              </w:tc>
              <w:tc>
                <w:tcPr>
                  <w:tcW w:w="699" w:type="dxa"/>
                  <w:vMerge w:val="continue"/>
                  <w:tcBorders>
                    <w:tl2br w:val="nil"/>
                    <w:tr2bl w:val="nil"/>
                  </w:tcBorders>
                  <w:noWrap w:val="0"/>
                  <w:vAlign w:val="center"/>
                </w:tcPr>
                <w:p w14:paraId="0506865A">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r>
            <w:tr w14:paraId="2BA67B59">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28" w:type="dxa"/>
                  <w:bottom w:w="0" w:type="dxa"/>
                  <w:right w:w="28" w:type="dxa"/>
                </w:tblCellMar>
              </w:tblPrEx>
              <w:trPr>
                <w:trHeight w:val="340" w:hRule="atLeast"/>
                <w:jc w:val="center"/>
              </w:trPr>
              <w:tc>
                <w:tcPr>
                  <w:tcW w:w="1786" w:type="dxa"/>
                  <w:vMerge w:val="continue"/>
                  <w:tcBorders>
                    <w:tl2br w:val="nil"/>
                    <w:tr2bl w:val="nil"/>
                  </w:tcBorders>
                  <w:noWrap w:val="0"/>
                  <w:vAlign w:val="center"/>
                </w:tcPr>
                <w:p w14:paraId="2E0B4B00">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c>
                <w:tcPr>
                  <w:tcW w:w="3713" w:type="dxa"/>
                  <w:gridSpan w:val="2"/>
                  <w:tcBorders>
                    <w:tl2br w:val="nil"/>
                    <w:tr2bl w:val="nil"/>
                  </w:tcBorders>
                  <w:noWrap w:val="0"/>
                  <w:vAlign w:val="center"/>
                </w:tcPr>
                <w:p w14:paraId="574C4DF0">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禁止在合规园区外新建、扩建钢铁、石化、化工、焦化、建材、有色等高污染项目。名录按照《江苏省长江经济带发展负面清单实施细则(试行)合规园区名录》执行。高污染项目应严格按照《环境保护综合名录》等有关要求执行。</w:t>
                  </w:r>
                </w:p>
              </w:tc>
              <w:tc>
                <w:tcPr>
                  <w:tcW w:w="2140" w:type="dxa"/>
                  <w:tcBorders>
                    <w:tl2br w:val="nil"/>
                    <w:tr2bl w:val="nil"/>
                  </w:tcBorders>
                  <w:noWrap w:val="0"/>
                  <w:vAlign w:val="center"/>
                </w:tcPr>
                <w:p w14:paraId="77DBFFF3">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eastAsia" w:cs="Times New Roman"/>
                      <w:color w:val="auto"/>
                      <w:sz w:val="18"/>
                      <w:szCs w:val="18"/>
                      <w:lang w:val="en-US" w:eastAsia="zh-CN"/>
                    </w:rPr>
                    <w:t>拟建</w:t>
                  </w:r>
                  <w:r>
                    <w:rPr>
                      <w:rFonts w:hint="default" w:ascii="Times New Roman" w:hAnsi="Times New Roman" w:eastAsia="宋体" w:cs="Times New Roman"/>
                      <w:color w:val="auto"/>
                      <w:sz w:val="18"/>
                      <w:szCs w:val="18"/>
                      <w:lang w:val="en-US" w:eastAsia="zh-CN"/>
                    </w:rPr>
                    <w:t>项目</w:t>
                  </w:r>
                  <w:r>
                    <w:rPr>
                      <w:rFonts w:hint="default" w:ascii="Times New Roman" w:hAnsi="Times New Roman" w:eastAsia="宋体" w:cs="Times New Roman"/>
                      <w:color w:val="auto"/>
                      <w:sz w:val="18"/>
                      <w:szCs w:val="18"/>
                    </w:rPr>
                    <w:t>位于</w:t>
                  </w:r>
                  <w:r>
                    <w:rPr>
                      <w:rFonts w:hint="default" w:ascii="Times New Roman" w:hAnsi="Times New Roman" w:eastAsia="宋体" w:cs="Times New Roman"/>
                      <w:color w:val="auto"/>
                      <w:sz w:val="18"/>
                      <w:szCs w:val="18"/>
                      <w:lang w:val="en-US" w:eastAsia="zh-CN"/>
                    </w:rPr>
                    <w:t>新渡工业集中区(淮安高新技术产业开发区西区)</w:t>
                  </w:r>
                  <w:r>
                    <w:rPr>
                      <w:rFonts w:hint="default" w:ascii="Times New Roman" w:hAnsi="Times New Roman" w:eastAsia="宋体" w:cs="Times New Roman"/>
                      <w:color w:val="auto"/>
                      <w:sz w:val="18"/>
                      <w:szCs w:val="18"/>
                    </w:rPr>
                    <w:t>，且</w:t>
                  </w:r>
                  <w:r>
                    <w:rPr>
                      <w:rFonts w:hint="default" w:ascii="Times New Roman" w:hAnsi="Times New Roman" w:eastAsia="宋体" w:cs="Times New Roman"/>
                      <w:color w:val="auto"/>
                      <w:sz w:val="18"/>
                      <w:szCs w:val="18"/>
                      <w:lang w:val="en-US" w:eastAsia="zh-CN"/>
                    </w:rPr>
                    <w:t>建设项目</w:t>
                  </w:r>
                  <w:r>
                    <w:rPr>
                      <w:rFonts w:hint="default" w:ascii="Times New Roman" w:hAnsi="Times New Roman" w:eastAsia="宋体" w:cs="Times New Roman"/>
                      <w:color w:val="auto"/>
                      <w:sz w:val="18"/>
                      <w:szCs w:val="18"/>
                    </w:rPr>
                    <w:t>不属于</w:t>
                  </w:r>
                  <w:r>
                    <w:rPr>
                      <w:rFonts w:hint="default" w:ascii="Times New Roman" w:hAnsi="Times New Roman" w:eastAsia="宋体" w:cs="Times New Roman"/>
                      <w:color w:val="auto"/>
                      <w:sz w:val="18"/>
                      <w:szCs w:val="18"/>
                      <w:lang w:eastAsia="zh-CN"/>
                    </w:rPr>
                    <w:t>该条款所列</w:t>
                  </w:r>
                  <w:r>
                    <w:rPr>
                      <w:rFonts w:hint="default" w:ascii="Times New Roman" w:hAnsi="Times New Roman" w:eastAsia="宋体" w:cs="Times New Roman"/>
                      <w:color w:val="auto"/>
                      <w:sz w:val="18"/>
                      <w:szCs w:val="18"/>
                      <w:lang w:val="en-US" w:eastAsia="zh-CN"/>
                    </w:rPr>
                    <w:t>项目</w:t>
                  </w:r>
                  <w:r>
                    <w:rPr>
                      <w:rFonts w:hint="default" w:ascii="Times New Roman" w:hAnsi="Times New Roman" w:eastAsia="宋体" w:cs="Times New Roman"/>
                      <w:color w:val="auto"/>
                      <w:sz w:val="18"/>
                      <w:szCs w:val="18"/>
                    </w:rPr>
                    <w:t>。</w:t>
                  </w:r>
                </w:p>
              </w:tc>
              <w:tc>
                <w:tcPr>
                  <w:tcW w:w="699" w:type="dxa"/>
                  <w:vMerge w:val="continue"/>
                  <w:tcBorders>
                    <w:tl2br w:val="nil"/>
                    <w:tr2bl w:val="nil"/>
                  </w:tcBorders>
                  <w:noWrap w:val="0"/>
                  <w:vAlign w:val="center"/>
                </w:tcPr>
                <w:p w14:paraId="4689F70B">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r>
            <w:tr w14:paraId="013ED7E9">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28" w:type="dxa"/>
                  <w:bottom w:w="0" w:type="dxa"/>
                  <w:right w:w="28" w:type="dxa"/>
                </w:tblCellMar>
              </w:tblPrEx>
              <w:trPr>
                <w:trHeight w:val="340" w:hRule="atLeast"/>
                <w:jc w:val="center"/>
              </w:trPr>
              <w:tc>
                <w:tcPr>
                  <w:tcW w:w="1786" w:type="dxa"/>
                  <w:vMerge w:val="restart"/>
                  <w:tcBorders>
                    <w:tl2br w:val="nil"/>
                    <w:tr2bl w:val="nil"/>
                  </w:tcBorders>
                  <w:noWrap w:val="0"/>
                  <w:vAlign w:val="center"/>
                </w:tcPr>
                <w:p w14:paraId="2315BE0E">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《省政府办公厅关于印发江苏省“十四五”生态环境保护规划的通知》（苏政办发[2021]84号）</w:t>
                  </w:r>
                </w:p>
              </w:tc>
              <w:tc>
                <w:tcPr>
                  <w:tcW w:w="3713" w:type="dxa"/>
                  <w:gridSpan w:val="2"/>
                  <w:tcBorders>
                    <w:tl2br w:val="nil"/>
                    <w:tr2bl w:val="nil"/>
                  </w:tcBorders>
                  <w:noWrap w:val="0"/>
                  <w:vAlign w:val="center"/>
                </w:tcPr>
                <w:p w14:paraId="7CCB488D">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大力推进源头替代，按照“可替尽替、应代尽代”的原则，推进实施源头替代，培育一批源头替代示范型企业。加大工业涂装、包装印刷等行业源头替代力度，在化工行业推广使用低（无）VOCs含量、低反应活性的原辅材料，加快芳香烃、含卤素有机化合物的绿色替代。严格准入要求，禁止建设生产和使用高VOCs含量的溶剂型涂料、油墨、胶黏剂等项目。</w:t>
                  </w:r>
                </w:p>
              </w:tc>
              <w:tc>
                <w:tcPr>
                  <w:tcW w:w="2140" w:type="dxa"/>
                  <w:tcBorders>
                    <w:tl2br w:val="nil"/>
                    <w:tr2bl w:val="nil"/>
                  </w:tcBorders>
                  <w:noWrap w:val="0"/>
                  <w:vAlign w:val="center"/>
                </w:tcPr>
                <w:p w14:paraId="0DBB7D70">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eastAsia" w:cs="Times New Roman"/>
                      <w:color w:val="auto"/>
                      <w:sz w:val="18"/>
                      <w:szCs w:val="18"/>
                      <w:lang w:val="en-US" w:eastAsia="zh-CN"/>
                    </w:rPr>
                    <w:t>拟建</w:t>
                  </w:r>
                  <w:r>
                    <w:rPr>
                      <w:rFonts w:hint="default" w:ascii="Times New Roman" w:hAnsi="Times New Roman" w:eastAsia="宋体" w:cs="Times New Roman"/>
                      <w:color w:val="auto"/>
                      <w:sz w:val="18"/>
                      <w:szCs w:val="18"/>
                      <w:lang w:val="en-US" w:eastAsia="zh-CN"/>
                    </w:rPr>
                    <w:t>项目不涉及VOCs物料的使用</w:t>
                  </w:r>
                  <w:r>
                    <w:rPr>
                      <w:rFonts w:hint="default" w:ascii="Times New Roman" w:hAnsi="Times New Roman" w:eastAsia="宋体" w:cs="Times New Roman"/>
                      <w:color w:val="auto"/>
                      <w:sz w:val="18"/>
                      <w:szCs w:val="18"/>
                    </w:rPr>
                    <w:t>。</w:t>
                  </w:r>
                </w:p>
              </w:tc>
              <w:tc>
                <w:tcPr>
                  <w:tcW w:w="699" w:type="dxa"/>
                  <w:vMerge w:val="restart"/>
                  <w:tcBorders>
                    <w:tl2br w:val="nil"/>
                    <w:tr2bl w:val="nil"/>
                  </w:tcBorders>
                  <w:noWrap w:val="0"/>
                  <w:vAlign w:val="center"/>
                </w:tcPr>
                <w:p w14:paraId="3ECDFF93">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符合</w:t>
                  </w:r>
                </w:p>
              </w:tc>
            </w:tr>
            <w:tr w14:paraId="3F203C80">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28" w:type="dxa"/>
                  <w:bottom w:w="0" w:type="dxa"/>
                  <w:right w:w="28" w:type="dxa"/>
                </w:tblCellMar>
              </w:tblPrEx>
              <w:trPr>
                <w:trHeight w:val="340" w:hRule="atLeast"/>
                <w:jc w:val="center"/>
              </w:trPr>
              <w:tc>
                <w:tcPr>
                  <w:tcW w:w="1786" w:type="dxa"/>
                  <w:vMerge w:val="continue"/>
                  <w:tcBorders>
                    <w:tl2br w:val="nil"/>
                    <w:tr2bl w:val="nil"/>
                  </w:tcBorders>
                  <w:noWrap w:val="0"/>
                  <w:vAlign w:val="center"/>
                </w:tcPr>
                <w:p w14:paraId="24F49AAD">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c>
                <w:tcPr>
                  <w:tcW w:w="3713" w:type="dxa"/>
                  <w:gridSpan w:val="2"/>
                  <w:tcBorders>
                    <w:tl2br w:val="nil"/>
                    <w:tr2bl w:val="nil"/>
                  </w:tcBorders>
                  <w:noWrap w:val="0"/>
                  <w:vAlign w:val="center"/>
                </w:tcPr>
                <w:p w14:paraId="5F9E5C81">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强化危险废物全过程环境监管。制定危险废物利用处置技术规范，探索分级分类管理，完善危险废物全生命周期监控系统，进一步提升监管能力。加强危险废物流向监控，实现全省运输电子运单和转移电子联单对接，严厉打击危险废物非法转移处置倾倒等违法犯罪行为。建立危险废物跨省转移“白名单”制度。</w:t>
                  </w:r>
                </w:p>
              </w:tc>
              <w:tc>
                <w:tcPr>
                  <w:tcW w:w="2140" w:type="dxa"/>
                  <w:tcBorders>
                    <w:tl2br w:val="nil"/>
                    <w:tr2bl w:val="nil"/>
                  </w:tcBorders>
                  <w:noWrap w:val="0"/>
                  <w:vAlign w:val="center"/>
                </w:tcPr>
                <w:p w14:paraId="55DBC82C">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eastAsia" w:cs="Times New Roman"/>
                      <w:color w:val="auto"/>
                      <w:sz w:val="18"/>
                      <w:szCs w:val="18"/>
                      <w:lang w:val="en-US" w:eastAsia="zh-CN"/>
                    </w:rPr>
                    <w:t>拟建</w:t>
                  </w:r>
                  <w:r>
                    <w:rPr>
                      <w:rFonts w:hint="default" w:ascii="Times New Roman" w:hAnsi="Times New Roman" w:eastAsia="宋体" w:cs="Times New Roman"/>
                      <w:color w:val="auto"/>
                      <w:sz w:val="18"/>
                      <w:szCs w:val="18"/>
                      <w:lang w:val="en-US" w:eastAsia="zh-CN"/>
                    </w:rPr>
                    <w:t>项目不产生危险废物</w:t>
                  </w:r>
                  <w:r>
                    <w:rPr>
                      <w:rFonts w:hint="default" w:ascii="Times New Roman" w:hAnsi="Times New Roman" w:eastAsia="宋体" w:cs="Times New Roman"/>
                      <w:color w:val="auto"/>
                      <w:sz w:val="18"/>
                      <w:szCs w:val="18"/>
                    </w:rPr>
                    <w:t>。</w:t>
                  </w:r>
                </w:p>
              </w:tc>
              <w:tc>
                <w:tcPr>
                  <w:tcW w:w="699" w:type="dxa"/>
                  <w:vMerge w:val="continue"/>
                  <w:tcBorders>
                    <w:tl2br w:val="nil"/>
                    <w:tr2bl w:val="nil"/>
                  </w:tcBorders>
                  <w:noWrap w:val="0"/>
                  <w:vAlign w:val="center"/>
                </w:tcPr>
                <w:p w14:paraId="078944DC">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r>
            <w:tr w14:paraId="6BE6E0D3">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28" w:type="dxa"/>
                  <w:bottom w:w="0" w:type="dxa"/>
                  <w:right w:w="28" w:type="dxa"/>
                </w:tblCellMar>
              </w:tblPrEx>
              <w:trPr>
                <w:trHeight w:val="340" w:hRule="atLeast"/>
                <w:jc w:val="center"/>
              </w:trPr>
              <w:tc>
                <w:tcPr>
                  <w:tcW w:w="1786" w:type="dxa"/>
                  <w:vMerge w:val="restart"/>
                  <w:tcBorders>
                    <w:tl2br w:val="nil"/>
                    <w:tr2bl w:val="nil"/>
                  </w:tcBorders>
                  <w:noWrap w:val="0"/>
                  <w:vAlign w:val="center"/>
                </w:tcPr>
                <w:p w14:paraId="473298EE">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《江苏省生态环境厅关于进一步做好建设项目环评审批工作的通知》（苏环办[2019]36号）</w:t>
                  </w:r>
                </w:p>
              </w:tc>
              <w:tc>
                <w:tcPr>
                  <w:tcW w:w="549" w:type="dxa"/>
                  <w:vMerge w:val="restart"/>
                  <w:tcBorders>
                    <w:tl2br w:val="nil"/>
                    <w:tr2bl w:val="nil"/>
                  </w:tcBorders>
                  <w:noWrap w:val="0"/>
                  <w:vAlign w:val="center"/>
                </w:tcPr>
                <w:p w14:paraId="037579A0">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以下情形不予审批</w:t>
                  </w:r>
                </w:p>
              </w:tc>
              <w:tc>
                <w:tcPr>
                  <w:tcW w:w="3164" w:type="dxa"/>
                  <w:tcBorders>
                    <w:tl2br w:val="nil"/>
                    <w:tr2bl w:val="nil"/>
                  </w:tcBorders>
                  <w:noWrap w:val="0"/>
                  <w:vAlign w:val="center"/>
                </w:tcPr>
                <w:p w14:paraId="2D8176ED">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建设项目类型及其选址、布局、规模等不符合环境保护法律法规和相关法定规划</w:t>
                  </w:r>
                </w:p>
              </w:tc>
              <w:tc>
                <w:tcPr>
                  <w:tcW w:w="2140" w:type="dxa"/>
                  <w:tcBorders>
                    <w:tl2br w:val="nil"/>
                    <w:tr2bl w:val="nil"/>
                  </w:tcBorders>
                  <w:noWrap w:val="0"/>
                  <w:vAlign w:val="center"/>
                </w:tcPr>
                <w:p w14:paraId="22536D43">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经与“三线一单”及规划相符性分析可知，</w:t>
                  </w:r>
                  <w:r>
                    <w:rPr>
                      <w:rFonts w:hint="eastAsia" w:cs="Times New Roman"/>
                      <w:color w:val="auto"/>
                      <w:sz w:val="18"/>
                      <w:szCs w:val="18"/>
                      <w:lang w:eastAsia="zh-CN"/>
                    </w:rPr>
                    <w:t>拟建</w:t>
                  </w:r>
                  <w:r>
                    <w:rPr>
                      <w:rFonts w:hint="default" w:ascii="Times New Roman" w:hAnsi="Times New Roman" w:eastAsia="宋体" w:cs="Times New Roman"/>
                      <w:color w:val="auto"/>
                      <w:sz w:val="18"/>
                      <w:szCs w:val="18"/>
                      <w:lang w:eastAsia="zh-CN"/>
                    </w:rPr>
                    <w:t>项目</w:t>
                  </w:r>
                  <w:r>
                    <w:rPr>
                      <w:rFonts w:hint="default" w:ascii="Times New Roman" w:hAnsi="Times New Roman" w:eastAsia="宋体" w:cs="Times New Roman"/>
                      <w:color w:val="auto"/>
                      <w:sz w:val="18"/>
                      <w:szCs w:val="18"/>
                    </w:rPr>
                    <w:t>类型及其选址、布局等均符合环境保护法律法规和相关法定规划。</w:t>
                  </w:r>
                </w:p>
              </w:tc>
              <w:tc>
                <w:tcPr>
                  <w:tcW w:w="699" w:type="dxa"/>
                  <w:vMerge w:val="restart"/>
                  <w:tcBorders>
                    <w:tl2br w:val="nil"/>
                    <w:tr2bl w:val="nil"/>
                  </w:tcBorders>
                  <w:noWrap w:val="0"/>
                  <w:vAlign w:val="center"/>
                </w:tcPr>
                <w:p w14:paraId="6BC8D5D9">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符合</w:t>
                  </w:r>
                </w:p>
              </w:tc>
            </w:tr>
            <w:tr w14:paraId="611B8574">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28" w:type="dxa"/>
                  <w:bottom w:w="0" w:type="dxa"/>
                  <w:right w:w="28" w:type="dxa"/>
                </w:tblCellMar>
              </w:tblPrEx>
              <w:trPr>
                <w:trHeight w:val="340" w:hRule="atLeast"/>
                <w:jc w:val="center"/>
              </w:trPr>
              <w:tc>
                <w:tcPr>
                  <w:tcW w:w="1786" w:type="dxa"/>
                  <w:vMerge w:val="continue"/>
                  <w:tcBorders>
                    <w:tl2br w:val="nil"/>
                    <w:tr2bl w:val="nil"/>
                  </w:tcBorders>
                  <w:noWrap w:val="0"/>
                  <w:vAlign w:val="center"/>
                </w:tcPr>
                <w:p w14:paraId="62A0F52D">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c>
                <w:tcPr>
                  <w:tcW w:w="549" w:type="dxa"/>
                  <w:vMerge w:val="continue"/>
                  <w:tcBorders>
                    <w:tl2br w:val="nil"/>
                    <w:tr2bl w:val="nil"/>
                  </w:tcBorders>
                  <w:noWrap w:val="0"/>
                  <w:vAlign w:val="center"/>
                </w:tcPr>
                <w:p w14:paraId="5CEA5155">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c>
                <w:tcPr>
                  <w:tcW w:w="3164" w:type="dxa"/>
                  <w:tcBorders>
                    <w:tl2br w:val="nil"/>
                    <w:tr2bl w:val="nil"/>
                  </w:tcBorders>
                  <w:noWrap w:val="0"/>
                  <w:vAlign w:val="center"/>
                </w:tcPr>
                <w:p w14:paraId="5EE6C754">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所在区域环境质量未达到国家或者地方环境质量标准，且建设项目拟采取的措施不能满足区域环境质量改善目标管理要求</w:t>
                  </w:r>
                </w:p>
              </w:tc>
              <w:tc>
                <w:tcPr>
                  <w:tcW w:w="2140" w:type="dxa"/>
                  <w:tcBorders>
                    <w:tl2br w:val="nil"/>
                    <w:tr2bl w:val="nil"/>
                  </w:tcBorders>
                  <w:noWrap w:val="0"/>
                  <w:vAlign w:val="center"/>
                </w:tcPr>
                <w:p w14:paraId="737A9A9B">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eastAsia" w:cs="Times New Roman"/>
                      <w:color w:val="auto"/>
                      <w:sz w:val="18"/>
                      <w:szCs w:val="18"/>
                      <w:lang w:eastAsia="zh-CN"/>
                    </w:rPr>
                    <w:t>拟建</w:t>
                  </w:r>
                  <w:r>
                    <w:rPr>
                      <w:rFonts w:hint="default" w:ascii="Times New Roman" w:hAnsi="Times New Roman" w:eastAsia="宋体" w:cs="Times New Roman"/>
                      <w:color w:val="auto"/>
                      <w:sz w:val="18"/>
                      <w:szCs w:val="18"/>
                      <w:lang w:eastAsia="zh-CN"/>
                    </w:rPr>
                    <w:t>项目</w:t>
                  </w:r>
                  <w:r>
                    <w:rPr>
                      <w:rFonts w:hint="default" w:ascii="Times New Roman" w:hAnsi="Times New Roman" w:eastAsia="宋体" w:cs="Times New Roman"/>
                      <w:color w:val="auto"/>
                      <w:sz w:val="18"/>
                      <w:szCs w:val="18"/>
                    </w:rPr>
                    <w:t>所在区域</w:t>
                  </w:r>
                  <w:r>
                    <w:rPr>
                      <w:rFonts w:hint="default" w:ascii="Times New Roman" w:hAnsi="Times New Roman" w:eastAsia="宋体" w:cs="Times New Roman"/>
                      <w:color w:val="auto"/>
                      <w:sz w:val="18"/>
                      <w:szCs w:val="18"/>
                      <w:lang w:val="en-US" w:eastAsia="zh-CN"/>
                    </w:rPr>
                    <w:t>为环境空气不达标区，</w:t>
                  </w:r>
                  <w:r>
                    <w:rPr>
                      <w:rFonts w:hint="eastAsia" w:cs="Times New Roman"/>
                      <w:color w:val="auto"/>
                      <w:sz w:val="18"/>
                      <w:szCs w:val="18"/>
                      <w:lang w:val="en-US" w:eastAsia="zh-CN"/>
                    </w:rPr>
                    <w:t>项目采取布袋除尘设施处理颗粒物，可以满足</w:t>
                  </w:r>
                  <w:r>
                    <w:rPr>
                      <w:rFonts w:hint="default" w:ascii="Times New Roman" w:hAnsi="Times New Roman" w:eastAsia="宋体" w:cs="Times New Roman"/>
                      <w:color w:val="auto"/>
                      <w:sz w:val="18"/>
                      <w:szCs w:val="18"/>
                    </w:rPr>
                    <w:t>区域环境质量改善目标要求</w:t>
                  </w:r>
                  <w:r>
                    <w:rPr>
                      <w:rFonts w:hint="default" w:ascii="Times New Roman" w:hAnsi="Times New Roman" w:eastAsia="宋体" w:cs="Times New Roman"/>
                      <w:color w:val="auto"/>
                      <w:sz w:val="18"/>
                      <w:szCs w:val="18"/>
                      <w:lang w:val="en-US" w:eastAsia="zh-CN"/>
                    </w:rPr>
                    <w:t>；根据《2023年淮安市生态环境状况公报》，盐河水质能够满足《地表水环境质量标准》（GB3838-2002》III类水标准，水质状况良好，项目所在地噪声环境质量达标</w:t>
                  </w:r>
                  <w:r>
                    <w:rPr>
                      <w:rFonts w:hint="default" w:ascii="Times New Roman" w:hAnsi="Times New Roman" w:eastAsia="宋体" w:cs="Times New Roman"/>
                      <w:color w:val="auto"/>
                      <w:sz w:val="18"/>
                      <w:szCs w:val="18"/>
                    </w:rPr>
                    <w:t>。</w:t>
                  </w:r>
                </w:p>
              </w:tc>
              <w:tc>
                <w:tcPr>
                  <w:tcW w:w="699" w:type="dxa"/>
                  <w:vMerge w:val="continue"/>
                  <w:tcBorders>
                    <w:tl2br w:val="nil"/>
                    <w:tr2bl w:val="nil"/>
                  </w:tcBorders>
                  <w:noWrap w:val="0"/>
                  <w:vAlign w:val="center"/>
                </w:tcPr>
                <w:p w14:paraId="77C70902">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r>
            <w:tr w14:paraId="6CB65C25">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28" w:type="dxa"/>
                  <w:bottom w:w="0" w:type="dxa"/>
                  <w:right w:w="28" w:type="dxa"/>
                </w:tblCellMar>
              </w:tblPrEx>
              <w:trPr>
                <w:trHeight w:val="340" w:hRule="atLeast"/>
                <w:jc w:val="center"/>
              </w:trPr>
              <w:tc>
                <w:tcPr>
                  <w:tcW w:w="1786" w:type="dxa"/>
                  <w:vMerge w:val="continue"/>
                  <w:tcBorders>
                    <w:tl2br w:val="nil"/>
                    <w:tr2bl w:val="nil"/>
                  </w:tcBorders>
                  <w:noWrap w:val="0"/>
                  <w:vAlign w:val="center"/>
                </w:tcPr>
                <w:p w14:paraId="37D577A9">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c>
                <w:tcPr>
                  <w:tcW w:w="549" w:type="dxa"/>
                  <w:vMerge w:val="continue"/>
                  <w:tcBorders>
                    <w:tl2br w:val="nil"/>
                    <w:tr2bl w:val="nil"/>
                  </w:tcBorders>
                  <w:noWrap w:val="0"/>
                  <w:vAlign w:val="center"/>
                </w:tcPr>
                <w:p w14:paraId="14C504E9">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c>
                <w:tcPr>
                  <w:tcW w:w="3164" w:type="dxa"/>
                  <w:tcBorders>
                    <w:tl2br w:val="nil"/>
                    <w:tr2bl w:val="nil"/>
                  </w:tcBorders>
                  <w:noWrap w:val="0"/>
                  <w:vAlign w:val="center"/>
                </w:tcPr>
                <w:p w14:paraId="40D33337">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建设项目采取的污染防治措施无法确保污染物排放达到国家和地方排放标准，或者未采取必要措施预防和控制生态破坏</w:t>
                  </w:r>
                </w:p>
              </w:tc>
              <w:tc>
                <w:tcPr>
                  <w:tcW w:w="2140" w:type="dxa"/>
                  <w:tcBorders>
                    <w:tl2br w:val="nil"/>
                    <w:tr2bl w:val="nil"/>
                  </w:tcBorders>
                  <w:noWrap w:val="0"/>
                  <w:vAlign w:val="center"/>
                </w:tcPr>
                <w:p w14:paraId="72E58784">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eastAsia" w:cs="Times New Roman"/>
                      <w:color w:val="auto"/>
                      <w:sz w:val="18"/>
                      <w:szCs w:val="18"/>
                      <w:lang w:eastAsia="zh-CN"/>
                    </w:rPr>
                    <w:t>拟建</w:t>
                  </w:r>
                  <w:r>
                    <w:rPr>
                      <w:rFonts w:hint="default" w:ascii="Times New Roman" w:hAnsi="Times New Roman" w:eastAsia="宋体" w:cs="Times New Roman"/>
                      <w:color w:val="auto"/>
                      <w:sz w:val="18"/>
                      <w:szCs w:val="18"/>
                      <w:lang w:eastAsia="zh-CN"/>
                    </w:rPr>
                    <w:t>项目</w:t>
                  </w:r>
                  <w:r>
                    <w:rPr>
                      <w:rFonts w:hint="default" w:ascii="Times New Roman" w:hAnsi="Times New Roman" w:eastAsia="宋体" w:cs="Times New Roman"/>
                      <w:color w:val="auto"/>
                      <w:sz w:val="18"/>
                      <w:szCs w:val="18"/>
                    </w:rPr>
                    <w:t>废气、</w:t>
                  </w:r>
                  <w:r>
                    <w:rPr>
                      <w:rFonts w:hint="eastAsia" w:cs="Times New Roman"/>
                      <w:color w:val="auto"/>
                      <w:sz w:val="18"/>
                      <w:szCs w:val="18"/>
                      <w:lang w:eastAsia="zh-CN"/>
                    </w:rPr>
                    <w:t>废水、</w:t>
                  </w:r>
                  <w:r>
                    <w:rPr>
                      <w:rFonts w:hint="default" w:ascii="Times New Roman" w:hAnsi="Times New Roman" w:eastAsia="宋体" w:cs="Times New Roman"/>
                      <w:color w:val="auto"/>
                      <w:sz w:val="18"/>
                      <w:szCs w:val="18"/>
                    </w:rPr>
                    <w:t>噪声、固废采取</w:t>
                  </w:r>
                  <w:r>
                    <w:rPr>
                      <w:rFonts w:hint="default" w:ascii="Times New Roman" w:hAnsi="Times New Roman" w:eastAsia="宋体" w:cs="Times New Roman"/>
                      <w:color w:val="auto"/>
                      <w:sz w:val="18"/>
                      <w:szCs w:val="18"/>
                      <w:lang w:eastAsia="zh-CN"/>
                    </w:rPr>
                    <w:t>相应的</w:t>
                  </w:r>
                  <w:r>
                    <w:rPr>
                      <w:rFonts w:hint="default" w:ascii="Times New Roman" w:hAnsi="Times New Roman" w:eastAsia="宋体" w:cs="Times New Roman"/>
                      <w:color w:val="auto"/>
                      <w:sz w:val="18"/>
                      <w:szCs w:val="18"/>
                    </w:rPr>
                    <w:t>污染防治措施，确保排放达标</w:t>
                  </w:r>
                  <w:r>
                    <w:rPr>
                      <w:rFonts w:hint="default" w:ascii="Times New Roman" w:hAnsi="Times New Roman" w:eastAsia="宋体" w:cs="Times New Roman"/>
                      <w:color w:val="auto"/>
                      <w:sz w:val="18"/>
                      <w:szCs w:val="18"/>
                      <w:lang w:eastAsia="zh-CN"/>
                    </w:rPr>
                    <w:t>或</w:t>
                  </w:r>
                  <w:r>
                    <w:rPr>
                      <w:rFonts w:hint="eastAsia" w:cs="Times New Roman"/>
                      <w:color w:val="auto"/>
                      <w:sz w:val="18"/>
                      <w:szCs w:val="18"/>
                      <w:lang w:eastAsia="zh-CN"/>
                    </w:rPr>
                    <w:t>安全</w:t>
                  </w:r>
                  <w:r>
                    <w:rPr>
                      <w:rFonts w:hint="default" w:ascii="Times New Roman" w:hAnsi="Times New Roman" w:eastAsia="宋体" w:cs="Times New Roman"/>
                      <w:color w:val="auto"/>
                      <w:sz w:val="18"/>
                      <w:szCs w:val="18"/>
                      <w:lang w:eastAsia="zh-CN"/>
                    </w:rPr>
                    <w:t>处置</w:t>
                  </w:r>
                  <w:r>
                    <w:rPr>
                      <w:rFonts w:hint="eastAsia" w:cs="Times New Roman"/>
                      <w:color w:val="auto"/>
                      <w:sz w:val="18"/>
                      <w:szCs w:val="18"/>
                      <w:lang w:eastAsia="zh-CN"/>
                    </w:rPr>
                    <w:t>与</w:t>
                  </w:r>
                  <w:r>
                    <w:rPr>
                      <w:rFonts w:hint="default" w:ascii="Times New Roman" w:hAnsi="Times New Roman" w:eastAsia="宋体" w:cs="Times New Roman"/>
                      <w:color w:val="auto"/>
                      <w:sz w:val="18"/>
                      <w:szCs w:val="18"/>
                      <w:lang w:eastAsia="zh-CN"/>
                    </w:rPr>
                    <w:t>利用</w:t>
                  </w:r>
                  <w:r>
                    <w:rPr>
                      <w:rFonts w:hint="default" w:ascii="Times New Roman" w:hAnsi="Times New Roman" w:eastAsia="宋体" w:cs="Times New Roman"/>
                      <w:color w:val="auto"/>
                      <w:sz w:val="18"/>
                      <w:szCs w:val="18"/>
                    </w:rPr>
                    <w:t>。</w:t>
                  </w:r>
                </w:p>
              </w:tc>
              <w:tc>
                <w:tcPr>
                  <w:tcW w:w="699" w:type="dxa"/>
                  <w:vMerge w:val="continue"/>
                  <w:tcBorders>
                    <w:tl2br w:val="nil"/>
                    <w:tr2bl w:val="nil"/>
                  </w:tcBorders>
                  <w:noWrap w:val="0"/>
                  <w:vAlign w:val="center"/>
                </w:tcPr>
                <w:p w14:paraId="2EFE8084">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r>
            <w:tr w14:paraId="689182CD">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28" w:type="dxa"/>
                  <w:bottom w:w="0" w:type="dxa"/>
                  <w:right w:w="28" w:type="dxa"/>
                </w:tblCellMar>
              </w:tblPrEx>
              <w:trPr>
                <w:trHeight w:val="705" w:hRule="atLeast"/>
                <w:jc w:val="center"/>
              </w:trPr>
              <w:tc>
                <w:tcPr>
                  <w:tcW w:w="1786" w:type="dxa"/>
                  <w:vMerge w:val="continue"/>
                  <w:tcBorders>
                    <w:tl2br w:val="nil"/>
                    <w:tr2bl w:val="nil"/>
                  </w:tcBorders>
                  <w:noWrap w:val="0"/>
                  <w:vAlign w:val="center"/>
                </w:tcPr>
                <w:p w14:paraId="646B2FA5">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c>
                <w:tcPr>
                  <w:tcW w:w="549" w:type="dxa"/>
                  <w:vMerge w:val="continue"/>
                  <w:tcBorders>
                    <w:tl2br w:val="nil"/>
                    <w:tr2bl w:val="nil"/>
                  </w:tcBorders>
                  <w:noWrap w:val="0"/>
                  <w:vAlign w:val="center"/>
                </w:tcPr>
                <w:p w14:paraId="1463F233">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c>
                <w:tcPr>
                  <w:tcW w:w="3164" w:type="dxa"/>
                  <w:tcBorders>
                    <w:tl2br w:val="nil"/>
                    <w:tr2bl w:val="nil"/>
                  </w:tcBorders>
                  <w:noWrap w:val="0"/>
                  <w:vAlign w:val="center"/>
                </w:tcPr>
                <w:p w14:paraId="2FD8E336">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改建、扩建和技术改造项目，未针对项目原有环境污染和生态破坏提出有效</w:t>
                  </w:r>
                  <w:r>
                    <w:rPr>
                      <w:rFonts w:hint="default" w:ascii="Times New Roman" w:hAnsi="Times New Roman" w:eastAsia="宋体" w:cs="Times New Roman"/>
                      <w:color w:val="auto"/>
                      <w:sz w:val="18"/>
                      <w:szCs w:val="18"/>
                      <w:lang w:eastAsia="zh-CN"/>
                    </w:rPr>
                    <w:t>防治措施</w:t>
                  </w:r>
                </w:p>
              </w:tc>
              <w:tc>
                <w:tcPr>
                  <w:tcW w:w="2140" w:type="dxa"/>
                  <w:tcBorders>
                    <w:tl2br w:val="nil"/>
                    <w:tr2bl w:val="nil"/>
                  </w:tcBorders>
                  <w:noWrap w:val="0"/>
                  <w:vAlign w:val="center"/>
                </w:tcPr>
                <w:p w14:paraId="06E89741">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eastAsia" w:cs="Times New Roman"/>
                      <w:color w:val="auto"/>
                      <w:sz w:val="18"/>
                      <w:szCs w:val="18"/>
                      <w:lang w:eastAsia="zh-CN"/>
                    </w:rPr>
                    <w:t>拟建</w:t>
                  </w:r>
                  <w:r>
                    <w:rPr>
                      <w:rFonts w:hint="default" w:ascii="Times New Roman" w:hAnsi="Times New Roman" w:eastAsia="宋体" w:cs="Times New Roman"/>
                      <w:color w:val="auto"/>
                      <w:sz w:val="18"/>
                      <w:szCs w:val="18"/>
                      <w:lang w:eastAsia="zh-CN"/>
                    </w:rPr>
                    <w:t>项目</w:t>
                  </w:r>
                  <w:r>
                    <w:rPr>
                      <w:rFonts w:hint="eastAsia" w:cs="Times New Roman"/>
                      <w:color w:val="auto"/>
                      <w:sz w:val="18"/>
                      <w:szCs w:val="18"/>
                      <w:lang w:eastAsia="zh-CN"/>
                    </w:rPr>
                    <w:t>属于新建项目</w:t>
                  </w:r>
                </w:p>
              </w:tc>
              <w:tc>
                <w:tcPr>
                  <w:tcW w:w="699" w:type="dxa"/>
                  <w:vMerge w:val="continue"/>
                  <w:tcBorders>
                    <w:tl2br w:val="nil"/>
                    <w:tr2bl w:val="nil"/>
                  </w:tcBorders>
                  <w:noWrap w:val="0"/>
                  <w:vAlign w:val="center"/>
                </w:tcPr>
                <w:p w14:paraId="433517B7">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r>
            <w:tr w14:paraId="348B2BE1">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28" w:type="dxa"/>
                  <w:bottom w:w="0" w:type="dxa"/>
                  <w:right w:w="28" w:type="dxa"/>
                </w:tblCellMar>
              </w:tblPrEx>
              <w:trPr>
                <w:trHeight w:val="340" w:hRule="atLeast"/>
                <w:jc w:val="center"/>
              </w:trPr>
              <w:tc>
                <w:tcPr>
                  <w:tcW w:w="1786" w:type="dxa"/>
                  <w:vMerge w:val="continue"/>
                  <w:tcBorders>
                    <w:tl2br w:val="nil"/>
                    <w:tr2bl w:val="nil"/>
                  </w:tcBorders>
                  <w:noWrap w:val="0"/>
                  <w:vAlign w:val="center"/>
                </w:tcPr>
                <w:p w14:paraId="67F2E408">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c>
                <w:tcPr>
                  <w:tcW w:w="3713" w:type="dxa"/>
                  <w:gridSpan w:val="2"/>
                  <w:tcBorders>
                    <w:tl2br w:val="nil"/>
                    <w:tr2bl w:val="nil"/>
                  </w:tcBorders>
                  <w:noWrap w:val="0"/>
                  <w:vAlign w:val="center"/>
                </w:tcPr>
                <w:p w14:paraId="71B539D7">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严格控制在优先保护类耕地集中区域新建有色金属冶炼、石油加工、化工、焦化、电镀、制革等行业企业，有关环境保护主管部门依法不予审批可能造成耕地土壤污染的建设项目环境影响报告书或者报告表。</w:t>
                  </w:r>
                </w:p>
              </w:tc>
              <w:tc>
                <w:tcPr>
                  <w:tcW w:w="2140" w:type="dxa"/>
                  <w:tcBorders>
                    <w:tl2br w:val="nil"/>
                    <w:tr2bl w:val="nil"/>
                  </w:tcBorders>
                  <w:noWrap w:val="0"/>
                  <w:vAlign w:val="center"/>
                </w:tcPr>
                <w:p w14:paraId="00787A8B">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eastAsia" w:cs="Times New Roman"/>
                      <w:color w:val="auto"/>
                      <w:sz w:val="18"/>
                      <w:szCs w:val="18"/>
                      <w:lang w:eastAsia="zh-CN"/>
                    </w:rPr>
                    <w:t>拟建</w:t>
                  </w:r>
                  <w:r>
                    <w:rPr>
                      <w:rFonts w:hint="default" w:ascii="Times New Roman" w:hAnsi="Times New Roman" w:eastAsia="宋体" w:cs="Times New Roman"/>
                      <w:color w:val="auto"/>
                      <w:sz w:val="18"/>
                      <w:szCs w:val="18"/>
                      <w:lang w:eastAsia="zh-CN"/>
                    </w:rPr>
                    <w:t>项目</w:t>
                  </w:r>
                  <w:r>
                    <w:rPr>
                      <w:rFonts w:hint="default" w:ascii="Times New Roman" w:hAnsi="Times New Roman" w:eastAsia="宋体" w:cs="Times New Roman"/>
                      <w:color w:val="auto"/>
                      <w:sz w:val="18"/>
                      <w:szCs w:val="18"/>
                      <w:lang w:val="en-US" w:eastAsia="zh-CN"/>
                    </w:rPr>
                    <w:t>地块</w:t>
                  </w:r>
                  <w:r>
                    <w:rPr>
                      <w:rFonts w:hint="default" w:ascii="Times New Roman" w:hAnsi="Times New Roman" w:eastAsia="宋体" w:cs="Times New Roman"/>
                      <w:color w:val="auto"/>
                      <w:sz w:val="18"/>
                      <w:szCs w:val="18"/>
                    </w:rPr>
                    <w:t>位于</w:t>
                  </w:r>
                  <w:r>
                    <w:rPr>
                      <w:rFonts w:hint="default" w:ascii="Times New Roman" w:hAnsi="Times New Roman" w:eastAsia="宋体" w:cs="Times New Roman"/>
                      <w:color w:val="auto"/>
                      <w:sz w:val="18"/>
                      <w:szCs w:val="18"/>
                      <w:lang w:val="en-US" w:eastAsia="zh-CN"/>
                    </w:rPr>
                    <w:t>新渡工业集中区(淮安高新技术产业开发区西区)</w:t>
                  </w:r>
                  <w:r>
                    <w:rPr>
                      <w:rFonts w:hint="eastAsia" w:cs="Times New Roman"/>
                      <w:color w:val="auto"/>
                      <w:sz w:val="18"/>
                      <w:szCs w:val="18"/>
                      <w:lang w:val="en-US" w:eastAsia="zh-CN"/>
                    </w:rPr>
                    <w:t>，</w:t>
                  </w:r>
                  <w:r>
                    <w:rPr>
                      <w:rFonts w:hint="default" w:ascii="Times New Roman" w:hAnsi="Times New Roman" w:eastAsia="宋体" w:cs="Times New Roman"/>
                      <w:color w:val="auto"/>
                      <w:sz w:val="18"/>
                      <w:szCs w:val="18"/>
                      <w:lang w:eastAsia="zh-CN"/>
                    </w:rPr>
                    <w:t>用地性质</w:t>
                  </w:r>
                  <w:r>
                    <w:rPr>
                      <w:rFonts w:hint="default" w:ascii="Times New Roman" w:hAnsi="Times New Roman" w:eastAsia="宋体" w:cs="Times New Roman"/>
                      <w:color w:val="auto"/>
                      <w:sz w:val="18"/>
                      <w:szCs w:val="18"/>
                    </w:rPr>
                    <w:t>属于工业用地。</w:t>
                  </w:r>
                </w:p>
              </w:tc>
              <w:tc>
                <w:tcPr>
                  <w:tcW w:w="699" w:type="dxa"/>
                  <w:vMerge w:val="continue"/>
                  <w:tcBorders>
                    <w:tl2br w:val="nil"/>
                    <w:tr2bl w:val="nil"/>
                  </w:tcBorders>
                  <w:noWrap w:val="0"/>
                  <w:vAlign w:val="center"/>
                </w:tcPr>
                <w:p w14:paraId="4FEDA312">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r>
            <w:tr w14:paraId="38D29CE3">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28" w:type="dxa"/>
                  <w:bottom w:w="0" w:type="dxa"/>
                  <w:right w:w="28" w:type="dxa"/>
                </w:tblCellMar>
              </w:tblPrEx>
              <w:trPr>
                <w:trHeight w:val="340" w:hRule="atLeast"/>
                <w:jc w:val="center"/>
              </w:trPr>
              <w:tc>
                <w:tcPr>
                  <w:tcW w:w="1786" w:type="dxa"/>
                  <w:vMerge w:val="continue"/>
                  <w:tcBorders>
                    <w:tl2br w:val="nil"/>
                    <w:tr2bl w:val="nil"/>
                  </w:tcBorders>
                  <w:noWrap w:val="0"/>
                  <w:vAlign w:val="center"/>
                </w:tcPr>
                <w:p w14:paraId="55A36362">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c>
                <w:tcPr>
                  <w:tcW w:w="3713" w:type="dxa"/>
                  <w:gridSpan w:val="2"/>
                  <w:tcBorders>
                    <w:tl2br w:val="nil"/>
                    <w:tr2bl w:val="nil"/>
                  </w:tcBorders>
                  <w:noWrap w:val="0"/>
                  <w:vAlign w:val="center"/>
                </w:tcPr>
                <w:p w14:paraId="7CCD6836">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严格落实污染物排放总量控制制度，把主要污染物排放总量指标作为建设项目环境影响评价审批的前置条件。排放主要污染物的建设项目，在环境影响评价文件审批前，须取得主要污染物排放总量指标</w:t>
                  </w:r>
                </w:p>
              </w:tc>
              <w:tc>
                <w:tcPr>
                  <w:tcW w:w="2140" w:type="dxa"/>
                  <w:tcBorders>
                    <w:tl2br w:val="nil"/>
                    <w:tr2bl w:val="nil"/>
                  </w:tcBorders>
                  <w:noWrap w:val="0"/>
                  <w:vAlign w:val="center"/>
                </w:tcPr>
                <w:p w14:paraId="639611C6">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eastAsia" w:cs="Times New Roman"/>
                      <w:color w:val="auto"/>
                      <w:sz w:val="18"/>
                      <w:szCs w:val="18"/>
                      <w:lang w:eastAsia="zh-CN"/>
                    </w:rPr>
                    <w:t>拟建</w:t>
                  </w:r>
                  <w:r>
                    <w:rPr>
                      <w:rFonts w:hint="default" w:ascii="Times New Roman" w:hAnsi="Times New Roman" w:eastAsia="宋体" w:cs="Times New Roman"/>
                      <w:color w:val="auto"/>
                      <w:sz w:val="18"/>
                      <w:szCs w:val="18"/>
                      <w:lang w:eastAsia="zh-CN"/>
                    </w:rPr>
                    <w:t>项目</w:t>
                  </w:r>
                  <w:r>
                    <w:rPr>
                      <w:rFonts w:hint="default" w:ascii="Times New Roman" w:hAnsi="Times New Roman" w:eastAsia="宋体" w:cs="Times New Roman"/>
                      <w:color w:val="auto"/>
                      <w:sz w:val="18"/>
                      <w:szCs w:val="18"/>
                    </w:rPr>
                    <w:t>将按要求严格落实污染物排放总量控制制度，把</w:t>
                  </w:r>
                  <w:r>
                    <w:rPr>
                      <w:rFonts w:hint="eastAsia" w:cs="Times New Roman"/>
                      <w:color w:val="auto"/>
                      <w:sz w:val="18"/>
                      <w:szCs w:val="18"/>
                      <w:lang w:eastAsia="zh-CN"/>
                    </w:rPr>
                    <w:t>颗粒物</w:t>
                  </w:r>
                  <w:r>
                    <w:rPr>
                      <w:rFonts w:hint="default" w:ascii="Times New Roman" w:hAnsi="Times New Roman" w:eastAsia="宋体" w:cs="Times New Roman"/>
                      <w:color w:val="auto"/>
                      <w:sz w:val="18"/>
                      <w:szCs w:val="18"/>
                    </w:rPr>
                    <w:t>排放总量指标作为</w:t>
                  </w:r>
                  <w:r>
                    <w:rPr>
                      <w:rFonts w:hint="default" w:ascii="Times New Roman" w:hAnsi="Times New Roman" w:eastAsia="宋体" w:cs="Times New Roman"/>
                      <w:color w:val="auto"/>
                      <w:sz w:val="18"/>
                      <w:szCs w:val="18"/>
                      <w:lang w:eastAsia="zh-CN"/>
                    </w:rPr>
                    <w:t>建设项目</w:t>
                  </w:r>
                  <w:r>
                    <w:rPr>
                      <w:rFonts w:hint="default" w:ascii="Times New Roman" w:hAnsi="Times New Roman" w:eastAsia="宋体" w:cs="Times New Roman"/>
                      <w:color w:val="auto"/>
                      <w:sz w:val="18"/>
                      <w:szCs w:val="18"/>
                    </w:rPr>
                    <w:t>环境影响评价审批的前置条件。在环境影响评价文件审批前，须取得</w:t>
                  </w:r>
                  <w:r>
                    <w:rPr>
                      <w:rFonts w:hint="eastAsia" w:cs="Times New Roman"/>
                      <w:color w:val="auto"/>
                      <w:sz w:val="18"/>
                      <w:szCs w:val="18"/>
                      <w:lang w:eastAsia="zh-CN"/>
                    </w:rPr>
                    <w:t>其</w:t>
                  </w:r>
                  <w:r>
                    <w:rPr>
                      <w:rFonts w:hint="default" w:ascii="Times New Roman" w:hAnsi="Times New Roman" w:eastAsia="宋体" w:cs="Times New Roman"/>
                      <w:color w:val="auto"/>
                      <w:sz w:val="18"/>
                      <w:szCs w:val="18"/>
                    </w:rPr>
                    <w:t>排放总量指标。</w:t>
                  </w:r>
                </w:p>
              </w:tc>
              <w:tc>
                <w:tcPr>
                  <w:tcW w:w="699" w:type="dxa"/>
                  <w:vMerge w:val="continue"/>
                  <w:tcBorders>
                    <w:tl2br w:val="nil"/>
                    <w:tr2bl w:val="nil"/>
                  </w:tcBorders>
                  <w:noWrap w:val="0"/>
                  <w:vAlign w:val="center"/>
                </w:tcPr>
                <w:p w14:paraId="4F8328FA">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r>
            <w:tr w14:paraId="6CDACA15">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28" w:type="dxa"/>
                  <w:bottom w:w="0" w:type="dxa"/>
                  <w:right w:w="28" w:type="dxa"/>
                </w:tblCellMar>
              </w:tblPrEx>
              <w:trPr>
                <w:trHeight w:val="340" w:hRule="atLeast"/>
                <w:jc w:val="center"/>
              </w:trPr>
              <w:tc>
                <w:tcPr>
                  <w:tcW w:w="1786" w:type="dxa"/>
                  <w:vMerge w:val="continue"/>
                  <w:tcBorders>
                    <w:tl2br w:val="nil"/>
                    <w:tr2bl w:val="nil"/>
                  </w:tcBorders>
                  <w:noWrap w:val="0"/>
                  <w:vAlign w:val="center"/>
                </w:tcPr>
                <w:p w14:paraId="5216B511">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c>
                <w:tcPr>
                  <w:tcW w:w="3713" w:type="dxa"/>
                  <w:gridSpan w:val="2"/>
                  <w:tcBorders>
                    <w:tl2br w:val="nil"/>
                    <w:tr2bl w:val="nil"/>
                  </w:tcBorders>
                  <w:noWrap w:val="0"/>
                  <w:vAlign w:val="center"/>
                </w:tcPr>
                <w:p w14:paraId="2EE70203">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对环境质量现状超标的地区，项目拟采取的措施不能满足区域环境质量改善目标管理要求的，依法不予审批其环评文件。</w:t>
                  </w:r>
                </w:p>
              </w:tc>
              <w:tc>
                <w:tcPr>
                  <w:tcW w:w="2140" w:type="dxa"/>
                  <w:tcBorders>
                    <w:tl2br w:val="nil"/>
                    <w:tr2bl w:val="nil"/>
                  </w:tcBorders>
                  <w:noWrap w:val="0"/>
                  <w:vAlign w:val="center"/>
                </w:tcPr>
                <w:p w14:paraId="22A42F1D">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eastAsia" w:cs="Times New Roman"/>
                      <w:color w:val="auto"/>
                      <w:sz w:val="18"/>
                      <w:szCs w:val="18"/>
                      <w:lang w:eastAsia="zh-CN"/>
                    </w:rPr>
                    <w:t>拟建</w:t>
                  </w:r>
                  <w:r>
                    <w:rPr>
                      <w:rFonts w:hint="default" w:ascii="Times New Roman" w:hAnsi="Times New Roman" w:eastAsia="宋体" w:cs="Times New Roman"/>
                      <w:color w:val="auto"/>
                      <w:sz w:val="18"/>
                      <w:szCs w:val="18"/>
                      <w:lang w:eastAsia="zh-CN"/>
                    </w:rPr>
                    <w:t>项目</w:t>
                  </w:r>
                  <w:r>
                    <w:rPr>
                      <w:rFonts w:hint="default" w:ascii="Times New Roman" w:hAnsi="Times New Roman" w:eastAsia="宋体" w:cs="Times New Roman"/>
                      <w:color w:val="auto"/>
                      <w:sz w:val="18"/>
                      <w:szCs w:val="18"/>
                    </w:rPr>
                    <w:t>所在区域属于环境空气</w:t>
                  </w:r>
                  <w:r>
                    <w:rPr>
                      <w:rFonts w:hint="default" w:ascii="Times New Roman" w:hAnsi="Times New Roman" w:eastAsia="宋体" w:cs="Times New Roman"/>
                      <w:color w:val="auto"/>
                      <w:sz w:val="18"/>
                      <w:szCs w:val="18"/>
                      <w:lang w:eastAsia="zh-CN"/>
                    </w:rPr>
                    <w:t>不</w:t>
                  </w:r>
                  <w:r>
                    <w:rPr>
                      <w:rFonts w:hint="default" w:ascii="Times New Roman" w:hAnsi="Times New Roman" w:eastAsia="宋体" w:cs="Times New Roman"/>
                      <w:color w:val="auto"/>
                      <w:sz w:val="18"/>
                      <w:szCs w:val="18"/>
                    </w:rPr>
                    <w:t>达标区，</w:t>
                  </w:r>
                  <w:r>
                    <w:rPr>
                      <w:rFonts w:hint="default" w:ascii="Times New Roman" w:hAnsi="Times New Roman" w:eastAsia="宋体" w:cs="Times New Roman"/>
                      <w:color w:val="auto"/>
                      <w:sz w:val="18"/>
                      <w:szCs w:val="18"/>
                      <w:lang w:eastAsia="zh-CN"/>
                    </w:rPr>
                    <w:t>根据分析，</w:t>
                  </w:r>
                  <w:r>
                    <w:rPr>
                      <w:rFonts w:hint="default" w:ascii="Times New Roman" w:hAnsi="Times New Roman" w:eastAsia="宋体" w:cs="Times New Roman"/>
                      <w:color w:val="auto"/>
                      <w:sz w:val="18"/>
                      <w:szCs w:val="18"/>
                    </w:rPr>
                    <w:t>项目拟采取</w:t>
                  </w:r>
                  <w:r>
                    <w:rPr>
                      <w:rFonts w:hint="default" w:ascii="Times New Roman" w:hAnsi="Times New Roman" w:eastAsia="宋体" w:cs="Times New Roman"/>
                      <w:color w:val="auto"/>
                      <w:sz w:val="18"/>
                      <w:szCs w:val="18"/>
                      <w:lang w:eastAsia="zh-CN"/>
                    </w:rPr>
                    <w:t>废气治理</w:t>
                  </w:r>
                  <w:r>
                    <w:rPr>
                      <w:rFonts w:hint="default" w:ascii="Times New Roman" w:hAnsi="Times New Roman" w:eastAsia="宋体" w:cs="Times New Roman"/>
                      <w:color w:val="auto"/>
                      <w:sz w:val="18"/>
                      <w:szCs w:val="18"/>
                    </w:rPr>
                    <w:t>措施</w:t>
                  </w:r>
                  <w:r>
                    <w:rPr>
                      <w:rFonts w:hint="default" w:ascii="Times New Roman" w:hAnsi="Times New Roman" w:eastAsia="宋体" w:cs="Times New Roman"/>
                      <w:color w:val="auto"/>
                      <w:sz w:val="18"/>
                      <w:szCs w:val="18"/>
                      <w:lang w:eastAsia="zh-CN"/>
                    </w:rPr>
                    <w:t>后污染物满足达标排放的要求，对周围大气环境影响较小，项目颗粒物排放在区域范围内实现总量平衡</w:t>
                  </w:r>
                  <w:r>
                    <w:rPr>
                      <w:rFonts w:hint="default" w:ascii="Times New Roman" w:hAnsi="Times New Roman" w:eastAsia="宋体" w:cs="Times New Roman"/>
                      <w:color w:val="auto"/>
                      <w:sz w:val="18"/>
                      <w:szCs w:val="18"/>
                    </w:rPr>
                    <w:t>。</w:t>
                  </w:r>
                </w:p>
              </w:tc>
              <w:tc>
                <w:tcPr>
                  <w:tcW w:w="699" w:type="dxa"/>
                  <w:vMerge w:val="continue"/>
                  <w:tcBorders>
                    <w:tl2br w:val="nil"/>
                    <w:tr2bl w:val="nil"/>
                  </w:tcBorders>
                  <w:noWrap w:val="0"/>
                  <w:vAlign w:val="center"/>
                </w:tcPr>
                <w:p w14:paraId="526A91D6">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r>
            <w:tr w14:paraId="51CF8AB3">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28" w:type="dxa"/>
                  <w:bottom w:w="0" w:type="dxa"/>
                  <w:right w:w="28" w:type="dxa"/>
                </w:tblCellMar>
              </w:tblPrEx>
              <w:trPr>
                <w:trHeight w:val="340" w:hRule="atLeast"/>
                <w:jc w:val="center"/>
              </w:trPr>
              <w:tc>
                <w:tcPr>
                  <w:tcW w:w="1786" w:type="dxa"/>
                  <w:vMerge w:val="continue"/>
                  <w:tcBorders>
                    <w:tl2br w:val="nil"/>
                    <w:tr2bl w:val="nil"/>
                  </w:tcBorders>
                  <w:noWrap w:val="0"/>
                  <w:vAlign w:val="center"/>
                </w:tcPr>
                <w:p w14:paraId="0850DFAA">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c>
                <w:tcPr>
                  <w:tcW w:w="3713" w:type="dxa"/>
                  <w:gridSpan w:val="2"/>
                  <w:tcBorders>
                    <w:tl2br w:val="nil"/>
                    <w:tr2bl w:val="nil"/>
                  </w:tcBorders>
                  <w:noWrap w:val="0"/>
                  <w:vAlign w:val="center"/>
                </w:tcPr>
                <w:p w14:paraId="43C49A52">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禁止建设生产和使用高VOCs含量的溶剂型涂料、油墨、胶粘剂等项目</w:t>
                  </w:r>
                </w:p>
              </w:tc>
              <w:tc>
                <w:tcPr>
                  <w:tcW w:w="2140" w:type="dxa"/>
                  <w:tcBorders>
                    <w:tl2br w:val="nil"/>
                    <w:tr2bl w:val="nil"/>
                  </w:tcBorders>
                  <w:noWrap w:val="0"/>
                  <w:vAlign w:val="center"/>
                </w:tcPr>
                <w:p w14:paraId="2301B465">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eastAsia="zh-CN"/>
                    </w:rPr>
                  </w:pPr>
                  <w:r>
                    <w:rPr>
                      <w:rFonts w:hint="eastAsia" w:cs="Times New Roman"/>
                      <w:color w:val="auto"/>
                      <w:sz w:val="18"/>
                      <w:szCs w:val="18"/>
                      <w:lang w:eastAsia="zh-CN"/>
                    </w:rPr>
                    <w:t>拟建</w:t>
                  </w:r>
                  <w:r>
                    <w:rPr>
                      <w:rFonts w:hint="default" w:ascii="Times New Roman" w:hAnsi="Times New Roman" w:eastAsia="宋体" w:cs="Times New Roman"/>
                      <w:color w:val="auto"/>
                      <w:sz w:val="18"/>
                      <w:szCs w:val="18"/>
                      <w:lang w:eastAsia="zh-CN"/>
                    </w:rPr>
                    <w:t>项目</w:t>
                  </w:r>
                  <w:r>
                    <w:rPr>
                      <w:rFonts w:hint="default" w:ascii="Times New Roman" w:hAnsi="Times New Roman" w:eastAsia="宋体" w:cs="Times New Roman"/>
                      <w:color w:val="auto"/>
                      <w:sz w:val="18"/>
                      <w:szCs w:val="18"/>
                      <w:lang w:val="en-US" w:eastAsia="zh-CN"/>
                    </w:rPr>
                    <w:t>不涉使用VOCs物料</w:t>
                  </w:r>
                  <w:r>
                    <w:rPr>
                      <w:rFonts w:hint="default" w:ascii="Times New Roman" w:hAnsi="Times New Roman" w:eastAsia="宋体" w:cs="Times New Roman"/>
                      <w:color w:val="auto"/>
                      <w:sz w:val="18"/>
                      <w:szCs w:val="18"/>
                      <w:lang w:eastAsia="zh-CN"/>
                    </w:rPr>
                    <w:t>。</w:t>
                  </w:r>
                </w:p>
              </w:tc>
              <w:tc>
                <w:tcPr>
                  <w:tcW w:w="699" w:type="dxa"/>
                  <w:vMerge w:val="continue"/>
                  <w:tcBorders>
                    <w:tl2br w:val="nil"/>
                    <w:tr2bl w:val="nil"/>
                  </w:tcBorders>
                  <w:noWrap w:val="0"/>
                  <w:vAlign w:val="center"/>
                </w:tcPr>
                <w:p w14:paraId="7D7A074F">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r>
            <w:tr w14:paraId="058203D7">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28" w:type="dxa"/>
                  <w:bottom w:w="0" w:type="dxa"/>
                  <w:right w:w="28" w:type="dxa"/>
                </w:tblCellMar>
              </w:tblPrEx>
              <w:trPr>
                <w:trHeight w:val="340" w:hRule="atLeast"/>
                <w:jc w:val="center"/>
              </w:trPr>
              <w:tc>
                <w:tcPr>
                  <w:tcW w:w="1786" w:type="dxa"/>
                  <w:vMerge w:val="continue"/>
                  <w:tcBorders>
                    <w:tl2br w:val="nil"/>
                    <w:tr2bl w:val="nil"/>
                  </w:tcBorders>
                  <w:noWrap w:val="0"/>
                  <w:vAlign w:val="center"/>
                </w:tcPr>
                <w:p w14:paraId="313AFE68">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c>
                <w:tcPr>
                  <w:tcW w:w="3713" w:type="dxa"/>
                  <w:gridSpan w:val="2"/>
                  <w:tcBorders>
                    <w:tl2br w:val="nil"/>
                    <w:tr2bl w:val="nil"/>
                  </w:tcBorders>
                  <w:noWrap w:val="0"/>
                  <w:vAlign w:val="center"/>
                </w:tcPr>
                <w:p w14:paraId="4D0BD8ED">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生态保护红线原则上按禁止开发区域的要求进行管理，严禁不符合主体功能定位的各类开发活动，严禁任意改变用途。</w:t>
                  </w:r>
                </w:p>
              </w:tc>
              <w:tc>
                <w:tcPr>
                  <w:tcW w:w="2140" w:type="dxa"/>
                  <w:tcBorders>
                    <w:tl2br w:val="nil"/>
                    <w:tr2bl w:val="nil"/>
                  </w:tcBorders>
                  <w:noWrap w:val="0"/>
                  <w:vAlign w:val="center"/>
                </w:tcPr>
                <w:p w14:paraId="2ACAE3F0">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eastAsia" w:cs="Times New Roman"/>
                      <w:color w:val="auto"/>
                      <w:sz w:val="18"/>
                      <w:szCs w:val="18"/>
                      <w:lang w:eastAsia="zh-CN"/>
                    </w:rPr>
                    <w:t>拟建</w:t>
                  </w:r>
                  <w:r>
                    <w:rPr>
                      <w:rFonts w:hint="default" w:ascii="Times New Roman" w:hAnsi="Times New Roman" w:eastAsia="宋体" w:cs="Times New Roman"/>
                      <w:color w:val="auto"/>
                      <w:sz w:val="18"/>
                      <w:szCs w:val="18"/>
                      <w:lang w:eastAsia="zh-CN"/>
                    </w:rPr>
                    <w:t>项目</w:t>
                  </w:r>
                  <w:r>
                    <w:rPr>
                      <w:rFonts w:hint="default" w:ascii="Times New Roman" w:hAnsi="Times New Roman" w:eastAsia="宋体" w:cs="Times New Roman"/>
                      <w:color w:val="auto"/>
                      <w:sz w:val="18"/>
                      <w:szCs w:val="18"/>
                      <w:lang w:val="en-US" w:eastAsia="zh-CN"/>
                    </w:rPr>
                    <w:t>不占用生态红线区</w:t>
                  </w:r>
                  <w:r>
                    <w:rPr>
                      <w:rFonts w:hint="default" w:ascii="Times New Roman" w:hAnsi="Times New Roman" w:eastAsia="宋体" w:cs="Times New Roman"/>
                      <w:color w:val="auto"/>
                      <w:sz w:val="18"/>
                      <w:szCs w:val="18"/>
                    </w:rPr>
                    <w:t>。</w:t>
                  </w:r>
                </w:p>
              </w:tc>
              <w:tc>
                <w:tcPr>
                  <w:tcW w:w="699" w:type="dxa"/>
                  <w:vMerge w:val="continue"/>
                  <w:tcBorders>
                    <w:tl2br w:val="nil"/>
                    <w:tr2bl w:val="nil"/>
                  </w:tcBorders>
                  <w:noWrap w:val="0"/>
                  <w:vAlign w:val="center"/>
                </w:tcPr>
                <w:p w14:paraId="514D4592">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r>
            <w:tr w14:paraId="78189233">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28" w:type="dxa"/>
                  <w:bottom w:w="0" w:type="dxa"/>
                  <w:right w:w="28" w:type="dxa"/>
                </w:tblCellMar>
              </w:tblPrEx>
              <w:trPr>
                <w:trHeight w:val="340" w:hRule="atLeast"/>
                <w:jc w:val="center"/>
              </w:trPr>
              <w:tc>
                <w:tcPr>
                  <w:tcW w:w="1786" w:type="dxa"/>
                  <w:vMerge w:val="continue"/>
                  <w:tcBorders>
                    <w:tl2br w:val="nil"/>
                    <w:tr2bl w:val="nil"/>
                  </w:tcBorders>
                  <w:noWrap w:val="0"/>
                  <w:vAlign w:val="center"/>
                </w:tcPr>
                <w:p w14:paraId="0F5ED25D">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c>
                <w:tcPr>
                  <w:tcW w:w="3713" w:type="dxa"/>
                  <w:gridSpan w:val="2"/>
                  <w:tcBorders>
                    <w:tl2br w:val="nil"/>
                    <w:tr2bl w:val="nil"/>
                  </w:tcBorders>
                  <w:noWrap w:val="0"/>
                  <w:vAlign w:val="center"/>
                </w:tcPr>
                <w:p w14:paraId="10FC83CF">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禁止审批无法落实危险废物利用、处置途径的项目，从严审批危险废物产生量大、本地无配套利用处置能力</w:t>
                  </w:r>
                  <w:r>
                    <w:rPr>
                      <w:rFonts w:hint="default" w:ascii="Times New Roman" w:hAnsi="Times New Roman" w:eastAsia="宋体" w:cs="Times New Roman"/>
                      <w:color w:val="auto"/>
                      <w:sz w:val="18"/>
                      <w:szCs w:val="18"/>
                      <w:lang w:eastAsia="zh-CN"/>
                    </w:rPr>
                    <w:t>且</w:t>
                  </w:r>
                  <w:r>
                    <w:rPr>
                      <w:rFonts w:hint="default" w:ascii="Times New Roman" w:hAnsi="Times New Roman" w:eastAsia="宋体" w:cs="Times New Roman"/>
                      <w:color w:val="auto"/>
                      <w:sz w:val="18"/>
                      <w:szCs w:val="18"/>
                    </w:rPr>
                    <w:t>需设区市统筹解决的项目</w:t>
                  </w:r>
                </w:p>
              </w:tc>
              <w:tc>
                <w:tcPr>
                  <w:tcW w:w="2140" w:type="dxa"/>
                  <w:tcBorders>
                    <w:tl2br w:val="nil"/>
                    <w:tr2bl w:val="nil"/>
                  </w:tcBorders>
                  <w:noWrap w:val="0"/>
                  <w:vAlign w:val="center"/>
                </w:tcPr>
                <w:p w14:paraId="192A18EC">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eastAsia" w:cs="Times New Roman"/>
                      <w:color w:val="auto"/>
                      <w:sz w:val="18"/>
                      <w:szCs w:val="18"/>
                      <w:lang w:eastAsia="zh-CN"/>
                    </w:rPr>
                    <w:t>拟建</w:t>
                  </w:r>
                  <w:r>
                    <w:rPr>
                      <w:rFonts w:hint="default" w:ascii="Times New Roman" w:hAnsi="Times New Roman" w:eastAsia="宋体" w:cs="Times New Roman"/>
                      <w:color w:val="auto"/>
                      <w:sz w:val="18"/>
                      <w:szCs w:val="18"/>
                      <w:lang w:eastAsia="zh-CN"/>
                    </w:rPr>
                    <w:t>项目不产生危险废物</w:t>
                  </w:r>
                  <w:r>
                    <w:rPr>
                      <w:rFonts w:hint="default" w:ascii="Times New Roman" w:hAnsi="Times New Roman" w:eastAsia="宋体" w:cs="Times New Roman"/>
                      <w:color w:val="auto"/>
                      <w:sz w:val="18"/>
                      <w:szCs w:val="18"/>
                    </w:rPr>
                    <w:t>。</w:t>
                  </w:r>
                </w:p>
              </w:tc>
              <w:tc>
                <w:tcPr>
                  <w:tcW w:w="699" w:type="dxa"/>
                  <w:vMerge w:val="continue"/>
                  <w:tcBorders>
                    <w:tl2br w:val="nil"/>
                    <w:tr2bl w:val="nil"/>
                  </w:tcBorders>
                  <w:noWrap w:val="0"/>
                  <w:vAlign w:val="center"/>
                </w:tcPr>
                <w:p w14:paraId="2DC36D6B">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r>
            <w:tr w14:paraId="60C0A5CD">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28" w:type="dxa"/>
                  <w:bottom w:w="0" w:type="dxa"/>
                  <w:right w:w="28" w:type="dxa"/>
                </w:tblCellMar>
              </w:tblPrEx>
              <w:trPr>
                <w:trHeight w:val="340" w:hRule="atLeast"/>
                <w:jc w:val="center"/>
              </w:trPr>
              <w:tc>
                <w:tcPr>
                  <w:tcW w:w="1786" w:type="dxa"/>
                  <w:vMerge w:val="continue"/>
                  <w:tcBorders>
                    <w:tl2br w:val="nil"/>
                    <w:tr2bl w:val="nil"/>
                  </w:tcBorders>
                  <w:noWrap w:val="0"/>
                  <w:vAlign w:val="center"/>
                </w:tcPr>
                <w:p w14:paraId="5D66FBDB">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c>
                <w:tcPr>
                  <w:tcW w:w="3713" w:type="dxa"/>
                  <w:gridSpan w:val="2"/>
                  <w:tcBorders>
                    <w:tl2br w:val="nil"/>
                    <w:tr2bl w:val="nil"/>
                  </w:tcBorders>
                  <w:noWrap w:val="0"/>
                  <w:vAlign w:val="center"/>
                </w:tcPr>
                <w:p w14:paraId="124C0A9D">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禁止新建、扩建法律法规和相关政策明令禁止的落后产能项目</w:t>
                  </w:r>
                </w:p>
              </w:tc>
              <w:tc>
                <w:tcPr>
                  <w:tcW w:w="2140" w:type="dxa"/>
                  <w:vMerge w:val="restart"/>
                  <w:tcBorders>
                    <w:tl2br w:val="nil"/>
                    <w:tr2bl w:val="nil"/>
                  </w:tcBorders>
                  <w:noWrap w:val="0"/>
                  <w:vAlign w:val="center"/>
                </w:tcPr>
                <w:p w14:paraId="4169543F">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eastAsia" w:cs="Times New Roman"/>
                      <w:color w:val="auto"/>
                      <w:sz w:val="18"/>
                      <w:szCs w:val="18"/>
                      <w:lang w:eastAsia="zh-CN"/>
                    </w:rPr>
                    <w:t>拟建</w:t>
                  </w:r>
                  <w:r>
                    <w:rPr>
                      <w:rFonts w:hint="default" w:ascii="Times New Roman" w:hAnsi="Times New Roman" w:eastAsia="宋体" w:cs="Times New Roman"/>
                      <w:color w:val="auto"/>
                      <w:sz w:val="18"/>
                      <w:szCs w:val="18"/>
                      <w:lang w:eastAsia="zh-CN"/>
                    </w:rPr>
                    <w:t>项目不涉及该条款所列</w:t>
                  </w:r>
                  <w:r>
                    <w:rPr>
                      <w:rFonts w:hint="default" w:ascii="Times New Roman" w:hAnsi="Times New Roman" w:eastAsia="宋体" w:cs="Times New Roman"/>
                      <w:color w:val="auto"/>
                      <w:sz w:val="18"/>
                      <w:szCs w:val="18"/>
                    </w:rPr>
                    <w:t>项目。</w:t>
                  </w:r>
                </w:p>
              </w:tc>
              <w:tc>
                <w:tcPr>
                  <w:tcW w:w="699" w:type="dxa"/>
                  <w:vMerge w:val="continue"/>
                  <w:tcBorders>
                    <w:tl2br w:val="nil"/>
                    <w:tr2bl w:val="nil"/>
                  </w:tcBorders>
                  <w:noWrap w:val="0"/>
                  <w:vAlign w:val="center"/>
                </w:tcPr>
                <w:p w14:paraId="38EEC701">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r>
            <w:tr w14:paraId="2B6223B4">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28" w:type="dxa"/>
                  <w:bottom w:w="0" w:type="dxa"/>
                  <w:right w:w="28" w:type="dxa"/>
                </w:tblCellMar>
              </w:tblPrEx>
              <w:trPr>
                <w:trHeight w:val="340" w:hRule="atLeast"/>
                <w:jc w:val="center"/>
              </w:trPr>
              <w:tc>
                <w:tcPr>
                  <w:tcW w:w="1786" w:type="dxa"/>
                  <w:vMerge w:val="continue"/>
                  <w:tcBorders>
                    <w:tl2br w:val="nil"/>
                    <w:tr2bl w:val="nil"/>
                  </w:tcBorders>
                  <w:noWrap w:val="0"/>
                  <w:vAlign w:val="center"/>
                </w:tcPr>
                <w:p w14:paraId="018A734C">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c>
                <w:tcPr>
                  <w:tcW w:w="3713" w:type="dxa"/>
                  <w:gridSpan w:val="2"/>
                  <w:tcBorders>
                    <w:tl2br w:val="nil"/>
                    <w:tr2bl w:val="nil"/>
                  </w:tcBorders>
                  <w:noWrap w:val="0"/>
                  <w:vAlign w:val="center"/>
                </w:tcPr>
                <w:p w14:paraId="7138E222">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禁止新建、扩建不符合国家产能置换要求的严重过剩产能行业的项目</w:t>
                  </w:r>
                </w:p>
              </w:tc>
              <w:tc>
                <w:tcPr>
                  <w:tcW w:w="2140" w:type="dxa"/>
                  <w:vMerge w:val="continue"/>
                  <w:tcBorders>
                    <w:tl2br w:val="nil"/>
                    <w:tr2bl w:val="nil"/>
                  </w:tcBorders>
                  <w:noWrap w:val="0"/>
                  <w:vAlign w:val="center"/>
                </w:tcPr>
                <w:p w14:paraId="13CEACE9">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c>
                <w:tcPr>
                  <w:tcW w:w="699" w:type="dxa"/>
                  <w:vMerge w:val="continue"/>
                  <w:tcBorders>
                    <w:tl2br w:val="nil"/>
                    <w:tr2bl w:val="nil"/>
                  </w:tcBorders>
                  <w:noWrap w:val="0"/>
                  <w:vAlign w:val="center"/>
                </w:tcPr>
                <w:p w14:paraId="506BFA1D">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r>
            <w:tr w14:paraId="33D89544">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28" w:type="dxa"/>
                  <w:bottom w:w="0" w:type="dxa"/>
                  <w:right w:w="28" w:type="dxa"/>
                </w:tblCellMar>
              </w:tblPrEx>
              <w:trPr>
                <w:trHeight w:val="340" w:hRule="atLeast"/>
                <w:jc w:val="center"/>
              </w:trPr>
              <w:tc>
                <w:tcPr>
                  <w:tcW w:w="1786" w:type="dxa"/>
                  <w:vMerge w:val="restart"/>
                  <w:tcBorders>
                    <w:tl2br w:val="nil"/>
                    <w:tr2bl w:val="nil"/>
                  </w:tcBorders>
                  <w:noWrap w:val="0"/>
                  <w:vAlign w:val="center"/>
                </w:tcPr>
                <w:p w14:paraId="64A83595">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color w:val="auto"/>
                      <w:sz w:val="18"/>
                      <w:szCs w:val="18"/>
                    </w:rPr>
                    <w:t>《江苏省生态环境保护条例》</w:t>
                  </w:r>
                </w:p>
              </w:tc>
              <w:tc>
                <w:tcPr>
                  <w:tcW w:w="3713" w:type="dxa"/>
                  <w:gridSpan w:val="2"/>
                  <w:tcBorders>
                    <w:tl2br w:val="nil"/>
                    <w:tr2bl w:val="nil"/>
                  </w:tcBorders>
                  <w:noWrap w:val="0"/>
                  <w:vAlign w:val="center"/>
                </w:tcPr>
                <w:p w14:paraId="5E7A8F02">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第五十条本省依法实行排污许可管理制度。纳入排污许可管理的排污单位，应当依法申领排污许可证并按照排污许可证的要求排放污染物；未取得排污许可证的，不得排放污染物。</w:t>
                  </w:r>
                </w:p>
              </w:tc>
              <w:tc>
                <w:tcPr>
                  <w:tcW w:w="2140" w:type="dxa"/>
                  <w:tcBorders>
                    <w:tl2br w:val="nil"/>
                    <w:tr2bl w:val="nil"/>
                  </w:tcBorders>
                  <w:noWrap w:val="0"/>
                  <w:vAlign w:val="center"/>
                </w:tcPr>
                <w:p w14:paraId="2321500B">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18"/>
                      <w:szCs w:val="18"/>
                    </w:rPr>
                  </w:pPr>
                  <w:r>
                    <w:rPr>
                      <w:rFonts w:hint="eastAsia" w:cs="Times New Roman"/>
                      <w:color w:val="auto"/>
                      <w:sz w:val="18"/>
                      <w:szCs w:val="18"/>
                      <w:lang w:eastAsia="zh-CN"/>
                    </w:rPr>
                    <w:t>拟建</w:t>
                  </w:r>
                  <w:r>
                    <w:rPr>
                      <w:rFonts w:hint="default" w:ascii="Times New Roman" w:hAnsi="Times New Roman" w:eastAsia="宋体" w:cs="Times New Roman"/>
                      <w:color w:val="auto"/>
                      <w:sz w:val="18"/>
                      <w:szCs w:val="18"/>
                      <w:lang w:eastAsia="zh-CN"/>
                    </w:rPr>
                    <w:t>项目实行排污登记管理</w:t>
                  </w:r>
                  <w:r>
                    <w:rPr>
                      <w:rFonts w:hint="default" w:ascii="Times New Roman" w:hAnsi="Times New Roman" w:eastAsia="宋体" w:cs="Times New Roman"/>
                      <w:color w:val="auto"/>
                      <w:sz w:val="18"/>
                      <w:szCs w:val="18"/>
                    </w:rPr>
                    <w:t>。</w:t>
                  </w:r>
                </w:p>
              </w:tc>
              <w:tc>
                <w:tcPr>
                  <w:tcW w:w="699" w:type="dxa"/>
                  <w:tcBorders>
                    <w:tl2br w:val="nil"/>
                    <w:tr2bl w:val="nil"/>
                  </w:tcBorders>
                  <w:noWrap w:val="0"/>
                  <w:vAlign w:val="center"/>
                </w:tcPr>
                <w:p w14:paraId="384A1A5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color w:val="auto"/>
                      <w:sz w:val="18"/>
                      <w:szCs w:val="18"/>
                    </w:rPr>
                    <w:t>符合</w:t>
                  </w:r>
                </w:p>
              </w:tc>
            </w:tr>
            <w:tr w14:paraId="16B4D80D">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28" w:type="dxa"/>
                  <w:bottom w:w="0" w:type="dxa"/>
                  <w:right w:w="28" w:type="dxa"/>
                </w:tblCellMar>
              </w:tblPrEx>
              <w:trPr>
                <w:trHeight w:val="340" w:hRule="atLeast"/>
                <w:jc w:val="center"/>
              </w:trPr>
              <w:tc>
                <w:tcPr>
                  <w:tcW w:w="1786" w:type="dxa"/>
                  <w:vMerge w:val="continue"/>
                  <w:tcBorders>
                    <w:tl2br w:val="nil"/>
                    <w:tr2bl w:val="nil"/>
                  </w:tcBorders>
                  <w:noWrap w:val="0"/>
                  <w:vAlign w:val="center"/>
                </w:tcPr>
                <w:p w14:paraId="18A46DEF">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c>
                <w:tcPr>
                  <w:tcW w:w="3713" w:type="dxa"/>
                  <w:gridSpan w:val="2"/>
                  <w:tcBorders>
                    <w:tl2br w:val="nil"/>
                    <w:tr2bl w:val="nil"/>
                  </w:tcBorders>
                  <w:noWrap w:val="0"/>
                  <w:vAlign w:val="center"/>
                </w:tcPr>
                <w:p w14:paraId="479BB1D2">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第五十一条本省实行排污权有偿使用和交易制度、排污总量指标储备管理制度，新建、改建、扩建建设项目的新增重点污染物排放总量指标的不足部分，可以按照国家和省有关规定通过排污权交易或者从排污总量指标储备库中取得。排污总量指标应当在排污许可证中载明。</w:t>
                  </w:r>
                </w:p>
              </w:tc>
              <w:tc>
                <w:tcPr>
                  <w:tcW w:w="2140" w:type="dxa"/>
                  <w:tcBorders>
                    <w:tl2br w:val="nil"/>
                    <w:tr2bl w:val="nil"/>
                  </w:tcBorders>
                  <w:noWrap w:val="0"/>
                  <w:vAlign w:val="center"/>
                </w:tcPr>
                <w:p w14:paraId="3F51DBAE">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18"/>
                      <w:szCs w:val="18"/>
                    </w:rPr>
                  </w:pPr>
                  <w:r>
                    <w:rPr>
                      <w:rFonts w:hint="eastAsia" w:cs="Times New Roman"/>
                      <w:color w:val="auto"/>
                      <w:sz w:val="18"/>
                      <w:szCs w:val="18"/>
                      <w:lang w:eastAsia="zh-CN"/>
                    </w:rPr>
                    <w:t>拟建</w:t>
                  </w:r>
                  <w:r>
                    <w:rPr>
                      <w:rFonts w:hint="default" w:ascii="Times New Roman" w:hAnsi="Times New Roman" w:eastAsia="宋体" w:cs="Times New Roman"/>
                      <w:color w:val="auto"/>
                      <w:sz w:val="18"/>
                      <w:szCs w:val="18"/>
                      <w:lang w:eastAsia="zh-CN"/>
                    </w:rPr>
                    <w:t>项目</w:t>
                  </w:r>
                  <w:r>
                    <w:rPr>
                      <w:rFonts w:hint="default" w:ascii="Times New Roman" w:hAnsi="Times New Roman" w:eastAsia="宋体" w:cs="Times New Roman"/>
                      <w:color w:val="auto"/>
                      <w:sz w:val="18"/>
                      <w:szCs w:val="18"/>
                      <w:lang w:val="en-US" w:eastAsia="zh-CN"/>
                    </w:rPr>
                    <w:t>新增的颗粒物由淮安市淮阴生态环境局从淮安市境内削减总量中进行替代平衡或在总量储备库中替代平衡。</w:t>
                  </w:r>
                  <w:r>
                    <w:rPr>
                      <w:rFonts w:hint="eastAsia" w:cs="Times New Roman"/>
                      <w:color w:val="auto"/>
                      <w:sz w:val="18"/>
                      <w:szCs w:val="18"/>
                      <w:lang w:val="en-US" w:eastAsia="zh-CN"/>
                    </w:rPr>
                    <w:t>拟建</w:t>
                  </w:r>
                  <w:r>
                    <w:rPr>
                      <w:rFonts w:hint="default" w:ascii="Times New Roman" w:hAnsi="Times New Roman" w:eastAsia="宋体" w:cs="Times New Roman"/>
                      <w:color w:val="auto"/>
                      <w:sz w:val="18"/>
                      <w:szCs w:val="18"/>
                      <w:lang w:val="en-US" w:eastAsia="zh-CN"/>
                    </w:rPr>
                    <w:t>项目不新增废水；固废零排放。</w:t>
                  </w:r>
                </w:p>
              </w:tc>
              <w:tc>
                <w:tcPr>
                  <w:tcW w:w="699" w:type="dxa"/>
                  <w:tcBorders>
                    <w:tl2br w:val="nil"/>
                    <w:tr2bl w:val="nil"/>
                  </w:tcBorders>
                  <w:noWrap w:val="0"/>
                  <w:vAlign w:val="center"/>
                </w:tcPr>
                <w:p w14:paraId="4FCC4DC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color w:val="auto"/>
                      <w:sz w:val="18"/>
                      <w:szCs w:val="18"/>
                    </w:rPr>
                    <w:t>符合</w:t>
                  </w:r>
                </w:p>
              </w:tc>
            </w:tr>
            <w:tr w14:paraId="75AB296E">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28" w:type="dxa"/>
                  <w:bottom w:w="0" w:type="dxa"/>
                  <w:right w:w="28" w:type="dxa"/>
                </w:tblCellMar>
              </w:tblPrEx>
              <w:trPr>
                <w:trHeight w:val="340" w:hRule="atLeast"/>
                <w:jc w:val="center"/>
              </w:trPr>
              <w:tc>
                <w:tcPr>
                  <w:tcW w:w="1786" w:type="dxa"/>
                  <w:vMerge w:val="continue"/>
                  <w:tcBorders>
                    <w:tl2br w:val="nil"/>
                    <w:tr2bl w:val="nil"/>
                  </w:tcBorders>
                  <w:noWrap w:val="0"/>
                  <w:vAlign w:val="center"/>
                </w:tcPr>
                <w:p w14:paraId="0FFB3927">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c>
                <w:tcPr>
                  <w:tcW w:w="3713" w:type="dxa"/>
                  <w:gridSpan w:val="2"/>
                  <w:tcBorders>
                    <w:tl2br w:val="nil"/>
                    <w:tr2bl w:val="nil"/>
                  </w:tcBorders>
                  <w:noWrap w:val="0"/>
                  <w:vAlign w:val="center"/>
                </w:tcPr>
                <w:p w14:paraId="7DF9EA0B">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第六十二条新建排放重点污染物的工业项目原则上应当进入符合规划的园区。鼓励园区外已建排放重点污染物的工业项目通过搬迁等方式进入符合规划的园区。</w:t>
                  </w:r>
                </w:p>
              </w:tc>
              <w:tc>
                <w:tcPr>
                  <w:tcW w:w="2140" w:type="dxa"/>
                  <w:tcBorders>
                    <w:tl2br w:val="nil"/>
                    <w:tr2bl w:val="nil"/>
                  </w:tcBorders>
                  <w:noWrap w:val="0"/>
                  <w:vAlign w:val="center"/>
                </w:tcPr>
                <w:p w14:paraId="5E922190">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18"/>
                      <w:szCs w:val="18"/>
                    </w:rPr>
                  </w:pPr>
                  <w:r>
                    <w:rPr>
                      <w:rFonts w:hint="eastAsia" w:cs="Times New Roman"/>
                      <w:color w:val="auto"/>
                      <w:sz w:val="18"/>
                      <w:szCs w:val="18"/>
                      <w:lang w:eastAsia="zh-CN"/>
                    </w:rPr>
                    <w:t>拟建</w:t>
                  </w:r>
                  <w:r>
                    <w:rPr>
                      <w:rFonts w:hint="default" w:ascii="Times New Roman" w:hAnsi="Times New Roman" w:eastAsia="宋体" w:cs="Times New Roman"/>
                      <w:color w:val="auto"/>
                      <w:sz w:val="18"/>
                      <w:szCs w:val="18"/>
                      <w:lang w:eastAsia="zh-CN"/>
                    </w:rPr>
                    <w:t>项目</w:t>
                  </w:r>
                  <w:r>
                    <w:rPr>
                      <w:rFonts w:hint="default" w:ascii="Times New Roman" w:hAnsi="Times New Roman" w:eastAsia="宋体" w:cs="Times New Roman"/>
                      <w:color w:val="auto"/>
                      <w:sz w:val="18"/>
                      <w:szCs w:val="18"/>
                    </w:rPr>
                    <w:t>位于</w:t>
                  </w:r>
                  <w:r>
                    <w:rPr>
                      <w:rFonts w:hint="default" w:ascii="Times New Roman" w:hAnsi="Times New Roman" w:eastAsia="宋体" w:cs="Times New Roman"/>
                      <w:color w:val="auto"/>
                      <w:sz w:val="18"/>
                      <w:szCs w:val="18"/>
                      <w:lang w:val="en-US" w:eastAsia="zh-CN"/>
                    </w:rPr>
                    <w:t>新渡工业集中区(淮安高新技术产业开发区西区)</w:t>
                  </w:r>
                  <w:r>
                    <w:rPr>
                      <w:rFonts w:hint="eastAsia"/>
                      <w:color w:val="auto"/>
                      <w:sz w:val="18"/>
                      <w:szCs w:val="18"/>
                      <w:lang w:eastAsia="zh-CN"/>
                    </w:rPr>
                    <w:t>，</w:t>
                  </w:r>
                  <w:r>
                    <w:rPr>
                      <w:rFonts w:hint="eastAsia"/>
                      <w:color w:val="auto"/>
                      <w:sz w:val="18"/>
                      <w:szCs w:val="18"/>
                      <w:lang w:eastAsia="zh-CN"/>
                    </w:rPr>
                    <w:t>淮安高新技术产业开发区属于合规园区</w:t>
                  </w:r>
                  <w:r>
                    <w:rPr>
                      <w:rFonts w:hint="default" w:ascii="Times New Roman" w:hAnsi="Times New Roman" w:eastAsia="宋体" w:cs="Times New Roman"/>
                      <w:color w:val="auto"/>
                      <w:sz w:val="18"/>
                      <w:szCs w:val="18"/>
                    </w:rPr>
                    <w:t>。</w:t>
                  </w:r>
                </w:p>
              </w:tc>
              <w:tc>
                <w:tcPr>
                  <w:tcW w:w="699" w:type="dxa"/>
                  <w:tcBorders>
                    <w:tl2br w:val="nil"/>
                    <w:tr2bl w:val="nil"/>
                  </w:tcBorders>
                  <w:noWrap w:val="0"/>
                  <w:vAlign w:val="center"/>
                </w:tcPr>
                <w:p w14:paraId="15BCEF0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color w:val="auto"/>
                      <w:sz w:val="18"/>
                      <w:szCs w:val="18"/>
                    </w:rPr>
                    <w:t>符合</w:t>
                  </w:r>
                </w:p>
              </w:tc>
            </w:tr>
            <w:tr w14:paraId="25DA9979">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28" w:type="dxa"/>
                  <w:bottom w:w="0" w:type="dxa"/>
                  <w:right w:w="28" w:type="dxa"/>
                </w:tblCellMar>
              </w:tblPrEx>
              <w:trPr>
                <w:trHeight w:val="340" w:hRule="atLeast"/>
                <w:jc w:val="center"/>
              </w:trPr>
              <w:tc>
                <w:tcPr>
                  <w:tcW w:w="1786" w:type="dxa"/>
                  <w:vMerge w:val="continue"/>
                  <w:tcBorders>
                    <w:tl2br w:val="nil"/>
                    <w:tr2bl w:val="nil"/>
                  </w:tcBorders>
                  <w:noWrap w:val="0"/>
                  <w:vAlign w:val="center"/>
                </w:tcPr>
                <w:p w14:paraId="1B038D59">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c>
                <w:tcPr>
                  <w:tcW w:w="3713" w:type="dxa"/>
                  <w:gridSpan w:val="2"/>
                  <w:tcBorders>
                    <w:tl2br w:val="nil"/>
                    <w:tr2bl w:val="nil"/>
                  </w:tcBorders>
                  <w:noWrap w:val="0"/>
                  <w:vAlign w:val="center"/>
                </w:tcPr>
                <w:p w14:paraId="013D38BA">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第六十四条依法应当安装、使用自动监测设备的排污单位，应当保证自动监测设备正常运行，保存原始监测记录，并与生态环境主管部门联网。自动监测设备应当通过国家监测仪器适用性检验，其验收的期限、要求等应当按照国家有关规定执行。自动监测设备不能正常运行的，排污单位应当于故障发生后十二小时内向所在地生态环境主管部门报告，并于五个工作日内恢复正常运行；不能正常运行期间，应当按照有关规定采取人工监测的方式进行监测，并向所在地生态环境主管部门报送监测数据。</w:t>
                  </w:r>
                </w:p>
              </w:tc>
              <w:tc>
                <w:tcPr>
                  <w:tcW w:w="2140" w:type="dxa"/>
                  <w:tcBorders>
                    <w:tl2br w:val="nil"/>
                    <w:tr2bl w:val="nil"/>
                  </w:tcBorders>
                  <w:noWrap w:val="0"/>
                  <w:vAlign w:val="center"/>
                </w:tcPr>
                <w:p w14:paraId="73BFEBB2">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18"/>
                      <w:szCs w:val="18"/>
                    </w:rPr>
                  </w:pPr>
                  <w:r>
                    <w:rPr>
                      <w:rFonts w:hint="eastAsia" w:cs="Times New Roman"/>
                      <w:color w:val="auto"/>
                      <w:sz w:val="18"/>
                      <w:szCs w:val="18"/>
                      <w:lang w:eastAsia="zh-CN"/>
                    </w:rPr>
                    <w:t>拟建</w:t>
                  </w:r>
                  <w:r>
                    <w:rPr>
                      <w:rFonts w:hint="default" w:ascii="Times New Roman" w:hAnsi="Times New Roman" w:eastAsia="宋体" w:cs="Times New Roman"/>
                      <w:color w:val="auto"/>
                      <w:sz w:val="18"/>
                      <w:szCs w:val="18"/>
                      <w:lang w:eastAsia="zh-CN"/>
                    </w:rPr>
                    <w:t>项目</w:t>
                  </w:r>
                  <w:r>
                    <w:rPr>
                      <w:rFonts w:hint="default" w:ascii="Times New Roman" w:hAnsi="Times New Roman" w:eastAsia="宋体" w:cs="Times New Roman"/>
                      <w:color w:val="auto"/>
                      <w:sz w:val="18"/>
                      <w:szCs w:val="18"/>
                      <w:lang w:val="en-US" w:eastAsia="zh-CN"/>
                    </w:rPr>
                    <w:t>不属于重点企业，</w:t>
                  </w:r>
                  <w:r>
                    <w:rPr>
                      <w:rFonts w:hint="default" w:ascii="Times New Roman" w:hAnsi="Times New Roman" w:eastAsia="宋体" w:cs="Times New Roman"/>
                      <w:color w:val="auto"/>
                      <w:sz w:val="18"/>
                      <w:szCs w:val="18"/>
                      <w:lang w:eastAsia="zh-CN"/>
                    </w:rPr>
                    <w:t>无需安装</w:t>
                  </w:r>
                  <w:r>
                    <w:rPr>
                      <w:rFonts w:hint="default" w:ascii="Times New Roman" w:hAnsi="Times New Roman" w:eastAsia="宋体" w:cs="Times New Roman"/>
                      <w:color w:val="auto"/>
                      <w:sz w:val="18"/>
                      <w:szCs w:val="18"/>
                      <w:lang w:val="en-US" w:eastAsia="zh-CN"/>
                    </w:rPr>
                    <w:t>自动监控设备</w:t>
                  </w:r>
                  <w:r>
                    <w:rPr>
                      <w:rFonts w:hint="default" w:ascii="Times New Roman" w:hAnsi="Times New Roman" w:eastAsia="宋体" w:cs="Times New Roman"/>
                      <w:color w:val="auto"/>
                      <w:sz w:val="18"/>
                      <w:szCs w:val="18"/>
                    </w:rPr>
                    <w:t>。</w:t>
                  </w:r>
                </w:p>
              </w:tc>
              <w:tc>
                <w:tcPr>
                  <w:tcW w:w="699" w:type="dxa"/>
                  <w:tcBorders>
                    <w:tl2br w:val="nil"/>
                    <w:tr2bl w:val="nil"/>
                  </w:tcBorders>
                  <w:noWrap w:val="0"/>
                  <w:vAlign w:val="center"/>
                </w:tcPr>
                <w:p w14:paraId="3252B91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color w:val="auto"/>
                      <w:sz w:val="18"/>
                      <w:szCs w:val="18"/>
                    </w:rPr>
                    <w:t>符合</w:t>
                  </w:r>
                </w:p>
              </w:tc>
            </w:tr>
            <w:tr w14:paraId="7B6AC96F">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28" w:type="dxa"/>
                  <w:bottom w:w="0" w:type="dxa"/>
                  <w:right w:w="28" w:type="dxa"/>
                </w:tblCellMar>
              </w:tblPrEx>
              <w:trPr>
                <w:trHeight w:val="340" w:hRule="atLeast"/>
                <w:jc w:val="center"/>
              </w:trPr>
              <w:tc>
                <w:tcPr>
                  <w:tcW w:w="1786" w:type="dxa"/>
                  <w:tcBorders>
                    <w:tl2br w:val="nil"/>
                    <w:tr2bl w:val="nil"/>
                  </w:tcBorders>
                  <w:noWrap w:val="0"/>
                  <w:vAlign w:val="center"/>
                </w:tcPr>
                <w:p w14:paraId="7A7C4E34">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《关于进一步优化环境影响评价工作的意见》(环环评[2023]52号)</w:t>
                  </w:r>
                </w:p>
              </w:tc>
              <w:tc>
                <w:tcPr>
                  <w:tcW w:w="3713" w:type="dxa"/>
                  <w:gridSpan w:val="2"/>
                  <w:tcBorders>
                    <w:tl2br w:val="nil"/>
                    <w:tr2bl w:val="nil"/>
                  </w:tcBorders>
                  <w:noWrap w:val="0"/>
                  <w:vAlign w:val="center"/>
                </w:tcPr>
                <w:p w14:paraId="09D11A24">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color w:val="auto"/>
                      <w:sz w:val="18"/>
                      <w:szCs w:val="18"/>
                    </w:rPr>
                    <w:t>第十三条：严守环境准入底线。坚持生态优先、绿色发展总要求，协同推出降碳、减污、扩绿、增长；坚持依法依规审批，不符合法律法规的项目环评一律不予审批；坚持生态环境质量只能向好不能变差的底线，持续改善环境质量，不断提升生态系统的多样性、稳定性、持续性。对“两高一低”项目，要坚决遏制盲目发展，重点关注环境影响分析及污染防治设施、主要污染物区域削减措施有效性。</w:t>
                  </w:r>
                </w:p>
              </w:tc>
              <w:tc>
                <w:tcPr>
                  <w:tcW w:w="2140" w:type="dxa"/>
                  <w:tcBorders>
                    <w:tl2br w:val="nil"/>
                    <w:tr2bl w:val="nil"/>
                  </w:tcBorders>
                  <w:noWrap w:val="0"/>
                  <w:vAlign w:val="center"/>
                </w:tcPr>
                <w:p w14:paraId="46E10E34">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eastAsia="zh-CN"/>
                    </w:rPr>
                  </w:pPr>
                  <w:r>
                    <w:rPr>
                      <w:rFonts w:hint="default" w:ascii="Times New Roman" w:hAnsi="Times New Roman" w:eastAsia="宋体" w:cs="Times New Roman"/>
                      <w:bCs/>
                      <w:color w:val="auto"/>
                      <w:sz w:val="18"/>
                      <w:szCs w:val="18"/>
                      <w:lang w:val="en-US" w:eastAsia="zh-CN"/>
                    </w:rPr>
                    <w:t>项目属于</w:t>
                  </w:r>
                  <w:r>
                    <w:rPr>
                      <w:rFonts w:hint="eastAsia" w:cs="Times New Roman"/>
                      <w:bCs/>
                      <w:color w:val="auto"/>
                      <w:sz w:val="18"/>
                      <w:szCs w:val="18"/>
                      <w:lang w:val="en-US" w:eastAsia="zh-CN"/>
                    </w:rPr>
                    <w:t>耐火材料</w:t>
                  </w:r>
                  <w:r>
                    <w:rPr>
                      <w:rFonts w:hint="default" w:ascii="Times New Roman" w:hAnsi="Times New Roman" w:eastAsia="宋体" w:cs="Times New Roman"/>
                      <w:bCs/>
                      <w:color w:val="auto"/>
                      <w:sz w:val="18"/>
                      <w:szCs w:val="18"/>
                      <w:lang w:val="en-US" w:eastAsia="zh-CN"/>
                    </w:rPr>
                    <w:t>制造</w:t>
                  </w:r>
                  <w:r>
                    <w:rPr>
                      <w:rFonts w:hint="default" w:ascii="Times New Roman" w:hAnsi="Times New Roman" w:eastAsia="宋体" w:cs="Times New Roman"/>
                      <w:color w:val="auto"/>
                      <w:sz w:val="18"/>
                      <w:szCs w:val="18"/>
                    </w:rPr>
                    <w:t>，</w:t>
                  </w:r>
                  <w:r>
                    <w:rPr>
                      <w:rFonts w:hint="eastAsia" w:cs="Times New Roman"/>
                      <w:color w:val="auto"/>
                      <w:sz w:val="18"/>
                      <w:szCs w:val="18"/>
                      <w:lang w:val="en-US" w:eastAsia="zh-CN"/>
                    </w:rPr>
                    <w:t>拟建</w:t>
                  </w:r>
                  <w:r>
                    <w:rPr>
                      <w:rFonts w:hint="default" w:ascii="Times New Roman" w:hAnsi="Times New Roman" w:eastAsia="宋体" w:cs="Times New Roman"/>
                      <w:color w:val="auto"/>
                      <w:sz w:val="18"/>
                      <w:szCs w:val="18"/>
                      <w:lang w:val="en-US" w:eastAsia="zh-CN"/>
                    </w:rPr>
                    <w:t>项目</w:t>
                  </w:r>
                  <w:r>
                    <w:rPr>
                      <w:rFonts w:hint="default" w:ascii="Times New Roman" w:hAnsi="Times New Roman" w:eastAsia="宋体" w:cs="Times New Roman"/>
                      <w:color w:val="auto"/>
                      <w:sz w:val="18"/>
                      <w:szCs w:val="18"/>
                    </w:rPr>
                    <w:t>不属于“两高”项目。建设及运营过程中严格遵守相关法律法规要求</w:t>
                  </w:r>
                  <w:r>
                    <w:rPr>
                      <w:rFonts w:hint="default" w:ascii="Times New Roman" w:hAnsi="Times New Roman" w:eastAsia="宋体" w:cs="Times New Roman"/>
                      <w:color w:val="auto"/>
                      <w:sz w:val="18"/>
                      <w:szCs w:val="18"/>
                      <w:lang w:eastAsia="zh-CN"/>
                    </w:rPr>
                    <w:t>。</w:t>
                  </w:r>
                </w:p>
              </w:tc>
              <w:tc>
                <w:tcPr>
                  <w:tcW w:w="699" w:type="dxa"/>
                  <w:tcBorders>
                    <w:tl2br w:val="nil"/>
                    <w:tr2bl w:val="nil"/>
                  </w:tcBorders>
                  <w:noWrap w:val="0"/>
                  <w:vAlign w:val="center"/>
                </w:tcPr>
                <w:p w14:paraId="53E43F32">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符合</w:t>
                  </w:r>
                </w:p>
              </w:tc>
            </w:tr>
            <w:tr w14:paraId="4602FE3C">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28" w:type="dxa"/>
                  <w:bottom w:w="0" w:type="dxa"/>
                  <w:right w:w="28" w:type="dxa"/>
                </w:tblCellMar>
              </w:tblPrEx>
              <w:trPr>
                <w:trHeight w:val="340" w:hRule="atLeast"/>
                <w:jc w:val="center"/>
              </w:trPr>
              <w:tc>
                <w:tcPr>
                  <w:tcW w:w="1786" w:type="dxa"/>
                  <w:tcBorders>
                    <w:tl2br w:val="nil"/>
                    <w:tr2bl w:val="nil"/>
                  </w:tcBorders>
                  <w:noWrap w:val="0"/>
                  <w:vAlign w:val="center"/>
                </w:tcPr>
                <w:p w14:paraId="617987AC">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《省政府关于印发大运河江苏段核心监控区国土空间管控暂行办法的通知》（苏政发[2021]20号）</w:t>
                  </w:r>
                </w:p>
              </w:tc>
              <w:tc>
                <w:tcPr>
                  <w:tcW w:w="3713" w:type="dxa"/>
                  <w:gridSpan w:val="2"/>
                  <w:tcBorders>
                    <w:tl2br w:val="nil"/>
                    <w:tr2bl w:val="nil"/>
                  </w:tcBorders>
                  <w:noWrap w:val="0"/>
                  <w:vAlign w:val="center"/>
                </w:tcPr>
                <w:p w14:paraId="6F344AB6">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b/>
                      <w:color w:val="auto"/>
                      <w:sz w:val="18"/>
                      <w:szCs w:val="18"/>
                    </w:rPr>
                    <w:t>第二条</w:t>
                  </w:r>
                  <w:r>
                    <w:rPr>
                      <w:rFonts w:hint="default" w:ascii="Times New Roman" w:hAnsi="Times New Roman" w:eastAsia="宋体" w:cs="Times New Roman"/>
                      <w:color w:val="auto"/>
                      <w:sz w:val="18"/>
                      <w:szCs w:val="18"/>
                    </w:rPr>
                    <w:t>在大运河江苏段核心监控区内从事各类国土空间保护与开发利用活动，应遵守本办法。</w:t>
                  </w:r>
                </w:p>
                <w:p w14:paraId="4D19B47E">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b/>
                      <w:color w:val="auto"/>
                      <w:sz w:val="18"/>
                      <w:szCs w:val="18"/>
                    </w:rPr>
                    <w:t>第三条</w:t>
                  </w:r>
                  <w:r>
                    <w:rPr>
                      <w:rFonts w:hint="default" w:ascii="Times New Roman" w:hAnsi="Times New Roman" w:eastAsia="宋体" w:cs="Times New Roman"/>
                      <w:color w:val="auto"/>
                      <w:sz w:val="18"/>
                      <w:szCs w:val="18"/>
                    </w:rPr>
                    <w:t>本办法所称核心监控区，是指大运河江苏段主河道两岸各2千米的范围。滨河生态空间，是指核心监控区内，原则上除建成区（城市、建制镇）外，大运河江苏段主河道两岸各1千米的范围。</w:t>
                  </w:r>
                </w:p>
              </w:tc>
              <w:tc>
                <w:tcPr>
                  <w:tcW w:w="2140" w:type="dxa"/>
                  <w:vMerge w:val="restart"/>
                  <w:tcBorders>
                    <w:tl2br w:val="nil"/>
                    <w:tr2bl w:val="nil"/>
                  </w:tcBorders>
                  <w:noWrap w:val="0"/>
                  <w:vAlign w:val="center"/>
                </w:tcPr>
                <w:p w14:paraId="4008BCF6">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eastAsia" w:cs="Times New Roman"/>
                      <w:bCs/>
                      <w:color w:val="auto"/>
                      <w:sz w:val="18"/>
                      <w:szCs w:val="18"/>
                      <w:lang w:val="en-US" w:eastAsia="zh-CN"/>
                    </w:rPr>
                    <w:t>拟建</w:t>
                  </w:r>
                  <w:r>
                    <w:rPr>
                      <w:rFonts w:hint="default" w:ascii="Times New Roman" w:hAnsi="Times New Roman" w:eastAsia="宋体" w:cs="Times New Roman"/>
                      <w:bCs/>
                      <w:color w:val="auto"/>
                      <w:sz w:val="18"/>
                      <w:szCs w:val="18"/>
                      <w:lang w:val="en-US" w:eastAsia="zh-CN"/>
                    </w:rPr>
                    <w:t>项目</w:t>
                  </w:r>
                  <w:r>
                    <w:rPr>
                      <w:rFonts w:hint="default" w:ascii="Times New Roman" w:hAnsi="Times New Roman" w:eastAsia="宋体" w:cs="Times New Roman"/>
                      <w:color w:val="auto"/>
                      <w:sz w:val="18"/>
                      <w:szCs w:val="18"/>
                    </w:rPr>
                    <w:t>位于大运河北侧</w:t>
                  </w:r>
                  <w:r>
                    <w:rPr>
                      <w:rFonts w:hint="eastAsia" w:cs="Times New Roman"/>
                      <w:color w:val="auto"/>
                      <w:sz w:val="18"/>
                      <w:szCs w:val="18"/>
                      <w:lang w:val="en-US" w:eastAsia="zh-CN"/>
                    </w:rPr>
                    <w:t>8.8</w:t>
                  </w:r>
                  <w:r>
                    <w:rPr>
                      <w:rFonts w:hint="default" w:ascii="Times New Roman" w:hAnsi="Times New Roman" w:eastAsia="宋体" w:cs="Times New Roman"/>
                      <w:color w:val="auto"/>
                      <w:sz w:val="18"/>
                      <w:szCs w:val="18"/>
                    </w:rPr>
                    <w:t>km左右，不在核心监控区、滨河生态空间范围内。</w:t>
                  </w:r>
                </w:p>
              </w:tc>
              <w:tc>
                <w:tcPr>
                  <w:tcW w:w="699" w:type="dxa"/>
                  <w:vMerge w:val="restart"/>
                  <w:tcBorders>
                    <w:tl2br w:val="nil"/>
                    <w:tr2bl w:val="nil"/>
                  </w:tcBorders>
                  <w:noWrap w:val="0"/>
                  <w:vAlign w:val="center"/>
                </w:tcPr>
                <w:p w14:paraId="0DC642BC">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color w:val="auto"/>
                      <w:sz w:val="18"/>
                      <w:szCs w:val="18"/>
                    </w:rPr>
                    <w:t>符合</w:t>
                  </w:r>
                </w:p>
              </w:tc>
            </w:tr>
            <w:tr w14:paraId="5BD2304B">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28" w:type="dxa"/>
                  <w:bottom w:w="0" w:type="dxa"/>
                  <w:right w:w="28" w:type="dxa"/>
                </w:tblCellMar>
              </w:tblPrEx>
              <w:trPr>
                <w:trHeight w:val="340" w:hRule="atLeast"/>
                <w:jc w:val="center"/>
              </w:trPr>
              <w:tc>
                <w:tcPr>
                  <w:tcW w:w="1786" w:type="dxa"/>
                  <w:tcBorders>
                    <w:tl2br w:val="nil"/>
                    <w:tr2bl w:val="nil"/>
                  </w:tcBorders>
                  <w:noWrap w:val="0"/>
                  <w:vAlign w:val="center"/>
                </w:tcPr>
                <w:p w14:paraId="277F5D91">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《市政府关于印发大运河淮安段核心监控区国土空间管控细则的通知》（淮政规[2022]8号）</w:t>
                  </w:r>
                </w:p>
              </w:tc>
              <w:tc>
                <w:tcPr>
                  <w:tcW w:w="3713" w:type="dxa"/>
                  <w:gridSpan w:val="2"/>
                  <w:tcBorders>
                    <w:tl2br w:val="nil"/>
                    <w:tr2bl w:val="nil"/>
                  </w:tcBorders>
                  <w:noWrap w:val="0"/>
                  <w:vAlign w:val="center"/>
                </w:tcPr>
                <w:p w14:paraId="1995EF27">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b/>
                      <w:color w:val="auto"/>
                      <w:sz w:val="18"/>
                      <w:szCs w:val="18"/>
                    </w:rPr>
                    <w:t>第二条</w:t>
                  </w:r>
                  <w:r>
                    <w:rPr>
                      <w:rFonts w:hint="default" w:ascii="Times New Roman" w:hAnsi="Times New Roman" w:eastAsia="宋体" w:cs="Times New Roman"/>
                      <w:color w:val="auto"/>
                      <w:sz w:val="18"/>
                      <w:szCs w:val="18"/>
                    </w:rPr>
                    <w:t>在大运河淮安段核心监控区内从事各类国土空间保护与开发利用活动，应当遵守本细则。本细则所称大运河淮安段核心监控区，是指大运河淮安段、张福河两侧河道岸线临水边界线外各2千米的范围。</w:t>
                  </w:r>
                </w:p>
                <w:p w14:paraId="56061020">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b/>
                      <w:color w:val="auto"/>
                      <w:sz w:val="18"/>
                      <w:szCs w:val="18"/>
                    </w:rPr>
                    <w:t>第四条</w:t>
                  </w:r>
                  <w:r>
                    <w:rPr>
                      <w:rFonts w:hint="default" w:ascii="Times New Roman" w:hAnsi="Times New Roman" w:eastAsia="宋体" w:cs="Times New Roman"/>
                      <w:color w:val="auto"/>
                      <w:sz w:val="18"/>
                      <w:szCs w:val="18"/>
                    </w:rPr>
                    <w:t>本细则所称滨河生态空间，是指核心监控区内，原则上除建成区（城市、建制镇）外，大运河淮安段、张福河两侧河道岸线临水边界线外各1千米的范围。</w:t>
                  </w:r>
                </w:p>
              </w:tc>
              <w:tc>
                <w:tcPr>
                  <w:tcW w:w="2140" w:type="dxa"/>
                  <w:vMerge w:val="continue"/>
                  <w:tcBorders>
                    <w:tl2br w:val="nil"/>
                    <w:tr2bl w:val="nil"/>
                  </w:tcBorders>
                  <w:noWrap w:val="0"/>
                  <w:vAlign w:val="center"/>
                </w:tcPr>
                <w:p w14:paraId="6666B4A0">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p>
              </w:tc>
              <w:tc>
                <w:tcPr>
                  <w:tcW w:w="699" w:type="dxa"/>
                  <w:vMerge w:val="continue"/>
                  <w:tcBorders>
                    <w:tl2br w:val="nil"/>
                    <w:tr2bl w:val="nil"/>
                  </w:tcBorders>
                  <w:noWrap w:val="0"/>
                  <w:vAlign w:val="center"/>
                </w:tcPr>
                <w:p w14:paraId="187FE0C0">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r>
          </w:tbl>
          <w:p w14:paraId="7EA30294">
            <w:pPr>
              <w:keepNext w:val="0"/>
              <w:keepLines w:val="0"/>
              <w:suppressLineNumbers w:val="0"/>
              <w:bidi w:val="0"/>
              <w:spacing w:before="0" w:beforeAutospacing="0" w:after="0" w:afterAutospacing="0"/>
              <w:ind w:left="0" w:right="0"/>
              <w:rPr>
                <w:rFonts w:hint="default" w:ascii="Times New Roman" w:hAnsi="Times New Roman" w:eastAsia="宋体" w:cs="Times New Roman"/>
                <w:color w:val="auto"/>
                <w:lang w:eastAsia="zh-CN"/>
              </w:rPr>
            </w:pPr>
            <w:r>
              <w:rPr>
                <w:rFonts w:hint="default" w:ascii="Times New Roman" w:hAnsi="Times New Roman" w:eastAsia="宋体" w:cs="Times New Roman"/>
                <w:color w:val="auto"/>
              </w:rPr>
              <w:t>根据上表分析可知，</w:t>
            </w:r>
            <w:r>
              <w:rPr>
                <w:rFonts w:hint="default" w:ascii="Times New Roman" w:hAnsi="Times New Roman" w:eastAsia="宋体" w:cs="Times New Roman"/>
                <w:color w:val="auto"/>
                <w:lang w:val="en-US" w:eastAsia="zh-CN"/>
              </w:rPr>
              <w:t>建设项目</w:t>
            </w:r>
            <w:r>
              <w:rPr>
                <w:rFonts w:hint="default" w:ascii="Times New Roman" w:hAnsi="Times New Roman" w:eastAsia="宋体" w:cs="Times New Roman"/>
                <w:color w:val="auto"/>
              </w:rPr>
              <w:t>与国家、江苏省、淮安市相关环保法规、</w:t>
            </w:r>
            <w:r>
              <w:rPr>
                <w:rFonts w:hint="default" w:ascii="Times New Roman" w:hAnsi="Times New Roman" w:eastAsia="宋体" w:cs="Times New Roman"/>
                <w:color w:val="auto"/>
                <w:lang w:eastAsia="zh-CN"/>
              </w:rPr>
              <w:t>政策</w:t>
            </w:r>
            <w:r>
              <w:rPr>
                <w:rFonts w:hint="default" w:ascii="Times New Roman" w:hAnsi="Times New Roman" w:eastAsia="宋体" w:cs="Times New Roman"/>
                <w:color w:val="auto"/>
              </w:rPr>
              <w:t>中的相关要求是相符的</w:t>
            </w:r>
            <w:r>
              <w:rPr>
                <w:rFonts w:hint="default" w:ascii="Times New Roman" w:hAnsi="Times New Roman" w:eastAsia="宋体" w:cs="Times New Roman"/>
                <w:color w:val="auto"/>
                <w:lang w:eastAsia="zh-CN"/>
              </w:rPr>
              <w:t>。</w:t>
            </w:r>
          </w:p>
          <w:p w14:paraId="237DA338">
            <w:pPr>
              <w:keepNext w:val="0"/>
              <w:keepLines w:val="0"/>
              <w:suppressLineNumbers w:val="0"/>
              <w:bidi w:val="0"/>
              <w:spacing w:before="0" w:beforeAutospacing="0" w:after="0" w:afterAutospacing="0"/>
              <w:ind w:left="0" w:right="0"/>
              <w:rPr>
                <w:rFonts w:hint="eastAsia" w:cs="Times New Roman"/>
                <w:color w:val="auto"/>
                <w:lang w:val="en-US" w:eastAsia="zh-CN"/>
              </w:rPr>
            </w:pPr>
          </w:p>
          <w:p w14:paraId="14F4F606">
            <w:pPr>
              <w:keepNext w:val="0"/>
              <w:keepLines w:val="0"/>
              <w:suppressLineNumbers w:val="0"/>
              <w:bidi w:val="0"/>
              <w:spacing w:before="0" w:beforeAutospacing="0" w:after="0" w:afterAutospacing="0"/>
              <w:ind w:left="0" w:right="0"/>
              <w:rPr>
                <w:rFonts w:hint="eastAsia" w:cs="Times New Roman"/>
                <w:color w:val="auto"/>
                <w:lang w:val="en-US" w:eastAsia="zh-CN"/>
              </w:rPr>
            </w:pPr>
          </w:p>
          <w:p w14:paraId="2EF16D6A">
            <w:pPr>
              <w:keepNext w:val="0"/>
              <w:keepLines w:val="0"/>
              <w:suppressLineNumbers w:val="0"/>
              <w:bidi w:val="0"/>
              <w:spacing w:before="0" w:beforeAutospacing="0" w:after="0" w:afterAutospacing="0"/>
              <w:ind w:left="0" w:right="0"/>
              <w:rPr>
                <w:rFonts w:hint="eastAsia" w:cs="Times New Roman"/>
                <w:color w:val="auto"/>
                <w:lang w:val="en-US" w:eastAsia="zh-CN"/>
              </w:rPr>
            </w:pPr>
          </w:p>
          <w:p w14:paraId="3CE37CA0">
            <w:pPr>
              <w:keepNext w:val="0"/>
              <w:keepLines w:val="0"/>
              <w:suppressLineNumbers w:val="0"/>
              <w:bidi w:val="0"/>
              <w:spacing w:before="0" w:beforeAutospacing="0" w:after="0" w:afterAutospacing="0"/>
              <w:ind w:left="0" w:right="0"/>
              <w:rPr>
                <w:rFonts w:hint="eastAsia" w:cs="Times New Roman"/>
                <w:color w:val="auto"/>
                <w:lang w:val="en-US" w:eastAsia="zh-CN"/>
              </w:rPr>
            </w:pPr>
          </w:p>
          <w:p w14:paraId="4E890728">
            <w:pPr>
              <w:keepNext w:val="0"/>
              <w:keepLines w:val="0"/>
              <w:suppressLineNumbers w:val="0"/>
              <w:bidi w:val="0"/>
              <w:spacing w:before="0" w:beforeAutospacing="0" w:after="0" w:afterAutospacing="0"/>
              <w:ind w:left="0" w:right="0"/>
              <w:rPr>
                <w:rFonts w:hint="eastAsia" w:cs="Times New Roman"/>
                <w:color w:val="auto"/>
                <w:lang w:val="en-US" w:eastAsia="zh-CN"/>
              </w:rPr>
            </w:pPr>
          </w:p>
          <w:p w14:paraId="3621DC6A">
            <w:pPr>
              <w:keepNext w:val="0"/>
              <w:keepLines w:val="0"/>
              <w:suppressLineNumbers w:val="0"/>
              <w:bidi w:val="0"/>
              <w:spacing w:before="0" w:beforeAutospacing="0" w:after="0" w:afterAutospacing="0"/>
              <w:ind w:left="0" w:right="0"/>
              <w:rPr>
                <w:rFonts w:hint="eastAsia" w:cs="Times New Roman"/>
                <w:color w:val="auto"/>
                <w:lang w:val="en-US" w:eastAsia="zh-CN"/>
              </w:rPr>
            </w:pPr>
          </w:p>
          <w:p w14:paraId="49FAF9C1">
            <w:pPr>
              <w:keepNext w:val="0"/>
              <w:keepLines w:val="0"/>
              <w:suppressLineNumbers w:val="0"/>
              <w:bidi w:val="0"/>
              <w:spacing w:before="0" w:beforeAutospacing="0" w:after="0" w:afterAutospacing="0"/>
              <w:ind w:left="0" w:right="0"/>
              <w:rPr>
                <w:rFonts w:hint="eastAsia" w:cs="Times New Roman"/>
                <w:color w:val="auto"/>
                <w:lang w:val="en-US" w:eastAsia="zh-CN"/>
              </w:rPr>
            </w:pPr>
          </w:p>
          <w:p w14:paraId="509EFB74">
            <w:pPr>
              <w:keepNext w:val="0"/>
              <w:keepLines w:val="0"/>
              <w:suppressLineNumbers w:val="0"/>
              <w:bidi w:val="0"/>
              <w:spacing w:before="0" w:beforeAutospacing="0" w:after="0" w:afterAutospacing="0"/>
              <w:ind w:left="0" w:right="0"/>
              <w:rPr>
                <w:rFonts w:hint="eastAsia" w:cs="Times New Roman"/>
                <w:color w:val="auto"/>
                <w:lang w:val="en-US" w:eastAsia="zh-CN"/>
              </w:rPr>
            </w:pPr>
          </w:p>
          <w:p w14:paraId="79A0382B">
            <w:pPr>
              <w:keepNext w:val="0"/>
              <w:keepLines w:val="0"/>
              <w:suppressLineNumbers w:val="0"/>
              <w:bidi w:val="0"/>
              <w:spacing w:before="0" w:beforeAutospacing="0" w:after="0" w:afterAutospacing="0"/>
              <w:ind w:left="0" w:right="0"/>
              <w:rPr>
                <w:rFonts w:hint="eastAsia" w:cs="Times New Roman"/>
                <w:color w:val="auto"/>
                <w:lang w:val="en-US" w:eastAsia="zh-CN"/>
              </w:rPr>
            </w:pPr>
          </w:p>
          <w:p w14:paraId="19970E3B">
            <w:pPr>
              <w:keepNext w:val="0"/>
              <w:keepLines w:val="0"/>
              <w:suppressLineNumbers w:val="0"/>
              <w:bidi w:val="0"/>
              <w:spacing w:before="0" w:beforeAutospacing="0" w:after="0" w:afterAutospacing="0"/>
              <w:ind w:left="0" w:right="0"/>
              <w:rPr>
                <w:rFonts w:hint="eastAsia" w:cs="Times New Roman"/>
                <w:color w:val="auto"/>
                <w:lang w:val="en-US" w:eastAsia="zh-CN"/>
              </w:rPr>
            </w:pPr>
          </w:p>
          <w:p w14:paraId="5DA3B64B">
            <w:pPr>
              <w:keepNext w:val="0"/>
              <w:keepLines w:val="0"/>
              <w:suppressLineNumbers w:val="0"/>
              <w:bidi w:val="0"/>
              <w:spacing w:before="0" w:beforeAutospacing="0" w:after="0" w:afterAutospacing="0"/>
              <w:ind w:left="0" w:right="0"/>
              <w:rPr>
                <w:rFonts w:hint="eastAsia" w:cs="Times New Roman"/>
                <w:color w:val="auto"/>
                <w:lang w:val="en-US" w:eastAsia="zh-CN"/>
              </w:rPr>
            </w:pPr>
          </w:p>
          <w:p w14:paraId="1BC21531">
            <w:pPr>
              <w:keepNext w:val="0"/>
              <w:keepLines w:val="0"/>
              <w:suppressLineNumbers w:val="0"/>
              <w:bidi w:val="0"/>
              <w:spacing w:before="0" w:beforeAutospacing="0" w:after="0" w:afterAutospacing="0"/>
              <w:ind w:left="0" w:leftChars="0" w:right="0" w:firstLine="0" w:firstLineChars="0"/>
              <w:rPr>
                <w:rFonts w:hint="default" w:ascii="Times New Roman" w:hAnsi="Times New Roman" w:eastAsia="宋体" w:cs="Times New Roman"/>
                <w:color w:val="auto"/>
                <w:lang w:val="en-US" w:eastAsia="zh-CN"/>
              </w:rPr>
            </w:pPr>
          </w:p>
          <w:p w14:paraId="314B9BD5">
            <w:pPr>
              <w:keepNext w:val="0"/>
              <w:keepLines w:val="0"/>
              <w:suppressLineNumbers w:val="0"/>
              <w:bidi w:val="0"/>
              <w:spacing w:before="0" w:beforeAutospacing="0" w:after="0" w:afterAutospacing="0"/>
              <w:ind w:left="0" w:right="0" w:firstLine="0" w:firstLineChars="0"/>
              <w:rPr>
                <w:rFonts w:hint="default" w:ascii="Times New Roman" w:hAnsi="Times New Roman" w:eastAsia="宋体" w:cs="Times New Roman"/>
                <w:color w:val="auto"/>
                <w:kern w:val="0"/>
                <w:sz w:val="21"/>
                <w:szCs w:val="20"/>
                <w:lang w:val="en-US" w:eastAsia="zh-CN"/>
              </w:rPr>
            </w:pPr>
          </w:p>
        </w:tc>
      </w:tr>
    </w:tbl>
    <w:p w14:paraId="5011E878">
      <w:pPr>
        <w:bidi w:val="0"/>
        <w:ind w:left="0" w:leftChars="0" w:firstLine="0" w:firstLineChars="0"/>
        <w:rPr>
          <w:rFonts w:hint="default" w:ascii="Times New Roman" w:hAnsi="Times New Roman" w:eastAsia="宋体" w:cs="Times New Roman"/>
          <w:color w:val="auto"/>
          <w:sz w:val="36"/>
          <w:szCs w:val="36"/>
        </w:rPr>
        <w:sectPr>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14:paraId="3F97D2FA">
      <w:pPr>
        <w:numPr>
          <w:ilvl w:val="0"/>
          <w:numId w:val="0"/>
        </w:numPr>
        <w:spacing w:line="240" w:lineRule="auto"/>
        <w:ind w:firstLine="0" w:firstLineChars="0"/>
        <w:jc w:val="center"/>
        <w:outlineLvl w:val="0"/>
        <w:rPr>
          <w:rFonts w:hint="default" w:ascii="Times New Roman" w:hAnsi="Times New Roman" w:eastAsia="宋体" w:cs="Times New Roman"/>
          <w:b/>
          <w:bCs/>
          <w:color w:val="auto"/>
          <w:sz w:val="28"/>
          <w:szCs w:val="28"/>
        </w:rPr>
      </w:pPr>
      <w:bookmarkStart w:id="8" w:name="_Toc29494"/>
      <w:bookmarkStart w:id="9" w:name="_Toc23143"/>
      <w:r>
        <w:rPr>
          <w:rFonts w:hint="default" w:ascii="Times New Roman" w:hAnsi="Times New Roman" w:eastAsia="宋体" w:cs="Times New Roman"/>
          <w:b/>
          <w:bCs/>
          <w:color w:val="auto"/>
          <w:kern w:val="2"/>
          <w:sz w:val="28"/>
          <w:szCs w:val="28"/>
          <w:lang w:val="en-US" w:eastAsia="zh-CN" w:bidi="ar-SA"/>
        </w:rPr>
        <w:t>二、</w:t>
      </w:r>
      <w:r>
        <w:rPr>
          <w:rFonts w:hint="default" w:ascii="Times New Roman" w:hAnsi="Times New Roman" w:eastAsia="宋体" w:cs="Times New Roman"/>
          <w:b/>
          <w:bCs/>
          <w:color w:val="auto"/>
          <w:sz w:val="28"/>
          <w:szCs w:val="28"/>
        </w:rPr>
        <w:t>建设项目工程分析</w:t>
      </w:r>
      <w:bookmarkEnd w:id="8"/>
      <w:bookmarkEnd w:id="9"/>
    </w:p>
    <w:tbl>
      <w:tblPr>
        <w:tblStyle w:val="2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7"/>
        <w:gridCol w:w="8063"/>
      </w:tblGrid>
      <w:tr w14:paraId="62C19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8" w:hRule="atLeast"/>
        </w:trPr>
        <w:tc>
          <w:tcPr>
            <w:tcW w:w="177" w:type="pct"/>
            <w:vAlign w:val="center"/>
          </w:tcPr>
          <w:p w14:paraId="67366FE9">
            <w:pPr>
              <w:keepNext w:val="0"/>
              <w:keepLines w:val="0"/>
              <w:suppressLineNumbers w:val="0"/>
              <w:spacing w:before="156" w:beforeAutospacing="0" w:after="0" w:afterAutospacing="0"/>
              <w:ind w:left="0" w:right="0" w:firstLine="0" w:firstLineChars="0"/>
              <w:jc w:val="center"/>
              <w:rPr>
                <w:rFonts w:hint="default" w:ascii="Times New Roman" w:hAnsi="Times New Roman" w:eastAsia="宋体" w:cs="Times New Roman"/>
                <w:color w:val="auto"/>
              </w:rPr>
            </w:pPr>
            <w:r>
              <w:rPr>
                <w:rFonts w:hint="default" w:ascii="Times New Roman" w:hAnsi="Times New Roman" w:eastAsia="宋体" w:cs="Times New Roman"/>
                <w:b/>
                <w:bCs/>
                <w:color w:val="auto"/>
              </w:rPr>
              <w:t>建设内容</w:t>
            </w:r>
          </w:p>
        </w:tc>
        <w:tc>
          <w:tcPr>
            <w:tcW w:w="4822" w:type="pct"/>
          </w:tcPr>
          <w:p w14:paraId="76A0A87A">
            <w:pPr>
              <w:keepNext w:val="0"/>
              <w:keepLines w:val="0"/>
              <w:numPr>
                <w:ilvl w:val="0"/>
                <w:numId w:val="7"/>
              </w:numPr>
              <w:suppressLineNumbers w:val="0"/>
              <w:spacing w:before="0" w:beforeAutospacing="0" w:after="0" w:afterAutospacing="0"/>
              <w:ind w:left="0" w:right="0" w:firstLine="482"/>
              <w:rPr>
                <w:rFonts w:hint="default" w:ascii="Times New Roman" w:hAnsi="Times New Roman" w:eastAsia="宋体" w:cs="Times New Roman"/>
                <w:b/>
                <w:bCs/>
                <w:color w:val="auto"/>
              </w:rPr>
            </w:pPr>
            <w:r>
              <w:rPr>
                <w:rFonts w:hint="default" w:ascii="Times New Roman" w:hAnsi="Times New Roman" w:eastAsia="宋体" w:cs="Times New Roman"/>
                <w:b/>
                <w:bCs/>
                <w:color w:val="auto"/>
              </w:rPr>
              <w:t>项目由来</w:t>
            </w:r>
          </w:p>
          <w:p w14:paraId="3B9E24A7">
            <w:pPr>
              <w:keepNext w:val="0"/>
              <w:keepLines w:val="0"/>
              <w:suppressLineNumbers w:val="0"/>
              <w:spacing w:before="0" w:beforeAutospacing="0" w:after="0" w:afterAutospacing="0"/>
              <w:ind w:left="0" w:right="0" w:firstLine="480"/>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color w:val="auto"/>
                <w:sz w:val="24"/>
                <w:szCs w:val="22"/>
                <w:lang w:val="en-US" w:eastAsia="zh-CN"/>
              </w:rPr>
              <w:t>淮安市迅安新材料有限公司成立于20</w:t>
            </w:r>
            <w:r>
              <w:rPr>
                <w:rFonts w:hint="eastAsia" w:cs="Times New Roman"/>
                <w:color w:val="auto"/>
                <w:sz w:val="24"/>
                <w:szCs w:val="22"/>
                <w:lang w:val="en-US" w:eastAsia="zh-CN"/>
              </w:rPr>
              <w:t>25</w:t>
            </w:r>
            <w:r>
              <w:rPr>
                <w:rFonts w:hint="default" w:ascii="Times New Roman" w:hAnsi="Times New Roman" w:eastAsia="宋体" w:cs="Times New Roman"/>
                <w:color w:val="auto"/>
                <w:sz w:val="24"/>
                <w:szCs w:val="22"/>
                <w:lang w:val="en-US" w:eastAsia="zh-CN"/>
              </w:rPr>
              <w:t>年</w:t>
            </w:r>
            <w:r>
              <w:rPr>
                <w:rFonts w:hint="eastAsia" w:cs="Times New Roman"/>
                <w:color w:val="auto"/>
                <w:sz w:val="24"/>
                <w:szCs w:val="22"/>
                <w:lang w:val="en-US" w:eastAsia="zh-CN"/>
              </w:rPr>
              <w:t>1月</w:t>
            </w:r>
            <w:r>
              <w:rPr>
                <w:rFonts w:hint="default" w:ascii="Times New Roman" w:hAnsi="Times New Roman" w:eastAsia="宋体" w:cs="Times New Roman"/>
                <w:color w:val="auto"/>
                <w:sz w:val="24"/>
                <w:szCs w:val="22"/>
                <w:lang w:val="en-US" w:eastAsia="zh-CN"/>
              </w:rPr>
              <w:t>，淮安市迅安新材料有限公司</w:t>
            </w:r>
            <w:r>
              <w:rPr>
                <w:rFonts w:hint="eastAsia" w:ascii="Times New Roman" w:hAnsi="Times New Roman" w:eastAsia="宋体" w:cs="Times New Roman"/>
                <w:color w:val="auto"/>
                <w:sz w:val="24"/>
                <w:szCs w:val="22"/>
                <w:lang w:val="en-US" w:eastAsia="zh-CN"/>
              </w:rPr>
              <w:t>定制</w:t>
            </w:r>
            <w:r>
              <w:rPr>
                <w:rFonts w:hint="eastAsia" w:cs="Times New Roman"/>
                <w:color w:val="auto"/>
                <w:sz w:val="24"/>
                <w:szCs w:val="22"/>
                <w:lang w:val="en-US" w:eastAsia="zh-CN"/>
              </w:rPr>
              <w:t>淮安联东金航实业有限公司</w:t>
            </w:r>
            <w:r>
              <w:rPr>
                <w:rFonts w:hint="eastAsia" w:ascii="Times New Roman" w:hAnsi="Times New Roman" w:eastAsia="宋体" w:cs="Times New Roman"/>
                <w:color w:val="auto"/>
                <w:sz w:val="24"/>
                <w:szCs w:val="22"/>
                <w:lang w:val="en-US" w:eastAsia="zh-CN"/>
              </w:rPr>
              <w:t>位于</w:t>
            </w:r>
            <w:r>
              <w:rPr>
                <w:rFonts w:hint="default" w:ascii="Times New Roman" w:hAnsi="Times New Roman" w:eastAsia="宋体" w:cs="Times New Roman"/>
                <w:color w:val="auto"/>
                <w:sz w:val="24"/>
                <w:szCs w:val="24"/>
                <w:lang w:val="en-US" w:eastAsia="zh-CN" w:bidi="ar-SA"/>
              </w:rPr>
              <w:t>淮安高新技术产业开发区钱塘江路333号智能装备科技园25-4号楼</w:t>
            </w:r>
            <w:r>
              <w:rPr>
                <w:rFonts w:hint="eastAsia" w:ascii="Times New Roman" w:hAnsi="Times New Roman" w:eastAsia="宋体" w:cs="Times New Roman"/>
                <w:color w:val="auto"/>
                <w:sz w:val="24"/>
                <w:szCs w:val="24"/>
                <w:lang w:val="en-US" w:eastAsia="zh-CN" w:bidi="ar-SA"/>
              </w:rPr>
              <w:t>的现有1栋厂房</w:t>
            </w:r>
            <w:r>
              <w:rPr>
                <w:rFonts w:hint="eastAsia" w:cs="Times New Roman"/>
                <w:color w:val="auto"/>
                <w:sz w:val="24"/>
                <w:szCs w:val="24"/>
                <w:lang w:val="en-US" w:eastAsia="zh-CN" w:bidi="ar-SA"/>
              </w:rPr>
              <w:t>的一半（南侧一半区域</w:t>
            </w:r>
            <w:r>
              <w:rPr>
                <w:rFonts w:hint="eastAsia" w:cs="Times New Roman"/>
                <w:color w:val="auto"/>
                <w:sz w:val="24"/>
                <w:szCs w:val="24"/>
                <w:lang w:val="en-US" w:eastAsia="zh-CN"/>
              </w:rPr>
              <w:t>1417.28m</w:t>
            </w:r>
            <w:r>
              <w:rPr>
                <w:rFonts w:hint="eastAsia" w:cs="Times New Roman"/>
                <w:color w:val="auto"/>
                <w:sz w:val="24"/>
                <w:szCs w:val="24"/>
                <w:vertAlign w:val="superscript"/>
                <w:lang w:val="en-US" w:eastAsia="zh-CN"/>
              </w:rPr>
              <w:t>2</w:t>
            </w:r>
            <w:r>
              <w:rPr>
                <w:rFonts w:hint="eastAsia" w:cs="Times New Roman"/>
                <w:color w:val="auto"/>
                <w:sz w:val="24"/>
                <w:szCs w:val="24"/>
                <w:lang w:val="en-US" w:eastAsia="zh-CN" w:bidi="ar-SA"/>
              </w:rPr>
              <w:t>）</w:t>
            </w:r>
            <w:r>
              <w:rPr>
                <w:rFonts w:hint="eastAsia" w:ascii="Times New Roman" w:hAnsi="Times New Roman" w:eastAsia="宋体" w:cs="Times New Roman"/>
                <w:color w:val="auto"/>
                <w:sz w:val="24"/>
                <w:szCs w:val="24"/>
                <w:lang w:val="en-US" w:eastAsia="zh-CN" w:bidi="ar-SA"/>
              </w:rPr>
              <w:t>建设</w:t>
            </w:r>
            <w:r>
              <w:rPr>
                <w:rFonts w:hint="default" w:ascii="Times New Roman" w:hAnsi="Times New Roman" w:eastAsia="宋体" w:cs="Times New Roman"/>
                <w:color w:val="auto"/>
                <w:sz w:val="24"/>
                <w:szCs w:val="22"/>
                <w:lang w:val="en-US" w:eastAsia="zh-CN"/>
              </w:rPr>
              <w:t>年产400吨TL990型电缆耐火密封填料、2万套KP800型电缆耐火密封膨胀堵料项目</w:t>
            </w:r>
            <w:r>
              <w:rPr>
                <w:rFonts w:hint="eastAsia" w:cs="Times New Roman"/>
                <w:color w:val="auto"/>
                <w:sz w:val="24"/>
                <w:szCs w:val="22"/>
                <w:lang w:val="en-US" w:eastAsia="zh-CN"/>
              </w:rPr>
              <w:t>（土地手续见</w:t>
            </w:r>
            <w:r>
              <w:rPr>
                <w:rFonts w:hint="eastAsia" w:cs="Times New Roman"/>
                <w:color w:val="auto"/>
                <w:sz w:val="24"/>
                <w:szCs w:val="22"/>
                <w:lang w:val="en-US" w:eastAsia="zh-CN"/>
              </w:rPr>
              <w:t>附件3厂房定制合同及工业用地不动产权证</w:t>
            </w:r>
            <w:r>
              <w:rPr>
                <w:rFonts w:hint="eastAsia" w:cs="Times New Roman"/>
                <w:color w:val="auto"/>
                <w:sz w:val="24"/>
                <w:szCs w:val="22"/>
                <w:lang w:val="en-US" w:eastAsia="zh-CN"/>
              </w:rPr>
              <w:t>）</w:t>
            </w:r>
            <w:r>
              <w:rPr>
                <w:rFonts w:hint="default" w:ascii="Times New Roman" w:hAnsi="Times New Roman" w:eastAsia="宋体" w:cs="Times New Roman"/>
                <w:color w:val="auto"/>
                <w:sz w:val="24"/>
                <w:szCs w:val="24"/>
                <w:lang w:val="en-US" w:eastAsia="zh-CN" w:bidi="ar-SA"/>
              </w:rPr>
              <w:t>。</w:t>
            </w:r>
          </w:p>
          <w:p w14:paraId="5AD01CB8">
            <w:pPr>
              <w:keepNext w:val="0"/>
              <w:keepLines w:val="0"/>
              <w:suppressLineNumbers w:val="0"/>
              <w:bidi w:val="0"/>
              <w:spacing w:before="0" w:beforeAutospacing="0" w:after="0" w:afterAutospacing="0"/>
              <w:ind w:left="0" w:right="0"/>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建设项目为</w:t>
            </w:r>
            <w:r>
              <w:rPr>
                <w:rFonts w:hint="default" w:ascii="Times New Roman" w:hAnsi="Times New Roman" w:eastAsia="宋体" w:cs="Times New Roman"/>
                <w:color w:val="auto"/>
                <w:sz w:val="24"/>
                <w:szCs w:val="22"/>
                <w:lang w:val="en-US" w:eastAsia="zh-CN"/>
              </w:rPr>
              <w:t>TL990型电缆耐火密封填料、KP800型电缆耐火密封膨胀堵料</w:t>
            </w:r>
            <w:r>
              <w:rPr>
                <w:rFonts w:hint="eastAsia" w:ascii="Times New Roman" w:hAnsi="Times New Roman" w:eastAsia="宋体" w:cs="Times New Roman"/>
                <w:color w:val="auto"/>
                <w:sz w:val="24"/>
                <w:szCs w:val="22"/>
                <w:lang w:val="en-US" w:eastAsia="zh-CN"/>
              </w:rPr>
              <w:t>生产</w:t>
            </w:r>
            <w:r>
              <w:rPr>
                <w:rFonts w:hint="default" w:ascii="Times New Roman" w:hAnsi="Times New Roman" w:eastAsia="宋体" w:cs="Times New Roman"/>
                <w:color w:val="auto"/>
                <w:sz w:val="24"/>
                <w:szCs w:val="22"/>
                <w:lang w:val="en-US" w:eastAsia="zh-CN"/>
              </w:rPr>
              <w:t>项目</w:t>
            </w:r>
            <w:r>
              <w:rPr>
                <w:rFonts w:hint="default" w:ascii="Times New Roman" w:hAnsi="Times New Roman" w:eastAsia="宋体" w:cs="Times New Roman"/>
                <w:color w:val="auto"/>
                <w:lang w:val="en-US" w:eastAsia="zh-CN"/>
              </w:rPr>
              <w:t>，</w:t>
            </w:r>
            <w:r>
              <w:rPr>
                <w:rFonts w:hint="default" w:ascii="Times New Roman" w:hAnsi="Times New Roman" w:eastAsia="宋体" w:cs="Times New Roman"/>
                <w:bCs/>
                <w:color w:val="auto"/>
              </w:rPr>
              <w:t>根据《国民经济行业分类》（GB/T4754-2017）及第1号修改单、《建设项目环境影响评价分类管理名录（2021年版）》（部令第16号）</w:t>
            </w:r>
            <w:r>
              <w:rPr>
                <w:rFonts w:hint="default" w:ascii="Times New Roman" w:hAnsi="Times New Roman" w:eastAsia="宋体" w:cs="Times New Roman"/>
                <w:color w:val="auto"/>
              </w:rPr>
              <w:t>，</w:t>
            </w:r>
            <w:r>
              <w:rPr>
                <w:rFonts w:hint="default" w:ascii="Times New Roman" w:hAnsi="Times New Roman" w:eastAsia="宋体" w:cs="Times New Roman"/>
                <w:color w:val="auto"/>
                <w:lang w:val="en-US" w:eastAsia="zh-CN"/>
              </w:rPr>
              <w:t>建设项目</w:t>
            </w:r>
            <w:r>
              <w:rPr>
                <w:rFonts w:hint="default" w:ascii="Times New Roman" w:hAnsi="Times New Roman" w:eastAsia="宋体" w:cs="Times New Roman"/>
                <w:color w:val="auto"/>
              </w:rPr>
              <w:t>环评类别判定见表2.1-1。</w:t>
            </w:r>
          </w:p>
          <w:p w14:paraId="7E388506">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rPr>
            </w:pPr>
            <w:r>
              <w:rPr>
                <w:rFonts w:hint="default" w:ascii="Times New Roman" w:hAnsi="Times New Roman" w:eastAsia="宋体" w:cs="Times New Roman"/>
                <w:b/>
                <w:bCs/>
                <w:color w:val="auto"/>
              </w:rPr>
              <w:t xml:space="preserve">表2.1-1  </w:t>
            </w:r>
            <w:r>
              <w:rPr>
                <w:rFonts w:hint="default" w:ascii="Times New Roman" w:hAnsi="Times New Roman" w:eastAsia="宋体" w:cs="Times New Roman"/>
                <w:b/>
                <w:bCs/>
                <w:color w:val="auto"/>
                <w:lang w:val="en-US" w:eastAsia="zh-CN"/>
              </w:rPr>
              <w:t>建设项目</w:t>
            </w:r>
            <w:r>
              <w:rPr>
                <w:rFonts w:hint="default" w:ascii="Times New Roman" w:hAnsi="Times New Roman" w:eastAsia="宋体" w:cs="Times New Roman"/>
                <w:b/>
                <w:bCs/>
                <w:color w:val="auto"/>
              </w:rPr>
              <w:t>环评类别判定表</w:t>
            </w:r>
          </w:p>
          <w:tbl>
            <w:tblPr>
              <w:tblStyle w:val="28"/>
              <w:tblW w:w="4996"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80"/>
              <w:gridCol w:w="1708"/>
              <w:gridCol w:w="1098"/>
              <w:gridCol w:w="770"/>
              <w:gridCol w:w="777"/>
              <w:gridCol w:w="2208"/>
            </w:tblGrid>
            <w:tr w14:paraId="6B10BB1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6" w:type="pct"/>
                  <w:tcBorders>
                    <w:tl2br w:val="nil"/>
                    <w:tr2bl w:val="nil"/>
                  </w:tcBorders>
                  <w:vAlign w:val="center"/>
                </w:tcPr>
                <w:p w14:paraId="66381CF7">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lang w:val="en-US" w:eastAsia="zh-CN"/>
                    </w:rPr>
                    <w:t>国民经济</w:t>
                  </w:r>
                  <w:r>
                    <w:rPr>
                      <w:rFonts w:hint="default" w:ascii="Times New Roman" w:hAnsi="Times New Roman" w:eastAsia="宋体" w:cs="Times New Roman"/>
                      <w:b/>
                      <w:bCs/>
                      <w:color w:val="auto"/>
                      <w:sz w:val="18"/>
                      <w:szCs w:val="18"/>
                    </w:rPr>
                    <w:t>行业类别</w:t>
                  </w:r>
                </w:p>
              </w:tc>
              <w:tc>
                <w:tcPr>
                  <w:tcW w:w="1089" w:type="pct"/>
                  <w:tcBorders>
                    <w:tl2br w:val="nil"/>
                    <w:tr2bl w:val="nil"/>
                  </w:tcBorders>
                  <w:vAlign w:val="center"/>
                </w:tcPr>
                <w:p w14:paraId="15EE2A23">
                  <w:pPr>
                    <w:keepNext w:val="0"/>
                    <w:keepLines w:val="0"/>
                    <w:suppressLineNumbers w:val="0"/>
                    <w:adjustRightInd w:val="0"/>
                    <w:snapToGrid w:val="0"/>
                    <w:spacing w:before="0" w:beforeAutospacing="0" w:after="0" w:afterAutospacing="0" w:line="240" w:lineRule="auto"/>
                    <w:ind w:left="0" w:right="0" w:firstLine="540" w:firstLineChars="300"/>
                    <w:rPr>
                      <w:rFonts w:hint="default" w:ascii="Times New Roman" w:hAnsi="Times New Roman" w:eastAsia="宋体" w:cs="Times New Roman"/>
                      <w:b/>
                      <w:bCs/>
                      <w:color w:val="auto"/>
                      <w:sz w:val="18"/>
                      <w:szCs w:val="18"/>
                    </w:rPr>
                  </w:pPr>
                  <w:r>
                    <w:rPr>
                      <w:rFonts w:hint="default" w:ascii="Times New Roman" w:hAnsi="Times New Roman" w:eastAsia="宋体" w:cs="Times New Roman"/>
                      <w:color w:val="auto"/>
                      <w:sz w:val="18"/>
                    </w:rPr>
                    <mc:AlternateContent>
                      <mc:Choice Requires="wps">
                        <w:drawing>
                          <wp:anchor distT="0" distB="0" distL="114300" distR="114300" simplePos="0" relativeHeight="251660288" behindDoc="0" locked="0" layoutInCell="1" allowOverlap="1">
                            <wp:simplePos x="0" y="0"/>
                            <wp:positionH relativeFrom="column">
                              <wp:posOffset>-63500</wp:posOffset>
                            </wp:positionH>
                            <wp:positionV relativeFrom="paragraph">
                              <wp:posOffset>-2540</wp:posOffset>
                            </wp:positionV>
                            <wp:extent cx="1162050" cy="304800"/>
                            <wp:effectExtent l="1905" t="6350" r="17145" b="12700"/>
                            <wp:wrapNone/>
                            <wp:docPr id="3" name="直接连接符 3"/>
                            <wp:cNvGraphicFramePr/>
                            <a:graphic xmlns:a="http://schemas.openxmlformats.org/drawingml/2006/main">
                              <a:graphicData uri="http://schemas.microsoft.com/office/word/2010/wordprocessingShape">
                                <wps:wsp>
                                  <wps:cNvCnPr/>
                                  <wps:spPr>
                                    <a:xfrm>
                                      <a:off x="2318385" y="4503420"/>
                                      <a:ext cx="1162050" cy="30480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5pt;margin-top:-0.2pt;height:24pt;width:91.5pt;z-index:251660288;mso-width-relative:page;mso-height-relative:page;" filled="f" stroked="t" coordsize="21600,21600" o:gfxdata="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ILbNH9cAAAAIAQAADwAAAAAAAAABACAAAAAiAAAAZHJzL2Rvd25yZXYueG1sUEsB&#10;AhQAFAAAAAgAh07iQO5hjuH2AQAAwwMAAA4AAAAAAAAAAQAgAAAAJgEAAGRycy9lMm9Eb2MueG1s&#10;UEsFBgAAAAAGAAYAWQEAAI4FAAAAAA==&#10;">
                            <v:fill on="f" focussize="0,0"/>
                            <v:stroke weight="1pt" color="#000000 [3213]" miterlimit="8" joinstyle="miter"/>
                            <v:imagedata o:title=""/>
                            <o:lock v:ext="edit" aspectratio="f"/>
                          </v:line>
                        </w:pict>
                      </mc:Fallback>
                    </mc:AlternateContent>
                  </w:r>
                  <w:r>
                    <w:rPr>
                      <w:rFonts w:hint="default" w:ascii="Times New Roman" w:hAnsi="Times New Roman" w:eastAsia="宋体" w:cs="Times New Roman"/>
                      <w:b/>
                      <w:bCs/>
                      <w:color w:val="auto"/>
                      <w:sz w:val="18"/>
                      <w:szCs w:val="18"/>
                    </w:rPr>
                    <w:t>环评类别</w:t>
                  </w:r>
                </w:p>
                <w:p w14:paraId="5155062F">
                  <w:pPr>
                    <w:keepNext w:val="0"/>
                    <w:keepLines w:val="0"/>
                    <w:suppressLineNumbers w:val="0"/>
                    <w:adjustRightInd w:val="0"/>
                    <w:snapToGrid w:val="0"/>
                    <w:spacing w:before="0" w:beforeAutospacing="0" w:after="0" w:afterAutospacing="0" w:line="240" w:lineRule="auto"/>
                    <w:ind w:left="0" w:right="0" w:firstLine="0" w:firstLineChars="0"/>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项目类别</w:t>
                  </w:r>
                </w:p>
              </w:tc>
              <w:tc>
                <w:tcPr>
                  <w:tcW w:w="700" w:type="pct"/>
                  <w:tcBorders>
                    <w:tl2br w:val="nil"/>
                    <w:tr2bl w:val="nil"/>
                  </w:tcBorders>
                  <w:vAlign w:val="center"/>
                </w:tcPr>
                <w:p w14:paraId="02542EC3">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报告书</w:t>
                  </w:r>
                </w:p>
              </w:tc>
              <w:tc>
                <w:tcPr>
                  <w:tcW w:w="491" w:type="pct"/>
                  <w:tcBorders>
                    <w:tl2br w:val="nil"/>
                    <w:tr2bl w:val="nil"/>
                  </w:tcBorders>
                  <w:vAlign w:val="center"/>
                </w:tcPr>
                <w:p w14:paraId="49497EA3">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报告表</w:t>
                  </w:r>
                </w:p>
              </w:tc>
              <w:tc>
                <w:tcPr>
                  <w:tcW w:w="495" w:type="pct"/>
                  <w:tcBorders>
                    <w:tl2br w:val="nil"/>
                    <w:tr2bl w:val="nil"/>
                  </w:tcBorders>
                  <w:vAlign w:val="center"/>
                </w:tcPr>
                <w:p w14:paraId="12AA6EB0">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登记表</w:t>
                  </w:r>
                </w:p>
              </w:tc>
              <w:tc>
                <w:tcPr>
                  <w:tcW w:w="1407" w:type="pct"/>
                  <w:tcBorders>
                    <w:tl2br w:val="nil"/>
                    <w:tr2bl w:val="nil"/>
                  </w:tcBorders>
                  <w:vAlign w:val="center"/>
                </w:tcPr>
                <w:p w14:paraId="272A1793">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lang w:eastAsia="zh-CN"/>
                    </w:rPr>
                    <w:t>建设项目</w:t>
                  </w:r>
                  <w:r>
                    <w:rPr>
                      <w:rFonts w:hint="default" w:ascii="Times New Roman" w:hAnsi="Times New Roman" w:eastAsia="宋体" w:cs="Times New Roman"/>
                      <w:b/>
                      <w:bCs/>
                      <w:color w:val="auto"/>
                      <w:sz w:val="18"/>
                      <w:szCs w:val="18"/>
                    </w:rPr>
                    <w:t>情况</w:t>
                  </w:r>
                </w:p>
              </w:tc>
            </w:tr>
            <w:tr w14:paraId="5160BBC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16" w:type="pct"/>
                  <w:tcBorders>
                    <w:tl2br w:val="nil"/>
                    <w:tr2bl w:val="nil"/>
                  </w:tcBorders>
                  <w:vAlign w:val="center"/>
                </w:tcPr>
                <w:p w14:paraId="7170A3B0">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【C3089】耐火陶瓷制品及其他耐火材料制造</w:t>
                  </w:r>
                </w:p>
              </w:tc>
              <w:tc>
                <w:tcPr>
                  <w:tcW w:w="1089" w:type="pct"/>
                  <w:tcBorders>
                    <w:tl2br w:val="nil"/>
                    <w:tr2bl w:val="nil"/>
                  </w:tcBorders>
                  <w:vAlign w:val="center"/>
                </w:tcPr>
                <w:p w14:paraId="3ECF0846">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二十七、非金属矿物制品业30：</w:t>
                  </w:r>
                  <w:r>
                    <w:rPr>
                      <w:rFonts w:hint="eastAsia" w:cs="Times New Roman"/>
                      <w:color w:val="auto"/>
                      <w:kern w:val="2"/>
                      <w:sz w:val="18"/>
                      <w:szCs w:val="18"/>
                      <w:lang w:val="en-US" w:eastAsia="zh-CN" w:bidi="ar-SA"/>
                    </w:rPr>
                    <w:t>60耐火材料制品制造308</w:t>
                  </w:r>
                </w:p>
              </w:tc>
              <w:tc>
                <w:tcPr>
                  <w:tcW w:w="700" w:type="pct"/>
                  <w:tcBorders>
                    <w:tl2br w:val="nil"/>
                    <w:tr2bl w:val="nil"/>
                  </w:tcBorders>
                  <w:vAlign w:val="center"/>
                </w:tcPr>
                <w:p w14:paraId="12DEEEBC">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石棉制品；含焙烧的石墨、碳素制品</w:t>
                  </w:r>
                </w:p>
              </w:tc>
              <w:tc>
                <w:tcPr>
                  <w:tcW w:w="491" w:type="pct"/>
                  <w:tcBorders>
                    <w:tl2br w:val="nil"/>
                    <w:tr2bl w:val="nil"/>
                  </w:tcBorders>
                  <w:vAlign w:val="center"/>
                </w:tcPr>
                <w:p w14:paraId="372B7BF9">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kern w:val="2"/>
                      <w:sz w:val="18"/>
                      <w:szCs w:val="18"/>
                      <w:lang w:val="en-US" w:eastAsia="zh-CN" w:bidi="ar-SA"/>
                    </w:rPr>
                  </w:pPr>
                  <w:r>
                    <w:rPr>
                      <w:rFonts w:hint="eastAsia" w:cs="Times New Roman"/>
                      <w:color w:val="auto"/>
                      <w:sz w:val="18"/>
                      <w:szCs w:val="18"/>
                      <w:lang w:val="en-US" w:eastAsia="zh-CN"/>
                    </w:rPr>
                    <w:t>其他</w:t>
                  </w:r>
                </w:p>
              </w:tc>
              <w:tc>
                <w:tcPr>
                  <w:tcW w:w="495" w:type="pct"/>
                  <w:tcBorders>
                    <w:tl2br w:val="nil"/>
                    <w:tr2bl w:val="nil"/>
                  </w:tcBorders>
                  <w:vAlign w:val="center"/>
                </w:tcPr>
                <w:p w14:paraId="58029111">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rPr>
                    <w:t>/</w:t>
                  </w:r>
                </w:p>
              </w:tc>
              <w:tc>
                <w:tcPr>
                  <w:tcW w:w="1407" w:type="pct"/>
                  <w:tcBorders>
                    <w:tl2br w:val="nil"/>
                    <w:tr2bl w:val="nil"/>
                  </w:tcBorders>
                  <w:vAlign w:val="center"/>
                </w:tcPr>
                <w:p w14:paraId="16A4BFFE">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lang w:val="en-US" w:eastAsia="zh-CN"/>
                    </w:rPr>
                    <w:t>本项目为</w:t>
                  </w:r>
                  <w:r>
                    <w:rPr>
                      <w:rFonts w:hint="eastAsia" w:cs="Times New Roman"/>
                      <w:color w:val="auto"/>
                      <w:sz w:val="18"/>
                      <w:szCs w:val="18"/>
                      <w:lang w:val="en-US" w:eastAsia="zh-CN"/>
                    </w:rPr>
                    <w:t>耐火材料制造</w:t>
                  </w:r>
                  <w:r>
                    <w:rPr>
                      <w:rFonts w:hint="default" w:ascii="Times New Roman" w:hAnsi="Times New Roman" w:eastAsia="宋体" w:cs="Times New Roman"/>
                      <w:color w:val="auto"/>
                      <w:sz w:val="18"/>
                      <w:szCs w:val="18"/>
                      <w:lang w:val="en-US" w:eastAsia="zh-CN"/>
                    </w:rPr>
                    <w:t>，</w:t>
                  </w:r>
                  <w:r>
                    <w:rPr>
                      <w:rFonts w:hint="eastAsia" w:cs="Times New Roman"/>
                      <w:color w:val="auto"/>
                      <w:sz w:val="18"/>
                      <w:szCs w:val="18"/>
                      <w:lang w:val="en-US" w:eastAsia="zh-CN"/>
                    </w:rPr>
                    <w:t>不属于</w:t>
                  </w:r>
                  <w:r>
                    <w:rPr>
                      <w:rFonts w:hint="default" w:ascii="Times New Roman" w:hAnsi="Times New Roman" w:eastAsia="宋体" w:cs="Times New Roman"/>
                      <w:color w:val="auto"/>
                      <w:sz w:val="18"/>
                      <w:szCs w:val="18"/>
                      <w:lang w:val="en-US" w:eastAsia="zh-CN"/>
                    </w:rPr>
                    <w:t>石棉制品；含焙烧的石墨、碳素制品</w:t>
                  </w:r>
                  <w:r>
                    <w:rPr>
                      <w:rFonts w:hint="eastAsia" w:ascii="Times New Roman" w:hAnsi="Times New Roman" w:eastAsia="宋体" w:cs="Times New Roman"/>
                      <w:color w:val="auto"/>
                      <w:sz w:val="18"/>
                      <w:szCs w:val="18"/>
                      <w:lang w:val="en-US" w:eastAsia="zh-CN"/>
                    </w:rPr>
                    <w:t>，</w:t>
                  </w:r>
                  <w:r>
                    <w:rPr>
                      <w:rFonts w:hint="default" w:ascii="Times New Roman" w:hAnsi="Times New Roman" w:eastAsia="宋体" w:cs="Times New Roman"/>
                      <w:color w:val="auto"/>
                      <w:sz w:val="18"/>
                      <w:szCs w:val="18"/>
                      <w:lang w:val="en-US" w:eastAsia="zh-CN"/>
                    </w:rPr>
                    <w:t>应编制环境影响报告表</w:t>
                  </w:r>
                </w:p>
              </w:tc>
            </w:tr>
          </w:tbl>
          <w:p w14:paraId="5A75D7D9">
            <w:pPr>
              <w:keepNext w:val="0"/>
              <w:keepLines w:val="0"/>
              <w:suppressLineNumbers w:val="0"/>
              <w:spacing w:before="0" w:beforeAutospacing="0" w:after="0" w:afterAutospacing="0"/>
              <w:ind w:left="0" w:right="0"/>
              <w:rPr>
                <w:rFonts w:hint="default" w:ascii="Times New Roman" w:hAnsi="Times New Roman" w:eastAsia="宋体" w:cs="Times New Roman"/>
                <w:color w:val="auto"/>
              </w:rPr>
            </w:pPr>
            <w:r>
              <w:rPr>
                <w:rFonts w:hint="default" w:ascii="Times New Roman" w:hAnsi="Times New Roman" w:eastAsia="宋体" w:cs="Times New Roman"/>
                <w:color w:val="auto"/>
              </w:rPr>
              <w:t>综上所述，</w:t>
            </w:r>
            <w:r>
              <w:rPr>
                <w:rFonts w:hint="default" w:ascii="Times New Roman" w:hAnsi="Times New Roman" w:eastAsia="宋体" w:cs="Times New Roman"/>
                <w:color w:val="auto"/>
                <w:lang w:val="en-US" w:eastAsia="zh-CN"/>
              </w:rPr>
              <w:t>判定建设项目</w:t>
            </w:r>
            <w:r>
              <w:rPr>
                <w:rFonts w:hint="default" w:ascii="Times New Roman" w:hAnsi="Times New Roman" w:eastAsia="宋体" w:cs="Times New Roman"/>
                <w:color w:val="auto"/>
              </w:rPr>
              <w:t>应编制</w:t>
            </w:r>
            <w:r>
              <w:rPr>
                <w:rFonts w:hint="default" w:ascii="Times New Roman" w:hAnsi="Times New Roman" w:eastAsia="宋体" w:cs="Times New Roman"/>
                <w:color w:val="auto"/>
                <w:lang w:val="en-US" w:eastAsia="zh-CN"/>
              </w:rPr>
              <w:t>环境影响</w:t>
            </w:r>
            <w:r>
              <w:rPr>
                <w:rFonts w:hint="default" w:ascii="Times New Roman" w:hAnsi="Times New Roman" w:eastAsia="宋体" w:cs="Times New Roman"/>
                <w:color w:val="auto"/>
              </w:rPr>
              <w:t>报告表。</w:t>
            </w:r>
          </w:p>
          <w:p w14:paraId="2FDE658B">
            <w:pPr>
              <w:keepNext w:val="0"/>
              <w:keepLines w:val="0"/>
              <w:numPr>
                <w:ilvl w:val="0"/>
                <w:numId w:val="7"/>
              </w:numPr>
              <w:suppressLineNumbers w:val="0"/>
              <w:spacing w:before="0" w:beforeAutospacing="0" w:after="0" w:afterAutospacing="0"/>
              <w:ind w:left="0" w:right="0" w:firstLine="482"/>
              <w:rPr>
                <w:rFonts w:hint="default" w:ascii="Times New Roman" w:hAnsi="Times New Roman" w:eastAsia="宋体" w:cs="Times New Roman"/>
                <w:b/>
                <w:bCs/>
                <w:color w:val="auto"/>
              </w:rPr>
            </w:pPr>
            <w:r>
              <w:rPr>
                <w:rFonts w:hint="default" w:ascii="Times New Roman" w:hAnsi="Times New Roman" w:eastAsia="宋体" w:cs="Times New Roman"/>
                <w:b/>
                <w:bCs/>
                <w:color w:val="auto"/>
              </w:rPr>
              <w:t>主要产品方案及建设内容</w:t>
            </w:r>
          </w:p>
          <w:p w14:paraId="5A9994BC">
            <w:pPr>
              <w:keepNext w:val="0"/>
              <w:keepLines w:val="0"/>
              <w:suppressLineNumbers w:val="0"/>
              <w:spacing w:before="0" w:beforeAutospacing="0" w:after="0" w:afterAutospacing="0"/>
              <w:ind w:left="0" w:right="0" w:firstLine="480"/>
              <w:rPr>
                <w:rFonts w:hint="default" w:ascii="Times New Roman" w:hAnsi="Times New Roman" w:eastAsia="宋体" w:cs="Times New Roman"/>
                <w:color w:val="auto"/>
              </w:rPr>
            </w:pPr>
            <w:r>
              <w:rPr>
                <w:rFonts w:hint="default" w:ascii="Times New Roman" w:hAnsi="Times New Roman" w:eastAsia="宋体" w:cs="Times New Roman"/>
                <w:color w:val="auto"/>
                <w:lang w:eastAsia="zh-CN"/>
              </w:rPr>
              <w:t>（</w:t>
            </w:r>
            <w:r>
              <w:rPr>
                <w:rFonts w:hint="default" w:ascii="Times New Roman" w:hAnsi="Times New Roman" w:eastAsia="宋体" w:cs="Times New Roman"/>
                <w:color w:val="auto"/>
                <w:lang w:val="en-US" w:eastAsia="zh-CN"/>
              </w:rPr>
              <w:t>1</w:t>
            </w:r>
            <w:r>
              <w:rPr>
                <w:rFonts w:hint="default" w:ascii="Times New Roman" w:hAnsi="Times New Roman" w:eastAsia="宋体" w:cs="Times New Roman"/>
                <w:color w:val="auto"/>
                <w:lang w:eastAsia="zh-CN"/>
              </w:rPr>
              <w:t>）项目名称</w:t>
            </w:r>
            <w:r>
              <w:rPr>
                <w:rFonts w:hint="default" w:ascii="Times New Roman" w:hAnsi="Times New Roman" w:eastAsia="宋体" w:cs="Times New Roman"/>
                <w:color w:val="auto"/>
              </w:rPr>
              <w:t>：</w:t>
            </w:r>
            <w:r>
              <w:rPr>
                <w:rFonts w:hint="default" w:ascii="Times New Roman" w:hAnsi="Times New Roman" w:eastAsia="宋体" w:cs="Times New Roman"/>
                <w:color w:val="auto"/>
                <w:lang w:val="en-US" w:eastAsia="zh-CN"/>
              </w:rPr>
              <w:t>淮安市迅安新材料有限公司年产400吨TL990型电缆耐火密封填料、2万套KP800型电缆耐火密封膨胀堵料项目</w:t>
            </w:r>
          </w:p>
          <w:p w14:paraId="26DA46D8">
            <w:pPr>
              <w:keepNext w:val="0"/>
              <w:keepLines w:val="0"/>
              <w:suppressLineNumbers w:val="0"/>
              <w:spacing w:before="0" w:beforeAutospacing="0" w:after="0" w:afterAutospacing="0"/>
              <w:ind w:left="0" w:right="0" w:firstLine="480"/>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（2）建设性质：</w:t>
            </w:r>
            <w:r>
              <w:rPr>
                <w:rFonts w:hint="eastAsia" w:cs="Times New Roman"/>
                <w:color w:val="auto"/>
                <w:lang w:val="en-US" w:eastAsia="zh-CN"/>
              </w:rPr>
              <w:t>新建</w:t>
            </w:r>
          </w:p>
          <w:p w14:paraId="151BD4B2">
            <w:pPr>
              <w:keepNext w:val="0"/>
              <w:keepLines w:val="0"/>
              <w:suppressLineNumbers w:val="0"/>
              <w:spacing w:before="0" w:beforeAutospacing="0" w:after="0" w:afterAutospacing="0"/>
              <w:ind w:left="0" w:right="0" w:firstLine="480"/>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（3）建设单位：淮安市迅安新材料有限公司</w:t>
            </w:r>
          </w:p>
          <w:p w14:paraId="3C9CF574">
            <w:pPr>
              <w:keepNext w:val="0"/>
              <w:keepLines w:val="0"/>
              <w:suppressLineNumbers w:val="0"/>
              <w:spacing w:before="0" w:beforeAutospacing="0" w:after="0" w:afterAutospacing="0"/>
              <w:ind w:left="0" w:right="0" w:firstLine="480"/>
              <w:rPr>
                <w:rFonts w:hint="default" w:ascii="Times New Roman" w:hAnsi="Times New Roman" w:eastAsia="宋体" w:cs="Times New Roman"/>
                <w:color w:val="auto"/>
                <w:kern w:val="0"/>
                <w:sz w:val="24"/>
                <w:lang w:val="en-US" w:eastAsia="zh-CN"/>
              </w:rPr>
            </w:pPr>
            <w:r>
              <w:rPr>
                <w:rFonts w:hint="default" w:ascii="Times New Roman" w:hAnsi="Times New Roman" w:eastAsia="宋体" w:cs="Times New Roman"/>
                <w:color w:val="auto"/>
                <w:lang w:val="en-US" w:eastAsia="zh-CN"/>
              </w:rPr>
              <w:t>（4）建设规模：年产400吨TL990型电缆耐火密封填料、2万套KP800型电缆耐火密封膨胀堵料</w:t>
            </w:r>
          </w:p>
          <w:p w14:paraId="1653A922">
            <w:pPr>
              <w:keepNext w:val="0"/>
              <w:keepLines w:val="0"/>
              <w:suppressLineNumbers w:val="0"/>
              <w:spacing w:before="0" w:beforeAutospacing="0" w:after="0" w:afterAutospacing="0"/>
              <w:ind w:left="0" w:right="0" w:firstLine="480"/>
              <w:rPr>
                <w:rFonts w:hint="default" w:ascii="Times New Roman" w:hAnsi="Times New Roman" w:eastAsia="宋体" w:cs="Times New Roman"/>
                <w:color w:val="auto"/>
              </w:rPr>
            </w:pPr>
            <w:r>
              <w:rPr>
                <w:rFonts w:hint="default" w:ascii="Times New Roman" w:hAnsi="Times New Roman" w:eastAsia="宋体" w:cs="Times New Roman"/>
                <w:color w:val="auto"/>
                <w:lang w:eastAsia="zh-CN"/>
              </w:rPr>
              <w:t>（</w:t>
            </w:r>
            <w:r>
              <w:rPr>
                <w:rFonts w:hint="default" w:ascii="Times New Roman" w:hAnsi="Times New Roman" w:eastAsia="宋体" w:cs="Times New Roman"/>
                <w:color w:val="auto"/>
                <w:lang w:val="en-US" w:eastAsia="zh-CN"/>
              </w:rPr>
              <w:t>5</w:t>
            </w:r>
            <w:r>
              <w:rPr>
                <w:rFonts w:hint="default" w:ascii="Times New Roman" w:hAnsi="Times New Roman" w:eastAsia="宋体" w:cs="Times New Roman"/>
                <w:color w:val="auto"/>
                <w:lang w:eastAsia="zh-CN"/>
              </w:rPr>
              <w:t>）占地面积：</w:t>
            </w:r>
            <w:r>
              <w:rPr>
                <w:rFonts w:hint="eastAsia" w:cs="Times New Roman"/>
                <w:color w:val="auto"/>
                <w:kern w:val="0"/>
                <w:sz w:val="24"/>
                <w:lang w:val="en-US" w:eastAsia="zh-CN"/>
              </w:rPr>
              <w:t>依托现有已建成厂房</w:t>
            </w:r>
            <w:r>
              <w:rPr>
                <w:rFonts w:hint="default" w:ascii="Times New Roman" w:hAnsi="Times New Roman" w:eastAsia="宋体" w:cs="Times New Roman"/>
                <w:color w:val="auto"/>
                <w:kern w:val="0"/>
                <w:sz w:val="24"/>
                <w:lang w:val="en-US" w:eastAsia="zh-CN"/>
              </w:rPr>
              <w:t>，不新增</w:t>
            </w:r>
            <w:r>
              <w:rPr>
                <w:rFonts w:hint="eastAsia" w:cs="Times New Roman"/>
                <w:color w:val="auto"/>
                <w:kern w:val="0"/>
                <w:sz w:val="24"/>
                <w:lang w:val="en-US" w:eastAsia="zh-CN"/>
              </w:rPr>
              <w:t>占地</w:t>
            </w:r>
            <w:r>
              <w:rPr>
                <w:rFonts w:hint="default" w:ascii="Times New Roman" w:hAnsi="Times New Roman" w:eastAsia="宋体" w:cs="Times New Roman"/>
                <w:color w:val="auto"/>
                <w:kern w:val="0"/>
                <w:sz w:val="24"/>
                <w:lang w:val="en-US" w:eastAsia="zh-CN"/>
              </w:rPr>
              <w:t>。</w:t>
            </w:r>
          </w:p>
          <w:p w14:paraId="49F54ABE">
            <w:pPr>
              <w:keepNext w:val="0"/>
              <w:keepLines w:val="0"/>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（6）职工</w:t>
            </w:r>
            <w:r>
              <w:rPr>
                <w:rFonts w:hint="default" w:ascii="Times New Roman" w:hAnsi="Times New Roman" w:eastAsia="宋体" w:cs="Times New Roman"/>
                <w:color w:val="auto"/>
                <w:sz w:val="24"/>
                <w:szCs w:val="24"/>
                <w:lang w:eastAsia="zh-CN"/>
              </w:rPr>
              <w:t>定员</w:t>
            </w:r>
            <w:r>
              <w:rPr>
                <w:rFonts w:hint="default" w:ascii="Times New Roman" w:hAnsi="Times New Roman" w:eastAsia="宋体" w:cs="Times New Roman"/>
                <w:color w:val="auto"/>
                <w:sz w:val="24"/>
                <w:szCs w:val="24"/>
              </w:rPr>
              <w:t>：</w:t>
            </w:r>
            <w:r>
              <w:rPr>
                <w:rFonts w:hint="eastAsia" w:cs="Times New Roman"/>
                <w:color w:val="auto"/>
                <w:sz w:val="24"/>
                <w:szCs w:val="24"/>
                <w:lang w:val="en-US" w:eastAsia="zh-CN"/>
              </w:rPr>
              <w:t>12人</w:t>
            </w:r>
            <w:r>
              <w:rPr>
                <w:rFonts w:hint="default" w:ascii="Times New Roman" w:hAnsi="Times New Roman" w:eastAsia="宋体" w:cs="Times New Roman"/>
                <w:color w:val="auto"/>
                <w:sz w:val="24"/>
                <w:szCs w:val="24"/>
                <w:lang w:val="en-US" w:eastAsia="zh-CN"/>
              </w:rPr>
              <w:t>，</w:t>
            </w:r>
            <w:r>
              <w:rPr>
                <w:rFonts w:hint="eastAsia" w:cs="Times New Roman"/>
                <w:color w:val="auto"/>
                <w:sz w:val="24"/>
                <w:szCs w:val="24"/>
                <w:lang w:val="en-US" w:eastAsia="zh-CN"/>
              </w:rPr>
              <w:t>项目不设食宿，</w:t>
            </w:r>
            <w:r>
              <w:rPr>
                <w:rFonts w:hint="default" w:ascii="Times New Roman" w:hAnsi="Times New Roman" w:eastAsia="宋体" w:cs="Times New Roman"/>
                <w:color w:val="auto"/>
                <w:sz w:val="24"/>
                <w:szCs w:val="24"/>
                <w:lang w:eastAsia="zh-CN"/>
              </w:rPr>
              <w:t>项目实行单</w:t>
            </w:r>
            <w:r>
              <w:rPr>
                <w:rFonts w:hint="default" w:ascii="Times New Roman" w:hAnsi="Times New Roman" w:eastAsia="宋体" w:cs="Times New Roman"/>
                <w:color w:val="auto"/>
                <w:sz w:val="24"/>
                <w:szCs w:val="24"/>
              </w:rPr>
              <w:t>班制，每班8小时工作制，年工作3</w:t>
            </w:r>
            <w:r>
              <w:rPr>
                <w:rFonts w:hint="default" w:ascii="Times New Roman" w:hAnsi="Times New Roman" w:eastAsia="宋体" w:cs="Times New Roman"/>
                <w:color w:val="auto"/>
                <w:sz w:val="24"/>
                <w:szCs w:val="24"/>
                <w:lang w:val="en-US" w:eastAsia="zh-CN"/>
              </w:rPr>
              <w:t>0</w:t>
            </w:r>
            <w:r>
              <w:rPr>
                <w:rFonts w:hint="default" w:ascii="Times New Roman" w:hAnsi="Times New Roman" w:eastAsia="宋体" w:cs="Times New Roman"/>
                <w:color w:val="auto"/>
                <w:sz w:val="24"/>
                <w:szCs w:val="24"/>
              </w:rPr>
              <w:t>0天，年工作时间</w:t>
            </w:r>
            <w:r>
              <w:rPr>
                <w:rFonts w:hint="default" w:ascii="Times New Roman" w:hAnsi="Times New Roman" w:eastAsia="宋体" w:cs="Times New Roman"/>
                <w:color w:val="auto"/>
                <w:sz w:val="24"/>
                <w:szCs w:val="24"/>
                <w:lang w:val="en-US" w:eastAsia="zh-CN"/>
              </w:rPr>
              <w:t>240</w:t>
            </w:r>
            <w:r>
              <w:rPr>
                <w:rFonts w:hint="default" w:ascii="Times New Roman" w:hAnsi="Times New Roman" w:eastAsia="宋体" w:cs="Times New Roman"/>
                <w:color w:val="auto"/>
                <w:sz w:val="24"/>
                <w:szCs w:val="24"/>
              </w:rPr>
              <w:t>0h。</w:t>
            </w:r>
          </w:p>
          <w:p w14:paraId="1D74896A">
            <w:pPr>
              <w:keepNext w:val="0"/>
              <w:keepLines w:val="0"/>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sz w:val="24"/>
                <w:szCs w:val="24"/>
                <w:lang w:val="en-US" w:eastAsia="zh-CN"/>
              </w:rPr>
              <w:t>7</w:t>
            </w:r>
            <w:r>
              <w:rPr>
                <w:rFonts w:hint="default" w:ascii="Times New Roman" w:hAnsi="Times New Roman" w:eastAsia="宋体" w:cs="Times New Roman"/>
                <w:color w:val="auto"/>
                <w:sz w:val="24"/>
                <w:szCs w:val="24"/>
              </w:rPr>
              <w:t>）项目总投资</w:t>
            </w:r>
            <w:r>
              <w:rPr>
                <w:rFonts w:hint="default" w:ascii="Times New Roman" w:hAnsi="Times New Roman" w:eastAsia="宋体" w:cs="Times New Roman"/>
                <w:color w:val="auto"/>
                <w:sz w:val="24"/>
                <w:szCs w:val="24"/>
                <w:lang w:eastAsia="zh-CN"/>
              </w:rPr>
              <w:t>：</w:t>
            </w:r>
            <w:r>
              <w:rPr>
                <w:rFonts w:hint="eastAsia" w:cs="Times New Roman"/>
                <w:color w:val="auto"/>
                <w:sz w:val="24"/>
                <w:szCs w:val="24"/>
                <w:lang w:val="en-US" w:eastAsia="zh-CN"/>
              </w:rPr>
              <w:t>660</w:t>
            </w:r>
            <w:r>
              <w:rPr>
                <w:rFonts w:hint="default" w:ascii="Times New Roman" w:hAnsi="Times New Roman" w:eastAsia="宋体" w:cs="Times New Roman"/>
                <w:color w:val="auto"/>
                <w:sz w:val="24"/>
                <w:szCs w:val="24"/>
              </w:rPr>
              <w:t>万元，其中环保投资为</w:t>
            </w:r>
            <w:r>
              <w:rPr>
                <w:rFonts w:hint="default" w:ascii="Times New Roman" w:hAnsi="Times New Roman" w:eastAsia="宋体" w:cs="Times New Roman"/>
                <w:color w:val="auto"/>
                <w:sz w:val="24"/>
                <w:szCs w:val="24"/>
                <w:lang w:val="en-US" w:eastAsia="zh-CN"/>
              </w:rPr>
              <w:t>10</w:t>
            </w:r>
            <w:r>
              <w:rPr>
                <w:rFonts w:hint="default" w:ascii="Times New Roman" w:hAnsi="Times New Roman" w:eastAsia="宋体" w:cs="Times New Roman"/>
                <w:color w:val="auto"/>
                <w:sz w:val="24"/>
                <w:szCs w:val="24"/>
              </w:rPr>
              <w:t>万元，占总投资的</w:t>
            </w:r>
            <w:r>
              <w:rPr>
                <w:rFonts w:hint="eastAsia" w:cs="Times New Roman"/>
                <w:color w:val="auto"/>
                <w:sz w:val="24"/>
                <w:szCs w:val="24"/>
                <w:lang w:val="en-US" w:eastAsia="zh-CN"/>
              </w:rPr>
              <w:t>1.52</w:t>
            </w:r>
            <w:r>
              <w:rPr>
                <w:rFonts w:hint="default" w:ascii="Times New Roman" w:hAnsi="Times New Roman" w:eastAsia="宋体" w:cs="Times New Roman"/>
                <w:color w:val="auto"/>
                <w:sz w:val="24"/>
                <w:szCs w:val="24"/>
              </w:rPr>
              <w:t>%。</w:t>
            </w:r>
          </w:p>
          <w:p w14:paraId="790905C7">
            <w:pPr>
              <w:keepNext w:val="0"/>
              <w:keepLines w:val="0"/>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rPr>
            </w:pPr>
            <w:r>
              <w:rPr>
                <w:rFonts w:hint="default" w:ascii="Times New Roman" w:hAnsi="Times New Roman" w:eastAsia="宋体" w:cs="Times New Roman"/>
                <w:color w:val="auto"/>
              </w:rPr>
              <w:t>根据建设单位提供的资料，</w:t>
            </w:r>
            <w:r>
              <w:rPr>
                <w:rFonts w:hint="default" w:ascii="Times New Roman" w:hAnsi="Times New Roman" w:eastAsia="宋体" w:cs="Times New Roman"/>
                <w:color w:val="auto"/>
                <w:lang w:val="en-US" w:eastAsia="zh-CN"/>
              </w:rPr>
              <w:t>建设项目</w:t>
            </w:r>
            <w:r>
              <w:rPr>
                <w:rFonts w:hint="default" w:ascii="Times New Roman" w:hAnsi="Times New Roman" w:eastAsia="宋体" w:cs="Times New Roman"/>
                <w:color w:val="auto"/>
              </w:rPr>
              <w:t>主要产品方案见表2.1-2。</w:t>
            </w:r>
          </w:p>
          <w:p w14:paraId="49F531EB">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rPr>
            </w:pPr>
          </w:p>
          <w:p w14:paraId="44EC6B56">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rPr>
            </w:pPr>
            <w:r>
              <w:rPr>
                <w:rFonts w:hint="default" w:ascii="Times New Roman" w:hAnsi="Times New Roman" w:eastAsia="宋体" w:cs="Times New Roman"/>
                <w:b/>
                <w:bCs/>
                <w:color w:val="auto"/>
              </w:rPr>
              <w:t>表</w:t>
            </w:r>
            <w:r>
              <w:rPr>
                <w:rFonts w:hint="default" w:ascii="Times New Roman" w:hAnsi="Times New Roman" w:eastAsia="宋体" w:cs="Times New Roman"/>
                <w:b/>
                <w:bCs/>
                <w:color w:val="auto"/>
                <w:lang w:val="en-US" w:eastAsia="zh-CN"/>
              </w:rPr>
              <w:t>2.1-2</w:t>
            </w:r>
            <w:r>
              <w:rPr>
                <w:rFonts w:hint="default" w:ascii="Times New Roman" w:hAnsi="Times New Roman" w:eastAsia="宋体" w:cs="Times New Roman"/>
                <w:b/>
                <w:bCs/>
                <w:color w:val="auto"/>
              </w:rPr>
              <w:t xml:space="preserve">  </w:t>
            </w:r>
            <w:r>
              <w:rPr>
                <w:rFonts w:hint="default" w:ascii="Times New Roman" w:hAnsi="Times New Roman" w:eastAsia="宋体" w:cs="Times New Roman"/>
                <w:b/>
                <w:bCs/>
                <w:color w:val="auto"/>
                <w:lang w:val="en-US" w:eastAsia="zh-CN"/>
              </w:rPr>
              <w:t>建设项目</w:t>
            </w:r>
            <w:r>
              <w:rPr>
                <w:rFonts w:hint="default" w:ascii="Times New Roman" w:hAnsi="Times New Roman" w:eastAsia="宋体" w:cs="Times New Roman"/>
                <w:b/>
                <w:bCs/>
                <w:color w:val="auto"/>
              </w:rPr>
              <w:t>产品方案一览表</w:t>
            </w:r>
          </w:p>
          <w:tbl>
            <w:tblPr>
              <w:tblStyle w:val="27"/>
              <w:tblW w:w="4998" w:type="pct"/>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108" w:type="dxa"/>
                <w:bottom w:w="0" w:type="dxa"/>
                <w:right w:w="108" w:type="dxa"/>
              </w:tblCellMar>
            </w:tblPr>
            <w:tblGrid>
              <w:gridCol w:w="904"/>
              <w:gridCol w:w="1841"/>
              <w:gridCol w:w="1320"/>
              <w:gridCol w:w="2236"/>
              <w:gridCol w:w="1543"/>
            </w:tblGrid>
            <w:tr w14:paraId="11922346">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290" w:hRule="atLeast"/>
                <w:jc w:val="center"/>
              </w:trPr>
              <w:tc>
                <w:tcPr>
                  <w:tcW w:w="577" w:type="pct"/>
                  <w:tcBorders>
                    <w:tl2br w:val="nil"/>
                    <w:tr2bl w:val="nil"/>
                  </w:tcBorders>
                  <w:vAlign w:val="center"/>
                </w:tcPr>
                <w:p w14:paraId="433071AF">
                  <w:pPr>
                    <w:pStyle w:val="4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z w:val="18"/>
                      <w:szCs w:val="18"/>
                      <w:lang w:eastAsia="zh-CN"/>
                    </w:rPr>
                  </w:pPr>
                  <w:r>
                    <w:rPr>
                      <w:rFonts w:hint="default" w:ascii="Times New Roman" w:hAnsi="Times New Roman" w:eastAsia="宋体" w:cs="Times New Roman"/>
                      <w:b/>
                      <w:bCs/>
                      <w:color w:val="auto"/>
                      <w:sz w:val="18"/>
                      <w:szCs w:val="18"/>
                      <w:lang w:eastAsia="zh-CN"/>
                    </w:rPr>
                    <w:t>序号</w:t>
                  </w:r>
                </w:p>
              </w:tc>
              <w:tc>
                <w:tcPr>
                  <w:tcW w:w="1173" w:type="pct"/>
                  <w:tcBorders>
                    <w:tl2br w:val="nil"/>
                    <w:tr2bl w:val="nil"/>
                  </w:tcBorders>
                  <w:vAlign w:val="center"/>
                </w:tcPr>
                <w:p w14:paraId="76616789">
                  <w:pPr>
                    <w:pStyle w:val="4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lang w:eastAsia="zh-CN"/>
                    </w:rPr>
                  </w:pPr>
                  <w:r>
                    <w:rPr>
                      <w:rFonts w:hint="default" w:ascii="Times New Roman" w:hAnsi="Times New Roman" w:eastAsia="宋体" w:cs="Times New Roman"/>
                      <w:b/>
                      <w:bCs/>
                      <w:color w:val="auto"/>
                      <w:sz w:val="18"/>
                      <w:szCs w:val="18"/>
                      <w:lang w:eastAsia="zh-CN"/>
                    </w:rPr>
                    <w:t>项目</w:t>
                  </w:r>
                </w:p>
              </w:tc>
              <w:tc>
                <w:tcPr>
                  <w:tcW w:w="841" w:type="pct"/>
                  <w:tcBorders>
                    <w:tl2br w:val="nil"/>
                    <w:tr2bl w:val="nil"/>
                  </w:tcBorders>
                  <w:vAlign w:val="center"/>
                </w:tcPr>
                <w:p w14:paraId="7B6F8972">
                  <w:pPr>
                    <w:pStyle w:val="4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z w:val="18"/>
                      <w:szCs w:val="18"/>
                      <w:lang w:eastAsia="zh-CN"/>
                    </w:rPr>
                  </w:pPr>
                  <w:r>
                    <w:rPr>
                      <w:rFonts w:hint="default" w:ascii="Times New Roman" w:hAnsi="Times New Roman" w:eastAsia="宋体" w:cs="Times New Roman"/>
                      <w:b/>
                      <w:bCs/>
                      <w:color w:val="auto"/>
                      <w:sz w:val="18"/>
                      <w:szCs w:val="18"/>
                      <w:lang w:eastAsia="zh-CN"/>
                    </w:rPr>
                    <w:t>具体产品类型</w:t>
                  </w:r>
                </w:p>
              </w:tc>
              <w:tc>
                <w:tcPr>
                  <w:tcW w:w="1425" w:type="pct"/>
                  <w:tcBorders>
                    <w:tl2br w:val="nil"/>
                    <w:tr2bl w:val="nil"/>
                  </w:tcBorders>
                  <w:vAlign w:val="center"/>
                </w:tcPr>
                <w:p w14:paraId="220534F7">
                  <w:pPr>
                    <w:pStyle w:val="4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z w:val="18"/>
                      <w:szCs w:val="18"/>
                      <w:lang w:eastAsia="zh-CN"/>
                    </w:rPr>
                  </w:pPr>
                  <w:r>
                    <w:rPr>
                      <w:rFonts w:hint="eastAsia" w:ascii="Times New Roman" w:hAnsi="Times New Roman" w:eastAsia="宋体" w:cs="Times New Roman"/>
                      <w:b/>
                      <w:bCs/>
                      <w:color w:val="auto"/>
                      <w:sz w:val="18"/>
                      <w:szCs w:val="18"/>
                      <w:lang w:eastAsia="zh-CN"/>
                    </w:rPr>
                    <w:t>设计产能</w:t>
                  </w:r>
                </w:p>
              </w:tc>
              <w:tc>
                <w:tcPr>
                  <w:tcW w:w="983" w:type="pct"/>
                  <w:tcBorders>
                    <w:tl2br w:val="nil"/>
                    <w:tr2bl w:val="nil"/>
                  </w:tcBorders>
                  <w:vAlign w:val="center"/>
                </w:tcPr>
                <w:p w14:paraId="2A965FE6">
                  <w:pPr>
                    <w:pStyle w:val="4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lang w:val="en-US" w:eastAsia="zh-CN"/>
                    </w:rPr>
                  </w:pPr>
                  <w:r>
                    <w:rPr>
                      <w:rFonts w:hint="default" w:ascii="Times New Roman" w:hAnsi="Times New Roman" w:eastAsia="宋体" w:cs="Times New Roman"/>
                      <w:b/>
                      <w:bCs/>
                      <w:color w:val="auto"/>
                      <w:sz w:val="18"/>
                      <w:szCs w:val="18"/>
                      <w:lang w:val="en-US" w:eastAsia="zh-CN"/>
                    </w:rPr>
                    <w:t>年运行时数</w:t>
                  </w:r>
                </w:p>
              </w:tc>
            </w:tr>
            <w:tr w14:paraId="04C42F42">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252" w:hRule="atLeast"/>
                <w:jc w:val="center"/>
              </w:trPr>
              <w:tc>
                <w:tcPr>
                  <w:tcW w:w="577" w:type="pct"/>
                  <w:tcBorders>
                    <w:tl2br w:val="nil"/>
                    <w:tr2bl w:val="nil"/>
                  </w:tcBorders>
                  <w:vAlign w:val="center"/>
                </w:tcPr>
                <w:p w14:paraId="0C0ED62F">
                  <w:pPr>
                    <w:pStyle w:val="4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eastAsia="zh-CN"/>
                    </w:rPr>
                  </w:pPr>
                  <w:r>
                    <w:rPr>
                      <w:rFonts w:hint="default" w:ascii="Times New Roman" w:hAnsi="Times New Roman" w:eastAsia="宋体" w:cs="Times New Roman"/>
                      <w:color w:val="auto"/>
                      <w:sz w:val="18"/>
                      <w:szCs w:val="18"/>
                      <w:lang w:eastAsia="zh-CN"/>
                    </w:rPr>
                    <w:t>1</w:t>
                  </w:r>
                </w:p>
              </w:tc>
              <w:tc>
                <w:tcPr>
                  <w:tcW w:w="1173" w:type="pct"/>
                  <w:vMerge w:val="restart"/>
                  <w:tcBorders>
                    <w:tl2br w:val="nil"/>
                    <w:tr2bl w:val="nil"/>
                  </w:tcBorders>
                  <w:vAlign w:val="center"/>
                </w:tcPr>
                <w:p w14:paraId="7749848B">
                  <w:pPr>
                    <w:pStyle w:val="4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z w:val="18"/>
                      <w:szCs w:val="18"/>
                      <w:lang w:eastAsia="zh-CN"/>
                    </w:rPr>
                  </w:pPr>
                  <w:r>
                    <w:rPr>
                      <w:rFonts w:hint="default" w:ascii="Times New Roman" w:hAnsi="Times New Roman" w:eastAsia="宋体" w:cs="Times New Roman"/>
                      <w:color w:val="auto"/>
                      <w:sz w:val="18"/>
                      <w:szCs w:val="18"/>
                      <w:lang w:eastAsia="zh-CN"/>
                    </w:rPr>
                    <w:t>400吨TL990型电缆耐火密封填料</w:t>
                  </w:r>
                </w:p>
              </w:tc>
              <w:tc>
                <w:tcPr>
                  <w:tcW w:w="841" w:type="pct"/>
                  <w:tcBorders>
                    <w:tl2br w:val="nil"/>
                    <w:tr2bl w:val="nil"/>
                  </w:tcBorders>
                  <w:vAlign w:val="center"/>
                </w:tcPr>
                <w:p w14:paraId="4E8B80DF">
                  <w:pPr>
                    <w:pStyle w:val="4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eastAsia="zh-CN"/>
                    </w:rPr>
                  </w:pPr>
                  <w:r>
                    <w:rPr>
                      <w:rFonts w:hint="eastAsia" w:ascii="Times New Roman" w:hAnsi="Times New Roman" w:cs="Times New Roman"/>
                      <w:color w:val="auto"/>
                      <w:sz w:val="18"/>
                      <w:szCs w:val="18"/>
                      <w:lang w:eastAsia="zh-CN"/>
                    </w:rPr>
                    <w:t>基料</w:t>
                  </w:r>
                </w:p>
              </w:tc>
              <w:tc>
                <w:tcPr>
                  <w:tcW w:w="1425" w:type="pct"/>
                  <w:tcBorders>
                    <w:tl2br w:val="nil"/>
                    <w:tr2bl w:val="nil"/>
                  </w:tcBorders>
                  <w:vAlign w:val="center"/>
                </w:tcPr>
                <w:p w14:paraId="26501794">
                  <w:pPr>
                    <w:pStyle w:val="4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ascii="Times New Roman" w:hAnsi="Times New Roman" w:cs="Times New Roman"/>
                      <w:color w:val="auto"/>
                      <w:sz w:val="18"/>
                      <w:szCs w:val="18"/>
                      <w:lang w:val="en-US" w:eastAsia="zh-CN"/>
                    </w:rPr>
                    <w:t>273</w:t>
                  </w:r>
                  <w:r>
                    <w:rPr>
                      <w:rFonts w:hint="eastAsia" w:ascii="Times New Roman" w:hAnsi="Times New Roman" w:cs="Times New Roman"/>
                      <w:color w:val="auto"/>
                      <w:sz w:val="18"/>
                      <w:szCs w:val="18"/>
                      <w:lang w:eastAsia="zh-CN"/>
                    </w:rPr>
                    <w:t>吨</w:t>
                  </w:r>
                  <w:r>
                    <w:rPr>
                      <w:rFonts w:hint="default" w:ascii="Times New Roman" w:hAnsi="Times New Roman" w:eastAsia="宋体" w:cs="Times New Roman"/>
                      <w:color w:val="auto"/>
                      <w:sz w:val="18"/>
                      <w:szCs w:val="18"/>
                      <w:lang w:eastAsia="zh-CN"/>
                    </w:rPr>
                    <w:t>/年</w:t>
                  </w:r>
                </w:p>
              </w:tc>
              <w:tc>
                <w:tcPr>
                  <w:tcW w:w="983" w:type="pct"/>
                  <w:vMerge w:val="restart"/>
                  <w:tcBorders>
                    <w:tl2br w:val="nil"/>
                    <w:tr2bl w:val="nil"/>
                  </w:tcBorders>
                  <w:vAlign w:val="center"/>
                </w:tcPr>
                <w:p w14:paraId="44D165D9">
                  <w:pPr>
                    <w:pStyle w:val="4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2400小时/年</w:t>
                  </w:r>
                </w:p>
              </w:tc>
            </w:tr>
            <w:tr w14:paraId="373EE365">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231" w:hRule="atLeast"/>
                <w:jc w:val="center"/>
              </w:trPr>
              <w:tc>
                <w:tcPr>
                  <w:tcW w:w="577" w:type="pct"/>
                  <w:tcBorders>
                    <w:tl2br w:val="nil"/>
                    <w:tr2bl w:val="nil"/>
                  </w:tcBorders>
                  <w:vAlign w:val="center"/>
                </w:tcPr>
                <w:p w14:paraId="2FB009FB">
                  <w:pPr>
                    <w:pStyle w:val="4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2</w:t>
                  </w:r>
                </w:p>
              </w:tc>
              <w:tc>
                <w:tcPr>
                  <w:tcW w:w="1173" w:type="pct"/>
                  <w:vMerge w:val="continue"/>
                  <w:tcBorders>
                    <w:tl2br w:val="nil"/>
                    <w:tr2bl w:val="nil"/>
                  </w:tcBorders>
                  <w:vAlign w:val="center"/>
                </w:tcPr>
                <w:p w14:paraId="28C8F9EE">
                  <w:pPr>
                    <w:pStyle w:val="4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eastAsia="zh-CN"/>
                    </w:rPr>
                  </w:pPr>
                </w:p>
              </w:tc>
              <w:tc>
                <w:tcPr>
                  <w:tcW w:w="841" w:type="pct"/>
                  <w:tcBorders>
                    <w:tl2br w:val="nil"/>
                    <w:tr2bl w:val="nil"/>
                  </w:tcBorders>
                  <w:vAlign w:val="center"/>
                </w:tcPr>
                <w:p w14:paraId="2F05A467">
                  <w:pPr>
                    <w:pStyle w:val="4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eastAsia="zh-CN"/>
                    </w:rPr>
                  </w:pPr>
                  <w:r>
                    <w:rPr>
                      <w:rFonts w:hint="eastAsia" w:ascii="Times New Roman" w:hAnsi="Times New Roman" w:cs="Times New Roman"/>
                      <w:color w:val="auto"/>
                      <w:sz w:val="18"/>
                      <w:szCs w:val="18"/>
                      <w:lang w:eastAsia="zh-CN"/>
                    </w:rPr>
                    <w:t>辅助液</w:t>
                  </w:r>
                </w:p>
              </w:tc>
              <w:tc>
                <w:tcPr>
                  <w:tcW w:w="1425" w:type="pct"/>
                  <w:tcBorders>
                    <w:tl2br w:val="nil"/>
                    <w:tr2bl w:val="nil"/>
                  </w:tcBorders>
                  <w:vAlign w:val="center"/>
                </w:tcPr>
                <w:p w14:paraId="6C5D350C">
                  <w:pPr>
                    <w:pStyle w:val="4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ascii="Times New Roman" w:hAnsi="Times New Roman" w:cs="Times New Roman"/>
                      <w:color w:val="auto"/>
                      <w:sz w:val="18"/>
                      <w:szCs w:val="18"/>
                      <w:lang w:val="en-US" w:eastAsia="zh-CN"/>
                    </w:rPr>
                    <w:t>127</w:t>
                  </w:r>
                  <w:r>
                    <w:rPr>
                      <w:rFonts w:hint="eastAsia" w:ascii="Times New Roman" w:hAnsi="Times New Roman" w:cs="Times New Roman"/>
                      <w:color w:val="auto"/>
                      <w:sz w:val="18"/>
                      <w:szCs w:val="18"/>
                      <w:lang w:eastAsia="zh-CN"/>
                    </w:rPr>
                    <w:t>吨</w:t>
                  </w:r>
                  <w:r>
                    <w:rPr>
                      <w:rFonts w:hint="default" w:ascii="Times New Roman" w:hAnsi="Times New Roman" w:eastAsia="宋体" w:cs="Times New Roman"/>
                      <w:color w:val="auto"/>
                      <w:sz w:val="18"/>
                      <w:szCs w:val="18"/>
                      <w:lang w:eastAsia="zh-CN"/>
                    </w:rPr>
                    <w:t>/年</w:t>
                  </w:r>
                </w:p>
              </w:tc>
              <w:tc>
                <w:tcPr>
                  <w:tcW w:w="983" w:type="pct"/>
                  <w:vMerge w:val="continue"/>
                  <w:tcBorders>
                    <w:tl2br w:val="nil"/>
                    <w:tr2bl w:val="nil"/>
                  </w:tcBorders>
                  <w:vAlign w:val="center"/>
                </w:tcPr>
                <w:p w14:paraId="347AA53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kern w:val="0"/>
                      <w:sz w:val="18"/>
                      <w:szCs w:val="18"/>
                    </w:rPr>
                  </w:pPr>
                </w:p>
              </w:tc>
            </w:tr>
            <w:tr w14:paraId="64B19922">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265" w:hRule="atLeast"/>
                <w:jc w:val="center"/>
              </w:trPr>
              <w:tc>
                <w:tcPr>
                  <w:tcW w:w="577" w:type="pct"/>
                  <w:tcBorders>
                    <w:tl2br w:val="nil"/>
                    <w:tr2bl w:val="nil"/>
                  </w:tcBorders>
                  <w:vAlign w:val="center"/>
                </w:tcPr>
                <w:p w14:paraId="267B8939">
                  <w:pPr>
                    <w:pStyle w:val="4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ascii="Times New Roman" w:hAnsi="Times New Roman" w:cs="Times New Roman"/>
                      <w:color w:val="auto"/>
                      <w:sz w:val="18"/>
                      <w:szCs w:val="18"/>
                      <w:lang w:val="en-US" w:eastAsia="zh-CN"/>
                    </w:rPr>
                    <w:t>3</w:t>
                  </w:r>
                </w:p>
              </w:tc>
              <w:tc>
                <w:tcPr>
                  <w:tcW w:w="1173" w:type="pct"/>
                  <w:vMerge w:val="restart"/>
                  <w:tcBorders>
                    <w:tl2br w:val="nil"/>
                    <w:tr2bl w:val="nil"/>
                  </w:tcBorders>
                  <w:vAlign w:val="center"/>
                </w:tcPr>
                <w:p w14:paraId="58E0C376">
                  <w:pPr>
                    <w:pStyle w:val="4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z w:val="18"/>
                      <w:szCs w:val="18"/>
                      <w:lang w:eastAsia="zh-CN"/>
                    </w:rPr>
                  </w:pPr>
                  <w:r>
                    <w:rPr>
                      <w:rFonts w:hint="default" w:ascii="Times New Roman" w:hAnsi="Times New Roman" w:eastAsia="宋体" w:cs="Times New Roman"/>
                      <w:color w:val="auto"/>
                      <w:sz w:val="18"/>
                      <w:szCs w:val="18"/>
                      <w:lang w:eastAsia="zh-CN"/>
                    </w:rPr>
                    <w:t>2万套KP800型电缆耐火密封膨胀堵料</w:t>
                  </w:r>
                </w:p>
              </w:tc>
              <w:tc>
                <w:tcPr>
                  <w:tcW w:w="841" w:type="pct"/>
                  <w:tcBorders>
                    <w:tl2br w:val="nil"/>
                    <w:tr2bl w:val="nil"/>
                  </w:tcBorders>
                  <w:vAlign w:val="center"/>
                </w:tcPr>
                <w:p w14:paraId="5F663601">
                  <w:pPr>
                    <w:pStyle w:val="4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eastAsia="zh-CN"/>
                    </w:rPr>
                  </w:pPr>
                  <w:r>
                    <w:rPr>
                      <w:rFonts w:hint="eastAsia" w:ascii="Times New Roman" w:hAnsi="Times New Roman" w:cs="Times New Roman"/>
                      <w:color w:val="auto"/>
                      <w:sz w:val="18"/>
                      <w:szCs w:val="18"/>
                      <w:lang w:eastAsia="zh-CN"/>
                    </w:rPr>
                    <w:t>膨胀条</w:t>
                  </w:r>
                </w:p>
              </w:tc>
              <w:tc>
                <w:tcPr>
                  <w:tcW w:w="1425" w:type="pct"/>
                  <w:tcBorders>
                    <w:tl2br w:val="nil"/>
                    <w:tr2bl w:val="nil"/>
                  </w:tcBorders>
                  <w:vAlign w:val="center"/>
                </w:tcPr>
                <w:p w14:paraId="246FB6B2">
                  <w:pPr>
                    <w:pStyle w:val="4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ascii="Times New Roman" w:hAnsi="Times New Roman" w:cs="Times New Roman"/>
                      <w:color w:val="auto"/>
                      <w:sz w:val="18"/>
                      <w:szCs w:val="18"/>
                      <w:lang w:val="en-US" w:eastAsia="zh-CN"/>
                    </w:rPr>
                    <w:t>2万套/年（折合约20吨）</w:t>
                  </w:r>
                </w:p>
              </w:tc>
              <w:tc>
                <w:tcPr>
                  <w:tcW w:w="983" w:type="pct"/>
                  <w:vMerge w:val="restart"/>
                  <w:tcBorders>
                    <w:tl2br w:val="nil"/>
                    <w:tr2bl w:val="nil"/>
                  </w:tcBorders>
                  <w:vAlign w:val="center"/>
                </w:tcPr>
                <w:p w14:paraId="362FE60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kern w:val="0"/>
                      <w:sz w:val="18"/>
                      <w:szCs w:val="18"/>
                    </w:rPr>
                  </w:pPr>
                  <w:r>
                    <w:rPr>
                      <w:rFonts w:hint="default" w:ascii="Times New Roman" w:hAnsi="Times New Roman" w:eastAsia="宋体" w:cs="Times New Roman"/>
                      <w:color w:val="auto"/>
                      <w:sz w:val="18"/>
                      <w:szCs w:val="18"/>
                      <w:lang w:val="en-US" w:eastAsia="zh-CN"/>
                    </w:rPr>
                    <w:t>2400小时/年</w:t>
                  </w:r>
                </w:p>
              </w:tc>
            </w:tr>
            <w:tr w14:paraId="581E703D">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258" w:hRule="atLeast"/>
                <w:jc w:val="center"/>
              </w:trPr>
              <w:tc>
                <w:tcPr>
                  <w:tcW w:w="577" w:type="pct"/>
                  <w:tcBorders>
                    <w:tl2br w:val="nil"/>
                    <w:tr2bl w:val="nil"/>
                  </w:tcBorders>
                  <w:vAlign w:val="center"/>
                </w:tcPr>
                <w:p w14:paraId="733DB613">
                  <w:pPr>
                    <w:pStyle w:val="4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ascii="Times New Roman" w:hAnsi="Times New Roman" w:cs="Times New Roman"/>
                      <w:color w:val="auto"/>
                      <w:sz w:val="18"/>
                      <w:szCs w:val="18"/>
                      <w:lang w:val="en-US" w:eastAsia="zh-CN"/>
                    </w:rPr>
                    <w:t>4</w:t>
                  </w:r>
                </w:p>
              </w:tc>
              <w:tc>
                <w:tcPr>
                  <w:tcW w:w="1173" w:type="pct"/>
                  <w:vMerge w:val="continue"/>
                  <w:tcBorders>
                    <w:tl2br w:val="nil"/>
                    <w:tr2bl w:val="nil"/>
                  </w:tcBorders>
                  <w:vAlign w:val="center"/>
                </w:tcPr>
                <w:p w14:paraId="25A6FD8F">
                  <w:pPr>
                    <w:pStyle w:val="4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eastAsia="zh-CN"/>
                    </w:rPr>
                  </w:pPr>
                </w:p>
              </w:tc>
              <w:tc>
                <w:tcPr>
                  <w:tcW w:w="841" w:type="pct"/>
                  <w:tcBorders>
                    <w:tl2br w:val="nil"/>
                    <w:tr2bl w:val="nil"/>
                  </w:tcBorders>
                  <w:vAlign w:val="center"/>
                </w:tcPr>
                <w:p w14:paraId="626DAC86">
                  <w:pPr>
                    <w:pStyle w:val="4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eastAsia="zh-CN"/>
                    </w:rPr>
                  </w:pPr>
                  <w:r>
                    <w:rPr>
                      <w:rFonts w:hint="eastAsia" w:ascii="Times New Roman" w:hAnsi="Times New Roman" w:cs="Times New Roman"/>
                      <w:color w:val="auto"/>
                      <w:sz w:val="18"/>
                      <w:szCs w:val="18"/>
                      <w:lang w:eastAsia="zh-CN"/>
                    </w:rPr>
                    <w:t>膨胀阻燃剂</w:t>
                  </w:r>
                </w:p>
              </w:tc>
              <w:tc>
                <w:tcPr>
                  <w:tcW w:w="1425" w:type="pct"/>
                  <w:tcBorders>
                    <w:tl2br w:val="nil"/>
                    <w:tr2bl w:val="nil"/>
                  </w:tcBorders>
                  <w:vAlign w:val="center"/>
                </w:tcPr>
                <w:p w14:paraId="59B4D71F">
                  <w:pPr>
                    <w:pStyle w:val="45"/>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ascii="Times New Roman" w:hAnsi="Times New Roman" w:cs="Times New Roman"/>
                      <w:color w:val="auto"/>
                      <w:sz w:val="18"/>
                      <w:szCs w:val="18"/>
                      <w:lang w:val="en-US" w:eastAsia="zh-CN"/>
                    </w:rPr>
                    <w:t>2万套/年（折合约80吨）</w:t>
                  </w:r>
                </w:p>
              </w:tc>
              <w:tc>
                <w:tcPr>
                  <w:tcW w:w="983" w:type="pct"/>
                  <w:vMerge w:val="continue"/>
                  <w:tcBorders>
                    <w:tl2br w:val="nil"/>
                    <w:tr2bl w:val="nil"/>
                  </w:tcBorders>
                  <w:vAlign w:val="center"/>
                </w:tcPr>
                <w:p w14:paraId="5C0914D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kern w:val="0"/>
                      <w:sz w:val="18"/>
                      <w:szCs w:val="18"/>
                    </w:rPr>
                  </w:pPr>
                </w:p>
              </w:tc>
            </w:tr>
          </w:tbl>
          <w:p w14:paraId="28E11F19">
            <w:pPr>
              <w:keepNext w:val="0"/>
              <w:keepLines w:val="0"/>
              <w:pageBreakBefore w:val="0"/>
              <w:widowControl w:val="0"/>
              <w:numPr>
                <w:ilvl w:val="0"/>
                <w:numId w:val="0"/>
              </w:numPr>
              <w:suppressLineNumbers w:val="0"/>
              <w:kinsoku/>
              <w:wordWrap/>
              <w:overflowPunct/>
              <w:topLinePunct w:val="0"/>
              <w:autoSpaceDE/>
              <w:autoSpaceDN/>
              <w:bidi w:val="0"/>
              <w:adjustRightInd w:val="0"/>
              <w:snapToGrid w:val="0"/>
              <w:spacing w:before="0" w:beforeAutospacing="0" w:after="0" w:afterAutospacing="0"/>
              <w:ind w:left="480" w:leftChars="200" w:right="0" w:rightChars="0"/>
              <w:textAlignment w:val="auto"/>
              <w:rPr>
                <w:rFonts w:hint="default" w:ascii="Times New Roman" w:hAnsi="Times New Roman" w:eastAsia="宋体" w:cs="Times New Roman"/>
                <w:b/>
                <w:bCs/>
                <w:color w:val="auto"/>
              </w:rPr>
            </w:pPr>
            <w:r>
              <w:rPr>
                <w:rFonts w:hint="default" w:ascii="Times New Roman" w:hAnsi="Times New Roman" w:eastAsia="宋体" w:cs="Times New Roman"/>
                <w:b/>
                <w:bCs/>
                <w:color w:val="auto"/>
                <w:lang w:val="en-US" w:eastAsia="zh-CN"/>
              </w:rPr>
              <w:t>3.</w:t>
            </w:r>
            <w:r>
              <w:rPr>
                <w:rFonts w:hint="default" w:ascii="Times New Roman" w:hAnsi="Times New Roman" w:eastAsia="宋体" w:cs="Times New Roman"/>
                <w:b/>
                <w:bCs/>
                <w:color w:val="auto"/>
              </w:rPr>
              <w:t>主要生产设备</w:t>
            </w:r>
          </w:p>
          <w:p w14:paraId="58CF8F70">
            <w:pPr>
              <w:keepNext w:val="0"/>
              <w:keepLines w:val="0"/>
              <w:suppressLineNumbers w:val="0"/>
              <w:adjustRightInd w:val="0"/>
              <w:snapToGrid w:val="0"/>
              <w:spacing w:before="0" w:beforeAutospacing="0" w:after="0" w:afterAutospacing="0"/>
              <w:ind w:left="0" w:right="0" w:firstLine="480"/>
              <w:rPr>
                <w:rFonts w:hint="default" w:ascii="Times New Roman" w:hAnsi="Times New Roman" w:eastAsia="宋体" w:cs="Times New Roman"/>
                <w:color w:val="auto"/>
              </w:rPr>
            </w:pPr>
            <w:r>
              <w:rPr>
                <w:rFonts w:hint="default" w:ascii="Times New Roman" w:hAnsi="Times New Roman" w:eastAsia="宋体" w:cs="Times New Roman"/>
                <w:color w:val="auto"/>
              </w:rPr>
              <w:t>根据建设单位提供的资料，</w:t>
            </w:r>
            <w:r>
              <w:rPr>
                <w:rFonts w:hint="default" w:ascii="Times New Roman" w:hAnsi="Times New Roman" w:eastAsia="宋体" w:cs="Times New Roman"/>
                <w:color w:val="auto"/>
                <w:lang w:eastAsia="zh-CN"/>
              </w:rPr>
              <w:t>本项目</w:t>
            </w:r>
            <w:r>
              <w:rPr>
                <w:rFonts w:hint="default" w:ascii="Times New Roman" w:hAnsi="Times New Roman" w:eastAsia="宋体" w:cs="Times New Roman"/>
                <w:color w:val="auto"/>
                <w:kern w:val="0"/>
                <w:sz w:val="24"/>
              </w:rPr>
              <w:t>主要</w:t>
            </w:r>
            <w:r>
              <w:rPr>
                <w:rFonts w:hint="default" w:ascii="Times New Roman" w:hAnsi="Times New Roman" w:eastAsia="宋体" w:cs="Times New Roman"/>
                <w:color w:val="auto"/>
                <w:kern w:val="0"/>
                <w:sz w:val="24"/>
                <w:szCs w:val="20"/>
                <w:lang w:val="en-US" w:eastAsia="zh-CN"/>
              </w:rPr>
              <w:t>生产</w:t>
            </w:r>
            <w:r>
              <w:rPr>
                <w:rFonts w:hint="default" w:ascii="Times New Roman" w:hAnsi="Times New Roman" w:eastAsia="宋体" w:cs="Times New Roman"/>
                <w:color w:val="auto"/>
                <w:kern w:val="0"/>
                <w:sz w:val="24"/>
              </w:rPr>
              <w:t>设备情况见</w:t>
            </w:r>
            <w:r>
              <w:rPr>
                <w:rFonts w:hint="default" w:ascii="Times New Roman" w:hAnsi="Times New Roman" w:eastAsia="宋体" w:cs="Times New Roman"/>
                <w:color w:val="auto"/>
              </w:rPr>
              <w:t>表2.1-</w:t>
            </w:r>
            <w:r>
              <w:rPr>
                <w:rFonts w:hint="default" w:ascii="Times New Roman" w:hAnsi="Times New Roman" w:eastAsia="宋体" w:cs="Times New Roman"/>
                <w:color w:val="auto"/>
                <w:lang w:val="en-US" w:eastAsia="zh-CN"/>
              </w:rPr>
              <w:t>3</w:t>
            </w:r>
            <w:r>
              <w:rPr>
                <w:rFonts w:hint="default" w:ascii="Times New Roman" w:hAnsi="Times New Roman" w:eastAsia="宋体" w:cs="Times New Roman"/>
                <w:color w:val="auto"/>
              </w:rPr>
              <w:t>。</w:t>
            </w:r>
          </w:p>
          <w:p w14:paraId="0CBED441">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rPr>
            </w:pPr>
            <w:r>
              <w:rPr>
                <w:rFonts w:hint="default" w:ascii="Times New Roman" w:hAnsi="Times New Roman" w:eastAsia="宋体" w:cs="Times New Roman"/>
                <w:b/>
                <w:bCs/>
                <w:color w:val="auto"/>
              </w:rPr>
              <w:t>表</w:t>
            </w:r>
            <w:r>
              <w:rPr>
                <w:rFonts w:hint="default" w:ascii="Times New Roman" w:hAnsi="Times New Roman" w:eastAsia="宋体" w:cs="Times New Roman"/>
                <w:b/>
                <w:bCs/>
                <w:color w:val="auto"/>
                <w:lang w:val="en-US" w:eastAsia="zh-CN"/>
              </w:rPr>
              <w:t>2.1-3</w:t>
            </w:r>
            <w:r>
              <w:rPr>
                <w:rFonts w:hint="default" w:ascii="Times New Roman" w:hAnsi="Times New Roman" w:eastAsia="宋体" w:cs="Times New Roman"/>
                <w:b/>
                <w:bCs/>
                <w:color w:val="auto"/>
              </w:rPr>
              <w:t xml:space="preserve">  项目</w:t>
            </w:r>
            <w:r>
              <w:rPr>
                <w:rFonts w:hint="eastAsia" w:cs="Times New Roman"/>
                <w:b/>
                <w:bCs/>
                <w:color w:val="auto"/>
                <w:lang w:eastAsia="zh-CN"/>
              </w:rPr>
              <w:t>主要</w:t>
            </w:r>
            <w:r>
              <w:rPr>
                <w:rFonts w:hint="default" w:ascii="Times New Roman" w:hAnsi="Times New Roman" w:eastAsia="宋体" w:cs="Times New Roman"/>
                <w:b/>
                <w:bCs/>
                <w:color w:val="auto"/>
              </w:rPr>
              <w:t>生产设备一览表</w:t>
            </w:r>
          </w:p>
          <w:tbl>
            <w:tblPr>
              <w:tblStyle w:val="27"/>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46"/>
              <w:gridCol w:w="1747"/>
              <w:gridCol w:w="1404"/>
              <w:gridCol w:w="1475"/>
              <w:gridCol w:w="2172"/>
            </w:tblGrid>
            <w:tr w14:paraId="4B1770C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67" w:type="pct"/>
                  <w:tcBorders>
                    <w:tl2br w:val="nil"/>
                    <w:tr2bl w:val="nil"/>
                  </w:tcBorders>
                  <w:noWrap w:val="0"/>
                  <w:vAlign w:val="center"/>
                </w:tcPr>
                <w:p w14:paraId="28CBF43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b/>
                      <w:bCs/>
                      <w:color w:val="auto"/>
                      <w:sz w:val="18"/>
                      <w:szCs w:val="18"/>
                    </w:rPr>
                  </w:pPr>
                  <w:r>
                    <w:rPr>
                      <w:rFonts w:hint="eastAsia" w:ascii="Times New Roman" w:hAnsi="Times New Roman" w:cs="Times New Roman"/>
                      <w:b/>
                      <w:bCs/>
                      <w:color w:val="auto"/>
                      <w:sz w:val="18"/>
                      <w:szCs w:val="18"/>
                      <w:lang w:eastAsia="zh-CN"/>
                    </w:rPr>
                    <w:t>厂区</w:t>
                  </w:r>
                  <w:r>
                    <w:rPr>
                      <w:rFonts w:hint="default" w:ascii="Times New Roman" w:hAnsi="Times New Roman" w:cs="Times New Roman"/>
                      <w:b/>
                      <w:bCs/>
                      <w:color w:val="auto"/>
                      <w:sz w:val="18"/>
                      <w:szCs w:val="18"/>
                    </w:rPr>
                    <w:t>编号</w:t>
                  </w:r>
                </w:p>
              </w:tc>
              <w:tc>
                <w:tcPr>
                  <w:tcW w:w="1113" w:type="pct"/>
                  <w:tcBorders>
                    <w:tl2br w:val="nil"/>
                    <w:tr2bl w:val="nil"/>
                  </w:tcBorders>
                  <w:noWrap w:val="0"/>
                  <w:vAlign w:val="center"/>
                </w:tcPr>
                <w:p w14:paraId="1898F0E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设施名称</w:t>
                  </w:r>
                </w:p>
              </w:tc>
              <w:tc>
                <w:tcPr>
                  <w:tcW w:w="895" w:type="pct"/>
                  <w:tcBorders>
                    <w:tl2br w:val="nil"/>
                    <w:tr2bl w:val="nil"/>
                  </w:tcBorders>
                  <w:noWrap w:val="0"/>
                  <w:vAlign w:val="center"/>
                </w:tcPr>
                <w:p w14:paraId="4182EBC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型号/规格</w:t>
                  </w:r>
                </w:p>
              </w:tc>
              <w:tc>
                <w:tcPr>
                  <w:tcW w:w="940" w:type="pct"/>
                  <w:tcBorders>
                    <w:tl2br w:val="nil"/>
                    <w:tr2bl w:val="nil"/>
                  </w:tcBorders>
                  <w:noWrap w:val="0"/>
                  <w:vAlign w:val="center"/>
                </w:tcPr>
                <w:p w14:paraId="288948D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
                      <w:bCs/>
                      <w:color w:val="auto"/>
                      <w:sz w:val="18"/>
                      <w:szCs w:val="18"/>
                      <w:lang w:eastAsia="zh-CN"/>
                    </w:rPr>
                  </w:pPr>
                  <w:r>
                    <w:rPr>
                      <w:rFonts w:hint="default" w:ascii="Times New Roman" w:hAnsi="Times New Roman" w:cs="Times New Roman"/>
                      <w:b/>
                      <w:bCs/>
                      <w:color w:val="auto"/>
                      <w:sz w:val="18"/>
                      <w:szCs w:val="18"/>
                      <w:lang w:eastAsia="zh-CN"/>
                    </w:rPr>
                    <w:t>数量（台</w:t>
                  </w:r>
                  <w:r>
                    <w:rPr>
                      <w:rFonts w:hint="default" w:ascii="Times New Roman" w:hAnsi="Times New Roman" w:cs="Times New Roman"/>
                      <w:b/>
                      <w:bCs/>
                      <w:color w:val="auto"/>
                      <w:sz w:val="18"/>
                      <w:szCs w:val="18"/>
                      <w:lang w:val="en-US" w:eastAsia="zh-CN"/>
                    </w:rPr>
                    <w:t>/套</w:t>
                  </w:r>
                  <w:r>
                    <w:rPr>
                      <w:rFonts w:hint="default" w:ascii="Times New Roman" w:hAnsi="Times New Roman" w:cs="Times New Roman"/>
                      <w:b/>
                      <w:bCs/>
                      <w:color w:val="auto"/>
                      <w:sz w:val="18"/>
                      <w:szCs w:val="18"/>
                      <w:lang w:eastAsia="zh-CN"/>
                    </w:rPr>
                    <w:t>）</w:t>
                  </w:r>
                </w:p>
              </w:tc>
              <w:tc>
                <w:tcPr>
                  <w:tcW w:w="1384" w:type="pct"/>
                  <w:tcBorders>
                    <w:tl2br w:val="nil"/>
                    <w:tr2bl w:val="nil"/>
                  </w:tcBorders>
                  <w:noWrap w:val="0"/>
                  <w:vAlign w:val="center"/>
                </w:tcPr>
                <w:p w14:paraId="5B8F43F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b/>
                      <w:bCs/>
                      <w:color w:val="auto"/>
                      <w:sz w:val="18"/>
                      <w:szCs w:val="18"/>
                      <w:lang w:eastAsia="zh-CN"/>
                    </w:rPr>
                  </w:pPr>
                  <w:r>
                    <w:rPr>
                      <w:rFonts w:hint="eastAsia" w:ascii="Times New Roman" w:hAnsi="Times New Roman" w:cs="Times New Roman"/>
                      <w:b/>
                      <w:bCs/>
                      <w:color w:val="auto"/>
                      <w:sz w:val="18"/>
                      <w:szCs w:val="18"/>
                      <w:lang w:eastAsia="zh-CN"/>
                    </w:rPr>
                    <w:t>备注</w:t>
                  </w:r>
                </w:p>
              </w:tc>
            </w:tr>
            <w:tr w14:paraId="24464D0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52" w:hRule="atLeast"/>
                <w:jc w:val="center"/>
              </w:trPr>
              <w:tc>
                <w:tcPr>
                  <w:tcW w:w="667" w:type="pct"/>
                  <w:tcBorders>
                    <w:tl2br w:val="nil"/>
                    <w:tr2bl w:val="nil"/>
                  </w:tcBorders>
                  <w:noWrap w:val="0"/>
                  <w:vAlign w:val="center"/>
                </w:tcPr>
                <w:p w14:paraId="6B0EC64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c>
                <w:tcPr>
                  <w:tcW w:w="1113" w:type="pct"/>
                  <w:tcBorders>
                    <w:tl2br w:val="nil"/>
                    <w:tr2bl w:val="nil"/>
                  </w:tcBorders>
                  <w:noWrap w:val="0"/>
                  <w:vAlign w:val="center"/>
                </w:tcPr>
                <w:p w14:paraId="4F03562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液压机</w:t>
                  </w:r>
                </w:p>
              </w:tc>
              <w:tc>
                <w:tcPr>
                  <w:tcW w:w="895" w:type="pct"/>
                  <w:tcBorders>
                    <w:tl2br w:val="nil"/>
                    <w:tr2bl w:val="nil"/>
                  </w:tcBorders>
                  <w:noWrap w:val="0"/>
                  <w:vAlign w:val="center"/>
                </w:tcPr>
                <w:p w14:paraId="539A1B6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YH41-40</w:t>
                  </w:r>
                </w:p>
              </w:tc>
              <w:tc>
                <w:tcPr>
                  <w:tcW w:w="940" w:type="pct"/>
                  <w:tcBorders>
                    <w:tl2br w:val="nil"/>
                    <w:tr2bl w:val="nil"/>
                  </w:tcBorders>
                  <w:noWrap w:val="0"/>
                  <w:vAlign w:val="center"/>
                </w:tcPr>
                <w:p w14:paraId="0A3C6E7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color w:val="auto"/>
                      <w:sz w:val="18"/>
                      <w:szCs w:val="18"/>
                      <w:lang w:val="en-US" w:eastAsia="zh-CN"/>
                    </w:rPr>
                  </w:pPr>
                  <w:r>
                    <w:rPr>
                      <w:rFonts w:hint="eastAsia" w:ascii="Times New Roman" w:hAnsi="Times New Roman" w:cs="Times New Roman"/>
                      <w:color w:val="auto"/>
                      <w:sz w:val="18"/>
                      <w:szCs w:val="18"/>
                      <w:lang w:val="en-US" w:eastAsia="zh-CN"/>
                    </w:rPr>
                    <w:t>1</w:t>
                  </w:r>
                </w:p>
              </w:tc>
              <w:tc>
                <w:tcPr>
                  <w:tcW w:w="1384" w:type="pct"/>
                  <w:tcBorders>
                    <w:tl2br w:val="nil"/>
                    <w:tr2bl w:val="nil"/>
                  </w:tcBorders>
                  <w:noWrap w:val="0"/>
                  <w:vAlign w:val="center"/>
                </w:tcPr>
                <w:p w14:paraId="5BDEF0C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color w:val="auto"/>
                      <w:sz w:val="18"/>
                      <w:szCs w:val="18"/>
                      <w:lang w:val="en-US" w:eastAsia="zh-CN"/>
                    </w:rPr>
                  </w:pPr>
                  <w:r>
                    <w:rPr>
                      <w:rFonts w:hint="eastAsia" w:ascii="Times New Roman" w:hAnsi="Times New Roman" w:cs="Times New Roman"/>
                      <w:color w:val="auto"/>
                      <w:sz w:val="18"/>
                      <w:szCs w:val="18"/>
                      <w:lang w:eastAsia="zh-CN"/>
                    </w:rPr>
                    <w:t>膨胀条生产用</w:t>
                  </w:r>
                </w:p>
              </w:tc>
            </w:tr>
            <w:tr w14:paraId="0D842F0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trPr>
              <w:tc>
                <w:tcPr>
                  <w:tcW w:w="667" w:type="pct"/>
                  <w:tcBorders>
                    <w:tl2br w:val="nil"/>
                    <w:tr2bl w:val="nil"/>
                  </w:tcBorders>
                  <w:noWrap w:val="0"/>
                  <w:vAlign w:val="center"/>
                </w:tcPr>
                <w:p w14:paraId="627F0FB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2</w:t>
                  </w:r>
                </w:p>
              </w:tc>
              <w:tc>
                <w:tcPr>
                  <w:tcW w:w="1113" w:type="pct"/>
                  <w:tcBorders>
                    <w:tl2br w:val="nil"/>
                    <w:tr2bl w:val="nil"/>
                  </w:tcBorders>
                  <w:noWrap w:val="0"/>
                  <w:vAlign w:val="center"/>
                </w:tcPr>
                <w:p w14:paraId="59FDCE1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液压机</w:t>
                  </w:r>
                </w:p>
              </w:tc>
              <w:tc>
                <w:tcPr>
                  <w:tcW w:w="895" w:type="pct"/>
                  <w:tcBorders>
                    <w:tl2br w:val="nil"/>
                    <w:tr2bl w:val="nil"/>
                  </w:tcBorders>
                  <w:noWrap w:val="0"/>
                  <w:vAlign w:val="center"/>
                </w:tcPr>
                <w:p w14:paraId="5077220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Y</w:t>
                  </w:r>
                  <w:r>
                    <w:rPr>
                      <w:rFonts w:hint="default" w:ascii="Times New Roman" w:hAnsi="Times New Roman" w:cs="Times New Roman"/>
                      <w:color w:val="auto"/>
                      <w:sz w:val="18"/>
                      <w:szCs w:val="18"/>
                      <w:lang w:val="en-US" w:eastAsia="zh-CN"/>
                    </w:rPr>
                    <w:t>Y300</w:t>
                  </w:r>
                </w:p>
              </w:tc>
              <w:tc>
                <w:tcPr>
                  <w:tcW w:w="940" w:type="pct"/>
                  <w:tcBorders>
                    <w:tl2br w:val="nil"/>
                    <w:tr2bl w:val="nil"/>
                  </w:tcBorders>
                  <w:noWrap w:val="0"/>
                  <w:vAlign w:val="center"/>
                </w:tcPr>
                <w:p w14:paraId="19F16A4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color w:val="auto"/>
                      <w:sz w:val="18"/>
                      <w:szCs w:val="18"/>
                      <w:lang w:val="en-US" w:eastAsia="zh-CN"/>
                    </w:rPr>
                  </w:pPr>
                  <w:r>
                    <w:rPr>
                      <w:rFonts w:hint="eastAsia" w:ascii="Times New Roman" w:hAnsi="Times New Roman" w:cs="Times New Roman"/>
                      <w:color w:val="auto"/>
                      <w:sz w:val="18"/>
                      <w:szCs w:val="18"/>
                      <w:lang w:val="en-US" w:eastAsia="zh-CN"/>
                    </w:rPr>
                    <w:t>2</w:t>
                  </w:r>
                </w:p>
              </w:tc>
              <w:tc>
                <w:tcPr>
                  <w:tcW w:w="1384" w:type="pct"/>
                  <w:tcBorders>
                    <w:tl2br w:val="nil"/>
                    <w:tr2bl w:val="nil"/>
                  </w:tcBorders>
                  <w:noWrap w:val="0"/>
                  <w:vAlign w:val="center"/>
                </w:tcPr>
                <w:p w14:paraId="0EA41BA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color w:val="auto"/>
                      <w:sz w:val="18"/>
                      <w:szCs w:val="18"/>
                      <w:lang w:val="en-US" w:eastAsia="zh-CN"/>
                    </w:rPr>
                  </w:pPr>
                  <w:r>
                    <w:rPr>
                      <w:rFonts w:hint="eastAsia" w:ascii="Times New Roman" w:hAnsi="Times New Roman" w:cs="Times New Roman"/>
                      <w:color w:val="auto"/>
                      <w:sz w:val="18"/>
                      <w:szCs w:val="18"/>
                      <w:lang w:eastAsia="zh-CN"/>
                    </w:rPr>
                    <w:t>膨胀条生产用</w:t>
                  </w:r>
                </w:p>
              </w:tc>
            </w:tr>
            <w:tr w14:paraId="2DD5384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0" w:hRule="atLeast"/>
                <w:jc w:val="center"/>
              </w:trPr>
              <w:tc>
                <w:tcPr>
                  <w:tcW w:w="667" w:type="pct"/>
                  <w:tcBorders>
                    <w:tl2br w:val="nil"/>
                    <w:tr2bl w:val="nil"/>
                  </w:tcBorders>
                  <w:noWrap w:val="0"/>
                  <w:vAlign w:val="center"/>
                </w:tcPr>
                <w:p w14:paraId="7D58176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3</w:t>
                  </w:r>
                </w:p>
              </w:tc>
              <w:tc>
                <w:tcPr>
                  <w:tcW w:w="1113" w:type="pct"/>
                  <w:tcBorders>
                    <w:tl2br w:val="nil"/>
                    <w:tr2bl w:val="nil"/>
                  </w:tcBorders>
                  <w:noWrap w:val="0"/>
                  <w:vAlign w:val="center"/>
                </w:tcPr>
                <w:p w14:paraId="0F1C3DF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lang w:eastAsia="zh-CN"/>
                    </w:rPr>
                    <w:t>立</w:t>
                  </w:r>
                  <w:r>
                    <w:rPr>
                      <w:rFonts w:hint="default" w:ascii="Times New Roman" w:hAnsi="Times New Roman" w:cs="Times New Roman"/>
                      <w:color w:val="auto"/>
                      <w:sz w:val="18"/>
                      <w:szCs w:val="18"/>
                    </w:rPr>
                    <w:t>切机</w:t>
                  </w:r>
                </w:p>
              </w:tc>
              <w:tc>
                <w:tcPr>
                  <w:tcW w:w="895" w:type="pct"/>
                  <w:tcBorders>
                    <w:tl2br w:val="nil"/>
                    <w:tr2bl w:val="nil"/>
                  </w:tcBorders>
                  <w:noWrap w:val="0"/>
                  <w:vAlign w:val="center"/>
                </w:tcPr>
                <w:p w14:paraId="48ABF13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eastAsia="zh-CN"/>
                    </w:rPr>
                  </w:pPr>
                  <w:r>
                    <w:rPr>
                      <w:rFonts w:hint="default" w:ascii="Times New Roman" w:hAnsi="Times New Roman" w:cs="Times New Roman"/>
                      <w:color w:val="auto"/>
                      <w:sz w:val="18"/>
                      <w:szCs w:val="18"/>
                    </w:rPr>
                    <w:t>ZPJ</w:t>
                  </w:r>
                  <w:r>
                    <w:rPr>
                      <w:rFonts w:hint="default" w:ascii="Times New Roman" w:hAnsi="Times New Roman" w:cs="Times New Roman"/>
                      <w:color w:val="auto"/>
                      <w:sz w:val="18"/>
                      <w:szCs w:val="18"/>
                      <w:lang w:val="en-US" w:eastAsia="zh-CN"/>
                    </w:rPr>
                    <w:t>3</w:t>
                  </w:r>
                </w:p>
              </w:tc>
              <w:tc>
                <w:tcPr>
                  <w:tcW w:w="940" w:type="pct"/>
                  <w:tcBorders>
                    <w:tl2br w:val="nil"/>
                    <w:tr2bl w:val="nil"/>
                  </w:tcBorders>
                  <w:noWrap w:val="0"/>
                  <w:vAlign w:val="center"/>
                </w:tcPr>
                <w:p w14:paraId="41B8387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cs="Times New Roman" w:eastAsiaTheme="minorEastAsia"/>
                      <w:color w:val="auto"/>
                      <w:sz w:val="18"/>
                      <w:szCs w:val="18"/>
                      <w:lang w:val="en-US" w:eastAsia="zh-CN"/>
                    </w:rPr>
                  </w:pPr>
                  <w:r>
                    <w:rPr>
                      <w:rFonts w:hint="eastAsia" w:ascii="Times New Roman" w:hAnsi="Times New Roman" w:cs="Times New Roman"/>
                      <w:color w:val="auto"/>
                      <w:sz w:val="18"/>
                      <w:szCs w:val="18"/>
                      <w:lang w:val="en-US" w:eastAsia="zh-CN"/>
                    </w:rPr>
                    <w:t>1</w:t>
                  </w:r>
                </w:p>
              </w:tc>
              <w:tc>
                <w:tcPr>
                  <w:tcW w:w="1384" w:type="pct"/>
                  <w:tcBorders>
                    <w:tl2br w:val="nil"/>
                    <w:tr2bl w:val="nil"/>
                  </w:tcBorders>
                  <w:noWrap w:val="0"/>
                  <w:vAlign w:val="center"/>
                </w:tcPr>
                <w:p w14:paraId="27A86A4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cs="Times New Roman" w:eastAsiaTheme="minorEastAsia"/>
                      <w:color w:val="auto"/>
                      <w:sz w:val="18"/>
                      <w:szCs w:val="18"/>
                      <w:lang w:eastAsia="zh-CN"/>
                    </w:rPr>
                  </w:pPr>
                  <w:r>
                    <w:rPr>
                      <w:rFonts w:hint="eastAsia" w:ascii="Times New Roman" w:hAnsi="Times New Roman" w:cs="Times New Roman"/>
                      <w:color w:val="auto"/>
                      <w:sz w:val="18"/>
                      <w:szCs w:val="18"/>
                      <w:lang w:eastAsia="zh-CN"/>
                    </w:rPr>
                    <w:t>膨胀条生产用</w:t>
                  </w:r>
                </w:p>
              </w:tc>
            </w:tr>
            <w:tr w14:paraId="55CEB5D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188" w:hRule="atLeast"/>
                <w:jc w:val="center"/>
              </w:trPr>
              <w:tc>
                <w:tcPr>
                  <w:tcW w:w="667" w:type="pct"/>
                  <w:tcBorders>
                    <w:tl2br w:val="nil"/>
                    <w:tr2bl w:val="nil"/>
                  </w:tcBorders>
                  <w:noWrap w:val="0"/>
                  <w:vAlign w:val="center"/>
                </w:tcPr>
                <w:p w14:paraId="5317337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4</w:t>
                  </w:r>
                </w:p>
              </w:tc>
              <w:tc>
                <w:tcPr>
                  <w:tcW w:w="1113" w:type="pct"/>
                  <w:tcBorders>
                    <w:tl2br w:val="nil"/>
                    <w:tr2bl w:val="nil"/>
                  </w:tcBorders>
                  <w:noWrap w:val="0"/>
                  <w:vAlign w:val="center"/>
                </w:tcPr>
                <w:p w14:paraId="44FF934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平切机</w:t>
                  </w:r>
                </w:p>
              </w:tc>
              <w:tc>
                <w:tcPr>
                  <w:tcW w:w="895" w:type="pct"/>
                  <w:tcBorders>
                    <w:tl2br w:val="nil"/>
                    <w:tr2bl w:val="nil"/>
                  </w:tcBorders>
                  <w:noWrap w:val="0"/>
                  <w:vAlign w:val="center"/>
                </w:tcPr>
                <w:p w14:paraId="4FB2FC2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eastAsia="zh-CN"/>
                    </w:rPr>
                  </w:pPr>
                  <w:r>
                    <w:rPr>
                      <w:rFonts w:hint="default" w:ascii="Times New Roman" w:hAnsi="Times New Roman" w:cs="Times New Roman"/>
                      <w:color w:val="auto"/>
                      <w:sz w:val="18"/>
                      <w:szCs w:val="18"/>
                    </w:rPr>
                    <w:t>ZPJ</w:t>
                  </w:r>
                  <w:r>
                    <w:rPr>
                      <w:rFonts w:hint="default" w:ascii="Times New Roman" w:hAnsi="Times New Roman" w:cs="Times New Roman"/>
                      <w:color w:val="auto"/>
                      <w:sz w:val="18"/>
                      <w:szCs w:val="18"/>
                      <w:lang w:val="en-US" w:eastAsia="zh-CN"/>
                    </w:rPr>
                    <w:t>6</w:t>
                  </w:r>
                </w:p>
              </w:tc>
              <w:tc>
                <w:tcPr>
                  <w:tcW w:w="940" w:type="pct"/>
                  <w:tcBorders>
                    <w:tl2br w:val="nil"/>
                    <w:tr2bl w:val="nil"/>
                  </w:tcBorders>
                  <w:noWrap w:val="0"/>
                  <w:vAlign w:val="center"/>
                </w:tcPr>
                <w:p w14:paraId="3D658A9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cs="Times New Roman" w:eastAsiaTheme="minorEastAsia"/>
                      <w:color w:val="auto"/>
                      <w:sz w:val="18"/>
                      <w:szCs w:val="18"/>
                      <w:lang w:val="en-US" w:eastAsia="zh-CN"/>
                    </w:rPr>
                  </w:pPr>
                  <w:r>
                    <w:rPr>
                      <w:rFonts w:hint="eastAsia" w:ascii="Times New Roman" w:hAnsi="Times New Roman" w:cs="Times New Roman"/>
                      <w:color w:val="auto"/>
                      <w:sz w:val="18"/>
                      <w:szCs w:val="18"/>
                      <w:lang w:val="en-US" w:eastAsia="zh-CN"/>
                    </w:rPr>
                    <w:t>2</w:t>
                  </w:r>
                </w:p>
              </w:tc>
              <w:tc>
                <w:tcPr>
                  <w:tcW w:w="1384" w:type="pct"/>
                  <w:tcBorders>
                    <w:tl2br w:val="nil"/>
                    <w:tr2bl w:val="nil"/>
                  </w:tcBorders>
                  <w:noWrap w:val="0"/>
                  <w:vAlign w:val="center"/>
                </w:tcPr>
                <w:p w14:paraId="3EA48B9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color w:val="auto"/>
                      <w:sz w:val="18"/>
                      <w:szCs w:val="18"/>
                    </w:rPr>
                  </w:pPr>
                  <w:r>
                    <w:rPr>
                      <w:rFonts w:hint="eastAsia" w:ascii="Times New Roman" w:hAnsi="Times New Roman" w:cs="Times New Roman"/>
                      <w:color w:val="auto"/>
                      <w:sz w:val="18"/>
                      <w:szCs w:val="18"/>
                      <w:lang w:eastAsia="zh-CN"/>
                    </w:rPr>
                    <w:t>膨胀条生产用</w:t>
                  </w:r>
                </w:p>
              </w:tc>
            </w:tr>
            <w:tr w14:paraId="78DC589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17" w:hRule="atLeast"/>
                <w:jc w:val="center"/>
              </w:trPr>
              <w:tc>
                <w:tcPr>
                  <w:tcW w:w="667" w:type="pct"/>
                  <w:tcBorders>
                    <w:tl2br w:val="nil"/>
                    <w:tr2bl w:val="nil"/>
                  </w:tcBorders>
                  <w:noWrap w:val="0"/>
                  <w:vAlign w:val="center"/>
                </w:tcPr>
                <w:p w14:paraId="7A6F0B9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5</w:t>
                  </w:r>
                </w:p>
              </w:tc>
              <w:tc>
                <w:tcPr>
                  <w:tcW w:w="1113" w:type="pct"/>
                  <w:tcBorders>
                    <w:tl2br w:val="nil"/>
                    <w:tr2bl w:val="nil"/>
                  </w:tcBorders>
                  <w:noWrap w:val="0"/>
                  <w:vAlign w:val="center"/>
                </w:tcPr>
                <w:p w14:paraId="20CAB84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搅拌机</w:t>
                  </w:r>
                </w:p>
              </w:tc>
              <w:tc>
                <w:tcPr>
                  <w:tcW w:w="895" w:type="pct"/>
                  <w:tcBorders>
                    <w:tl2br w:val="nil"/>
                    <w:tr2bl w:val="nil"/>
                  </w:tcBorders>
                  <w:noWrap w:val="0"/>
                  <w:vAlign w:val="center"/>
                </w:tcPr>
                <w:p w14:paraId="662EDB9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lang w:val="en-US" w:eastAsia="zh-CN"/>
                    </w:rPr>
                    <w:t>JQ40</w:t>
                  </w:r>
                  <w:r>
                    <w:rPr>
                      <w:rFonts w:hint="default" w:ascii="Times New Roman" w:hAnsi="Times New Roman" w:cs="Times New Roman"/>
                      <w:color w:val="auto"/>
                      <w:sz w:val="18"/>
                      <w:szCs w:val="18"/>
                    </w:rPr>
                    <w:t>0型</w:t>
                  </w:r>
                </w:p>
              </w:tc>
              <w:tc>
                <w:tcPr>
                  <w:tcW w:w="940" w:type="pct"/>
                  <w:tcBorders>
                    <w:tl2br w:val="nil"/>
                    <w:tr2bl w:val="nil"/>
                  </w:tcBorders>
                  <w:noWrap w:val="0"/>
                  <w:vAlign w:val="center"/>
                </w:tcPr>
                <w:p w14:paraId="1B5DBA0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cs="Times New Roman" w:eastAsiaTheme="minorEastAsia"/>
                      <w:color w:val="auto"/>
                      <w:sz w:val="18"/>
                      <w:szCs w:val="18"/>
                      <w:lang w:val="en-US" w:eastAsia="zh-CN"/>
                    </w:rPr>
                  </w:pPr>
                  <w:r>
                    <w:rPr>
                      <w:rFonts w:hint="eastAsia" w:cs="Times New Roman"/>
                      <w:color w:val="auto"/>
                      <w:sz w:val="18"/>
                      <w:szCs w:val="18"/>
                      <w:lang w:val="en-US" w:eastAsia="zh-CN"/>
                    </w:rPr>
                    <w:t>2</w:t>
                  </w:r>
                </w:p>
              </w:tc>
              <w:tc>
                <w:tcPr>
                  <w:tcW w:w="1384" w:type="pct"/>
                  <w:tcBorders>
                    <w:tl2br w:val="nil"/>
                    <w:tr2bl w:val="nil"/>
                  </w:tcBorders>
                  <w:noWrap w:val="0"/>
                  <w:vAlign w:val="center"/>
                </w:tcPr>
                <w:p w14:paraId="3FA7A13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cs="Times New Roman" w:eastAsiaTheme="minorEastAsia"/>
                      <w:color w:val="auto"/>
                      <w:sz w:val="18"/>
                      <w:szCs w:val="18"/>
                      <w:lang w:eastAsia="zh-CN"/>
                    </w:rPr>
                  </w:pPr>
                  <w:r>
                    <w:rPr>
                      <w:rFonts w:hint="eastAsia" w:ascii="Times New Roman" w:hAnsi="Times New Roman" w:cs="Times New Roman"/>
                      <w:color w:val="auto"/>
                      <w:sz w:val="18"/>
                      <w:szCs w:val="18"/>
                      <w:lang w:eastAsia="zh-CN"/>
                    </w:rPr>
                    <w:t>基料生产用</w:t>
                  </w:r>
                </w:p>
              </w:tc>
            </w:tr>
            <w:tr w14:paraId="0562D91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75" w:hRule="atLeast"/>
                <w:jc w:val="center"/>
              </w:trPr>
              <w:tc>
                <w:tcPr>
                  <w:tcW w:w="667" w:type="pct"/>
                  <w:tcBorders>
                    <w:tl2br w:val="nil"/>
                    <w:tr2bl w:val="nil"/>
                  </w:tcBorders>
                  <w:noWrap w:val="0"/>
                  <w:vAlign w:val="center"/>
                </w:tcPr>
                <w:p w14:paraId="0A1086C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6</w:t>
                  </w:r>
                </w:p>
              </w:tc>
              <w:tc>
                <w:tcPr>
                  <w:tcW w:w="1113" w:type="pct"/>
                  <w:tcBorders>
                    <w:tl2br w:val="nil"/>
                    <w:tr2bl w:val="nil"/>
                  </w:tcBorders>
                  <w:noWrap w:val="0"/>
                  <w:vAlign w:val="center"/>
                </w:tcPr>
                <w:p w14:paraId="185F1E5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切割机</w:t>
                  </w:r>
                </w:p>
              </w:tc>
              <w:tc>
                <w:tcPr>
                  <w:tcW w:w="895" w:type="pct"/>
                  <w:tcBorders>
                    <w:tl2br w:val="nil"/>
                    <w:tr2bl w:val="nil"/>
                  </w:tcBorders>
                  <w:noWrap w:val="0"/>
                  <w:vAlign w:val="center"/>
                </w:tcPr>
                <w:p w14:paraId="4AFE2F6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T3G2-400</w:t>
                  </w:r>
                </w:p>
              </w:tc>
              <w:tc>
                <w:tcPr>
                  <w:tcW w:w="940" w:type="pct"/>
                  <w:tcBorders>
                    <w:tl2br w:val="nil"/>
                    <w:tr2bl w:val="nil"/>
                  </w:tcBorders>
                  <w:noWrap w:val="0"/>
                  <w:vAlign w:val="center"/>
                </w:tcPr>
                <w:p w14:paraId="3A9AA27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cs="Times New Roman" w:eastAsiaTheme="minorEastAsia"/>
                      <w:color w:val="auto"/>
                      <w:sz w:val="18"/>
                      <w:szCs w:val="18"/>
                      <w:lang w:val="en-US" w:eastAsia="zh-CN"/>
                    </w:rPr>
                  </w:pPr>
                  <w:r>
                    <w:rPr>
                      <w:rFonts w:hint="eastAsia" w:ascii="Times New Roman" w:hAnsi="Times New Roman" w:cs="Times New Roman"/>
                      <w:color w:val="auto"/>
                      <w:sz w:val="18"/>
                      <w:szCs w:val="18"/>
                      <w:lang w:val="en-US" w:eastAsia="zh-CN"/>
                    </w:rPr>
                    <w:t>1</w:t>
                  </w:r>
                </w:p>
              </w:tc>
              <w:tc>
                <w:tcPr>
                  <w:tcW w:w="1384" w:type="pct"/>
                  <w:tcBorders>
                    <w:tl2br w:val="nil"/>
                    <w:tr2bl w:val="nil"/>
                  </w:tcBorders>
                  <w:noWrap w:val="0"/>
                  <w:vAlign w:val="center"/>
                </w:tcPr>
                <w:p w14:paraId="5826509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color w:val="auto"/>
                      <w:sz w:val="18"/>
                      <w:szCs w:val="18"/>
                    </w:rPr>
                  </w:pPr>
                  <w:r>
                    <w:rPr>
                      <w:rFonts w:hint="eastAsia" w:ascii="Times New Roman" w:hAnsi="Times New Roman" w:cs="Times New Roman"/>
                      <w:color w:val="auto"/>
                      <w:sz w:val="18"/>
                      <w:szCs w:val="18"/>
                      <w:lang w:eastAsia="zh-CN"/>
                    </w:rPr>
                    <w:t>膨胀条生产用</w:t>
                  </w:r>
                </w:p>
              </w:tc>
            </w:tr>
            <w:tr w14:paraId="5DCB693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41" w:hRule="atLeast"/>
                <w:jc w:val="center"/>
              </w:trPr>
              <w:tc>
                <w:tcPr>
                  <w:tcW w:w="667" w:type="pct"/>
                  <w:tcBorders>
                    <w:tl2br w:val="nil"/>
                    <w:tr2bl w:val="nil"/>
                  </w:tcBorders>
                  <w:noWrap w:val="0"/>
                  <w:vAlign w:val="center"/>
                </w:tcPr>
                <w:p w14:paraId="4B1B751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8</w:t>
                  </w:r>
                </w:p>
              </w:tc>
              <w:tc>
                <w:tcPr>
                  <w:tcW w:w="1113" w:type="pct"/>
                  <w:tcBorders>
                    <w:tl2br w:val="nil"/>
                    <w:tr2bl w:val="nil"/>
                  </w:tcBorders>
                  <w:noWrap w:val="0"/>
                  <w:vAlign w:val="center"/>
                </w:tcPr>
                <w:p w14:paraId="6041410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推车</w:t>
                  </w:r>
                </w:p>
              </w:tc>
              <w:tc>
                <w:tcPr>
                  <w:tcW w:w="895" w:type="pct"/>
                  <w:tcBorders>
                    <w:tl2br w:val="nil"/>
                    <w:tr2bl w:val="nil"/>
                  </w:tcBorders>
                  <w:noWrap w:val="0"/>
                  <w:vAlign w:val="center"/>
                </w:tcPr>
                <w:p w14:paraId="33520AB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200KG</w:t>
                  </w:r>
                </w:p>
              </w:tc>
              <w:tc>
                <w:tcPr>
                  <w:tcW w:w="940" w:type="pct"/>
                  <w:tcBorders>
                    <w:tl2br w:val="nil"/>
                    <w:tr2bl w:val="nil"/>
                  </w:tcBorders>
                  <w:noWrap w:val="0"/>
                  <w:vAlign w:val="center"/>
                </w:tcPr>
                <w:p w14:paraId="6E0D6C4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cs="Times New Roman" w:eastAsiaTheme="minorEastAsia"/>
                      <w:color w:val="auto"/>
                      <w:sz w:val="18"/>
                      <w:szCs w:val="18"/>
                      <w:lang w:val="en-US" w:eastAsia="zh-CN"/>
                    </w:rPr>
                  </w:pPr>
                  <w:r>
                    <w:rPr>
                      <w:rFonts w:hint="eastAsia" w:ascii="Times New Roman" w:hAnsi="Times New Roman" w:cs="Times New Roman"/>
                      <w:color w:val="auto"/>
                      <w:sz w:val="18"/>
                      <w:szCs w:val="18"/>
                      <w:lang w:val="en-US" w:eastAsia="zh-CN"/>
                    </w:rPr>
                    <w:t>1</w:t>
                  </w:r>
                </w:p>
              </w:tc>
              <w:tc>
                <w:tcPr>
                  <w:tcW w:w="1384" w:type="pct"/>
                  <w:tcBorders>
                    <w:tl2br w:val="nil"/>
                    <w:tr2bl w:val="nil"/>
                  </w:tcBorders>
                  <w:noWrap w:val="0"/>
                  <w:vAlign w:val="center"/>
                </w:tcPr>
                <w:p w14:paraId="444D7F4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color w:val="auto"/>
                      <w:sz w:val="18"/>
                      <w:szCs w:val="18"/>
                    </w:rPr>
                  </w:pPr>
                  <w:r>
                    <w:rPr>
                      <w:rFonts w:hint="eastAsia" w:ascii="Times New Roman" w:hAnsi="Times New Roman" w:cs="Times New Roman"/>
                      <w:color w:val="auto"/>
                      <w:sz w:val="18"/>
                      <w:szCs w:val="18"/>
                      <w:lang w:eastAsia="zh-CN"/>
                    </w:rPr>
                    <w:t>共用</w:t>
                  </w:r>
                </w:p>
              </w:tc>
            </w:tr>
            <w:tr w14:paraId="7E5B4CB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88" w:hRule="atLeast"/>
                <w:jc w:val="center"/>
              </w:trPr>
              <w:tc>
                <w:tcPr>
                  <w:tcW w:w="667" w:type="pct"/>
                  <w:tcBorders>
                    <w:tl2br w:val="nil"/>
                    <w:tr2bl w:val="nil"/>
                  </w:tcBorders>
                  <w:noWrap w:val="0"/>
                  <w:vAlign w:val="center"/>
                </w:tcPr>
                <w:p w14:paraId="463BFE6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9</w:t>
                  </w:r>
                </w:p>
              </w:tc>
              <w:tc>
                <w:tcPr>
                  <w:tcW w:w="1113" w:type="pct"/>
                  <w:tcBorders>
                    <w:tl2br w:val="nil"/>
                    <w:tr2bl w:val="nil"/>
                  </w:tcBorders>
                  <w:noWrap w:val="0"/>
                  <w:vAlign w:val="center"/>
                </w:tcPr>
                <w:p w14:paraId="03E7EA0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微型搅拌机</w:t>
                  </w:r>
                </w:p>
              </w:tc>
              <w:tc>
                <w:tcPr>
                  <w:tcW w:w="895" w:type="pct"/>
                  <w:tcBorders>
                    <w:tl2br w:val="nil"/>
                    <w:tr2bl w:val="nil"/>
                  </w:tcBorders>
                  <w:noWrap w:val="0"/>
                  <w:vAlign w:val="center"/>
                </w:tcPr>
                <w:p w14:paraId="0924CD9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10KG</w:t>
                  </w:r>
                </w:p>
              </w:tc>
              <w:tc>
                <w:tcPr>
                  <w:tcW w:w="940" w:type="pct"/>
                  <w:tcBorders>
                    <w:tl2br w:val="nil"/>
                    <w:tr2bl w:val="nil"/>
                  </w:tcBorders>
                  <w:noWrap w:val="0"/>
                  <w:vAlign w:val="center"/>
                </w:tcPr>
                <w:p w14:paraId="7DB758F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cs="Times New Roman" w:eastAsiaTheme="minorEastAsia"/>
                      <w:color w:val="auto"/>
                      <w:sz w:val="18"/>
                      <w:szCs w:val="18"/>
                      <w:lang w:val="en-US" w:eastAsia="zh-CN"/>
                    </w:rPr>
                  </w:pPr>
                  <w:r>
                    <w:rPr>
                      <w:rFonts w:hint="eastAsia" w:ascii="Times New Roman" w:hAnsi="Times New Roman" w:cs="Times New Roman"/>
                      <w:color w:val="auto"/>
                      <w:sz w:val="18"/>
                      <w:szCs w:val="18"/>
                      <w:lang w:val="en-US" w:eastAsia="zh-CN"/>
                    </w:rPr>
                    <w:t>1</w:t>
                  </w:r>
                </w:p>
              </w:tc>
              <w:tc>
                <w:tcPr>
                  <w:tcW w:w="1384" w:type="pct"/>
                  <w:tcBorders>
                    <w:tl2br w:val="nil"/>
                    <w:tr2bl w:val="nil"/>
                  </w:tcBorders>
                  <w:noWrap w:val="0"/>
                  <w:vAlign w:val="center"/>
                </w:tcPr>
                <w:p w14:paraId="17EFDA8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cs="Times New Roman" w:eastAsiaTheme="minorEastAsia"/>
                      <w:color w:val="auto"/>
                      <w:sz w:val="18"/>
                      <w:szCs w:val="18"/>
                      <w:lang w:eastAsia="zh-CN"/>
                    </w:rPr>
                  </w:pPr>
                  <w:r>
                    <w:rPr>
                      <w:rFonts w:hint="eastAsia" w:ascii="Times New Roman" w:hAnsi="Times New Roman" w:cs="Times New Roman"/>
                      <w:color w:val="auto"/>
                      <w:sz w:val="18"/>
                      <w:szCs w:val="18"/>
                      <w:lang w:eastAsia="zh-CN"/>
                    </w:rPr>
                    <w:t>辅助液及阻燃剂生产用</w:t>
                  </w:r>
                </w:p>
              </w:tc>
            </w:tr>
            <w:tr w14:paraId="0C09760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77" w:hRule="atLeast"/>
                <w:jc w:val="center"/>
              </w:trPr>
              <w:tc>
                <w:tcPr>
                  <w:tcW w:w="667" w:type="pct"/>
                  <w:tcBorders>
                    <w:tl2br w:val="nil"/>
                    <w:tr2bl w:val="nil"/>
                  </w:tcBorders>
                  <w:noWrap w:val="0"/>
                  <w:vAlign w:val="center"/>
                </w:tcPr>
                <w:p w14:paraId="09B6794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10</w:t>
                  </w:r>
                </w:p>
              </w:tc>
              <w:tc>
                <w:tcPr>
                  <w:tcW w:w="1113" w:type="pct"/>
                  <w:tcBorders>
                    <w:tl2br w:val="nil"/>
                    <w:tr2bl w:val="nil"/>
                  </w:tcBorders>
                  <w:noWrap w:val="0"/>
                  <w:vAlign w:val="center"/>
                </w:tcPr>
                <w:p w14:paraId="48A2B0C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配料</w:t>
                  </w:r>
                  <w:r>
                    <w:rPr>
                      <w:rFonts w:hint="default" w:ascii="Times New Roman" w:hAnsi="Times New Roman" w:cs="Times New Roman"/>
                      <w:color w:val="auto"/>
                      <w:sz w:val="18"/>
                      <w:szCs w:val="18"/>
                      <w:lang w:eastAsia="zh-CN"/>
                    </w:rPr>
                    <w:t>桶</w:t>
                  </w:r>
                </w:p>
              </w:tc>
              <w:tc>
                <w:tcPr>
                  <w:tcW w:w="895" w:type="pct"/>
                  <w:tcBorders>
                    <w:tl2br w:val="nil"/>
                    <w:tr2bl w:val="nil"/>
                  </w:tcBorders>
                  <w:noWrap w:val="0"/>
                  <w:vAlign w:val="center"/>
                </w:tcPr>
                <w:p w14:paraId="70C46A4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1000L</w:t>
                  </w:r>
                </w:p>
              </w:tc>
              <w:tc>
                <w:tcPr>
                  <w:tcW w:w="940" w:type="pct"/>
                  <w:tcBorders>
                    <w:tl2br w:val="nil"/>
                    <w:tr2bl w:val="nil"/>
                  </w:tcBorders>
                  <w:noWrap w:val="0"/>
                  <w:vAlign w:val="center"/>
                </w:tcPr>
                <w:p w14:paraId="33A30EC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cs="Times New Roman" w:eastAsiaTheme="minorEastAsia"/>
                      <w:color w:val="auto"/>
                      <w:sz w:val="18"/>
                      <w:szCs w:val="18"/>
                      <w:lang w:val="en-US" w:eastAsia="zh-CN"/>
                    </w:rPr>
                  </w:pPr>
                  <w:r>
                    <w:rPr>
                      <w:rFonts w:hint="eastAsia" w:ascii="Times New Roman" w:hAnsi="Times New Roman" w:cs="Times New Roman"/>
                      <w:color w:val="auto"/>
                      <w:sz w:val="18"/>
                      <w:szCs w:val="18"/>
                      <w:lang w:val="en-US" w:eastAsia="zh-CN"/>
                    </w:rPr>
                    <w:t>4</w:t>
                  </w:r>
                </w:p>
              </w:tc>
              <w:tc>
                <w:tcPr>
                  <w:tcW w:w="1384" w:type="pct"/>
                  <w:tcBorders>
                    <w:tl2br w:val="nil"/>
                    <w:tr2bl w:val="nil"/>
                  </w:tcBorders>
                  <w:noWrap w:val="0"/>
                  <w:vAlign w:val="center"/>
                </w:tcPr>
                <w:p w14:paraId="778FC3A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color w:val="auto"/>
                      <w:sz w:val="18"/>
                      <w:szCs w:val="18"/>
                    </w:rPr>
                  </w:pPr>
                  <w:r>
                    <w:rPr>
                      <w:rFonts w:hint="eastAsia" w:cs="Times New Roman"/>
                      <w:color w:val="auto"/>
                      <w:sz w:val="18"/>
                      <w:szCs w:val="18"/>
                      <w:lang w:eastAsia="zh-CN"/>
                    </w:rPr>
                    <w:t>基料、</w:t>
                  </w:r>
                  <w:r>
                    <w:rPr>
                      <w:rFonts w:hint="eastAsia" w:ascii="Times New Roman" w:hAnsi="Times New Roman" w:cs="Times New Roman"/>
                      <w:color w:val="auto"/>
                      <w:sz w:val="18"/>
                      <w:szCs w:val="18"/>
                      <w:lang w:eastAsia="zh-CN"/>
                    </w:rPr>
                    <w:t>辅助液生产用</w:t>
                  </w:r>
                </w:p>
              </w:tc>
            </w:tr>
            <w:tr w14:paraId="63A81BD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667" w:type="pct"/>
                  <w:tcBorders>
                    <w:tl2br w:val="nil"/>
                    <w:tr2bl w:val="nil"/>
                  </w:tcBorders>
                  <w:noWrap w:val="0"/>
                  <w:vAlign w:val="center"/>
                </w:tcPr>
                <w:p w14:paraId="05372FC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11</w:t>
                  </w:r>
                </w:p>
              </w:tc>
              <w:tc>
                <w:tcPr>
                  <w:tcW w:w="1113" w:type="pct"/>
                  <w:tcBorders>
                    <w:tl2br w:val="nil"/>
                    <w:tr2bl w:val="nil"/>
                  </w:tcBorders>
                  <w:noWrap w:val="0"/>
                  <w:vAlign w:val="center"/>
                </w:tcPr>
                <w:p w14:paraId="4A2F525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配料</w:t>
                  </w:r>
                  <w:r>
                    <w:rPr>
                      <w:rFonts w:hint="default" w:ascii="Times New Roman" w:hAnsi="Times New Roman" w:cs="Times New Roman"/>
                      <w:color w:val="auto"/>
                      <w:sz w:val="18"/>
                      <w:szCs w:val="18"/>
                      <w:lang w:eastAsia="zh-CN"/>
                    </w:rPr>
                    <w:t>桶</w:t>
                  </w:r>
                </w:p>
              </w:tc>
              <w:tc>
                <w:tcPr>
                  <w:tcW w:w="895" w:type="pct"/>
                  <w:tcBorders>
                    <w:tl2br w:val="nil"/>
                    <w:tr2bl w:val="nil"/>
                  </w:tcBorders>
                  <w:noWrap w:val="0"/>
                  <w:vAlign w:val="center"/>
                </w:tcPr>
                <w:p w14:paraId="05296F6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500L</w:t>
                  </w:r>
                </w:p>
              </w:tc>
              <w:tc>
                <w:tcPr>
                  <w:tcW w:w="940" w:type="pct"/>
                  <w:tcBorders>
                    <w:tl2br w:val="nil"/>
                    <w:tr2bl w:val="nil"/>
                  </w:tcBorders>
                  <w:noWrap w:val="0"/>
                  <w:vAlign w:val="center"/>
                </w:tcPr>
                <w:p w14:paraId="0AFE5C3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cs="Times New Roman" w:eastAsiaTheme="minorEastAsia"/>
                      <w:color w:val="auto"/>
                      <w:sz w:val="18"/>
                      <w:szCs w:val="18"/>
                      <w:lang w:val="en-US" w:eastAsia="zh-CN"/>
                    </w:rPr>
                  </w:pPr>
                  <w:r>
                    <w:rPr>
                      <w:rFonts w:hint="eastAsia" w:ascii="Times New Roman" w:hAnsi="Times New Roman" w:cs="Times New Roman"/>
                      <w:color w:val="auto"/>
                      <w:sz w:val="18"/>
                      <w:szCs w:val="18"/>
                      <w:lang w:val="en-US" w:eastAsia="zh-CN"/>
                    </w:rPr>
                    <w:t>1</w:t>
                  </w:r>
                </w:p>
              </w:tc>
              <w:tc>
                <w:tcPr>
                  <w:tcW w:w="1384" w:type="pct"/>
                  <w:tcBorders>
                    <w:tl2br w:val="nil"/>
                    <w:tr2bl w:val="nil"/>
                  </w:tcBorders>
                  <w:noWrap w:val="0"/>
                  <w:vAlign w:val="center"/>
                </w:tcPr>
                <w:p w14:paraId="06286E3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color w:val="auto"/>
                      <w:sz w:val="18"/>
                      <w:szCs w:val="18"/>
                    </w:rPr>
                  </w:pPr>
                  <w:r>
                    <w:rPr>
                      <w:rFonts w:hint="eastAsia" w:ascii="Times New Roman" w:hAnsi="Times New Roman" w:cs="Times New Roman"/>
                      <w:color w:val="auto"/>
                      <w:sz w:val="18"/>
                      <w:szCs w:val="18"/>
                      <w:lang w:eastAsia="zh-CN"/>
                    </w:rPr>
                    <w:t>阻燃剂生产用</w:t>
                  </w:r>
                </w:p>
              </w:tc>
            </w:tr>
            <w:tr w14:paraId="4685277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77" w:hRule="atLeast"/>
                <w:jc w:val="center"/>
              </w:trPr>
              <w:tc>
                <w:tcPr>
                  <w:tcW w:w="667" w:type="pct"/>
                  <w:tcBorders>
                    <w:tl2br w:val="nil"/>
                    <w:tr2bl w:val="nil"/>
                  </w:tcBorders>
                  <w:noWrap w:val="0"/>
                  <w:vAlign w:val="center"/>
                </w:tcPr>
                <w:p w14:paraId="33FFF70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12</w:t>
                  </w:r>
                </w:p>
              </w:tc>
              <w:tc>
                <w:tcPr>
                  <w:tcW w:w="1113" w:type="pct"/>
                  <w:tcBorders>
                    <w:tl2br w:val="nil"/>
                    <w:tr2bl w:val="nil"/>
                  </w:tcBorders>
                  <w:noWrap w:val="0"/>
                  <w:vAlign w:val="center"/>
                </w:tcPr>
                <w:p w14:paraId="4860DD5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lang w:eastAsia="zh-CN"/>
                    </w:rPr>
                    <w:t>热</w:t>
                  </w:r>
                  <w:r>
                    <w:rPr>
                      <w:rFonts w:hint="default" w:ascii="Times New Roman" w:hAnsi="Times New Roman" w:cs="Times New Roman"/>
                      <w:color w:val="auto"/>
                      <w:sz w:val="18"/>
                      <w:szCs w:val="18"/>
                    </w:rPr>
                    <w:t>收缩</w:t>
                  </w:r>
                  <w:r>
                    <w:rPr>
                      <w:rFonts w:hint="default" w:ascii="Times New Roman" w:hAnsi="Times New Roman" w:cs="Times New Roman"/>
                      <w:color w:val="auto"/>
                      <w:sz w:val="18"/>
                      <w:szCs w:val="18"/>
                      <w:lang w:eastAsia="zh-CN"/>
                    </w:rPr>
                    <w:t>包装</w:t>
                  </w:r>
                  <w:r>
                    <w:rPr>
                      <w:rFonts w:hint="default" w:ascii="Times New Roman" w:hAnsi="Times New Roman" w:cs="Times New Roman"/>
                      <w:color w:val="auto"/>
                      <w:sz w:val="18"/>
                      <w:szCs w:val="18"/>
                    </w:rPr>
                    <w:t>机</w:t>
                  </w:r>
                </w:p>
              </w:tc>
              <w:tc>
                <w:tcPr>
                  <w:tcW w:w="895" w:type="pct"/>
                  <w:tcBorders>
                    <w:tl2br w:val="nil"/>
                    <w:tr2bl w:val="nil"/>
                  </w:tcBorders>
                  <w:noWrap w:val="0"/>
                  <w:vAlign w:val="center"/>
                </w:tcPr>
                <w:p w14:paraId="4EDE6DC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BS</w:t>
                  </w:r>
                  <w:r>
                    <w:rPr>
                      <w:rFonts w:hint="default" w:ascii="Times New Roman" w:hAnsi="Times New Roman" w:cs="Times New Roman"/>
                      <w:color w:val="auto"/>
                      <w:sz w:val="18"/>
                      <w:szCs w:val="18"/>
                    </w:rPr>
                    <w:t>型</w:t>
                  </w:r>
                </w:p>
              </w:tc>
              <w:tc>
                <w:tcPr>
                  <w:tcW w:w="940" w:type="pct"/>
                  <w:tcBorders>
                    <w:tl2br w:val="nil"/>
                    <w:tr2bl w:val="nil"/>
                  </w:tcBorders>
                  <w:noWrap w:val="0"/>
                  <w:vAlign w:val="center"/>
                </w:tcPr>
                <w:p w14:paraId="2C61EBE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cs="Times New Roman" w:eastAsiaTheme="minorEastAsia"/>
                      <w:color w:val="auto"/>
                      <w:sz w:val="18"/>
                      <w:szCs w:val="18"/>
                      <w:lang w:val="en-US" w:eastAsia="zh-CN"/>
                    </w:rPr>
                  </w:pPr>
                  <w:r>
                    <w:rPr>
                      <w:rFonts w:hint="eastAsia" w:ascii="Times New Roman" w:hAnsi="Times New Roman" w:cs="Times New Roman"/>
                      <w:color w:val="auto"/>
                      <w:sz w:val="18"/>
                      <w:szCs w:val="18"/>
                      <w:lang w:val="en-US" w:eastAsia="zh-CN"/>
                    </w:rPr>
                    <w:t>1</w:t>
                  </w:r>
                </w:p>
              </w:tc>
              <w:tc>
                <w:tcPr>
                  <w:tcW w:w="1384" w:type="pct"/>
                  <w:tcBorders>
                    <w:tl2br w:val="nil"/>
                    <w:tr2bl w:val="nil"/>
                  </w:tcBorders>
                  <w:noWrap w:val="0"/>
                  <w:vAlign w:val="center"/>
                </w:tcPr>
                <w:p w14:paraId="740C5B3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cs="Times New Roman" w:eastAsiaTheme="minorEastAsia"/>
                      <w:color w:val="auto"/>
                      <w:sz w:val="18"/>
                      <w:szCs w:val="18"/>
                      <w:lang w:eastAsia="zh-CN"/>
                    </w:rPr>
                  </w:pPr>
                  <w:r>
                    <w:rPr>
                      <w:rFonts w:hint="eastAsia" w:ascii="Times New Roman" w:hAnsi="Times New Roman" w:cs="Times New Roman"/>
                      <w:color w:val="auto"/>
                      <w:sz w:val="18"/>
                      <w:szCs w:val="18"/>
                      <w:lang w:eastAsia="zh-CN"/>
                    </w:rPr>
                    <w:t>膨胀条生产用</w:t>
                  </w:r>
                </w:p>
              </w:tc>
            </w:tr>
            <w:tr w14:paraId="763C309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30" w:hRule="atLeast"/>
                <w:jc w:val="center"/>
              </w:trPr>
              <w:tc>
                <w:tcPr>
                  <w:tcW w:w="667" w:type="pct"/>
                  <w:tcBorders>
                    <w:tl2br w:val="nil"/>
                    <w:tr2bl w:val="nil"/>
                  </w:tcBorders>
                  <w:noWrap w:val="0"/>
                  <w:vAlign w:val="center"/>
                </w:tcPr>
                <w:p w14:paraId="0369BC7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13</w:t>
                  </w:r>
                </w:p>
              </w:tc>
              <w:tc>
                <w:tcPr>
                  <w:tcW w:w="1113" w:type="pct"/>
                  <w:tcBorders>
                    <w:tl2br w:val="nil"/>
                    <w:tr2bl w:val="nil"/>
                  </w:tcBorders>
                  <w:noWrap w:val="0"/>
                  <w:vAlign w:val="center"/>
                </w:tcPr>
                <w:p w14:paraId="1CFF361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打包机</w:t>
                  </w:r>
                </w:p>
              </w:tc>
              <w:tc>
                <w:tcPr>
                  <w:tcW w:w="895" w:type="pct"/>
                  <w:tcBorders>
                    <w:tl2br w:val="nil"/>
                    <w:tr2bl w:val="nil"/>
                  </w:tcBorders>
                  <w:noWrap w:val="0"/>
                  <w:vAlign w:val="center"/>
                </w:tcPr>
                <w:p w14:paraId="1032839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74型</w:t>
                  </w:r>
                </w:p>
              </w:tc>
              <w:tc>
                <w:tcPr>
                  <w:tcW w:w="940" w:type="pct"/>
                  <w:tcBorders>
                    <w:tl2br w:val="nil"/>
                    <w:tr2bl w:val="nil"/>
                  </w:tcBorders>
                  <w:noWrap w:val="0"/>
                  <w:vAlign w:val="center"/>
                </w:tcPr>
                <w:p w14:paraId="046C0A2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cs="Times New Roman" w:eastAsiaTheme="minorEastAsia"/>
                      <w:color w:val="auto"/>
                      <w:sz w:val="18"/>
                      <w:szCs w:val="18"/>
                      <w:lang w:val="en-US" w:eastAsia="zh-CN"/>
                    </w:rPr>
                  </w:pPr>
                  <w:r>
                    <w:rPr>
                      <w:rFonts w:hint="eastAsia" w:ascii="Times New Roman" w:hAnsi="Times New Roman" w:cs="Times New Roman"/>
                      <w:color w:val="auto"/>
                      <w:sz w:val="18"/>
                      <w:szCs w:val="18"/>
                      <w:lang w:val="en-US" w:eastAsia="zh-CN"/>
                    </w:rPr>
                    <w:t>2</w:t>
                  </w:r>
                </w:p>
              </w:tc>
              <w:tc>
                <w:tcPr>
                  <w:tcW w:w="1384" w:type="pct"/>
                  <w:tcBorders>
                    <w:tl2br w:val="nil"/>
                    <w:tr2bl w:val="nil"/>
                  </w:tcBorders>
                  <w:noWrap w:val="0"/>
                  <w:vAlign w:val="center"/>
                </w:tcPr>
                <w:p w14:paraId="7BE19EE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color w:val="auto"/>
                      <w:sz w:val="18"/>
                      <w:szCs w:val="18"/>
                    </w:rPr>
                  </w:pPr>
                  <w:r>
                    <w:rPr>
                      <w:rFonts w:hint="eastAsia" w:ascii="Times New Roman" w:hAnsi="Times New Roman" w:cs="Times New Roman"/>
                      <w:color w:val="auto"/>
                      <w:sz w:val="18"/>
                      <w:szCs w:val="18"/>
                      <w:lang w:eastAsia="zh-CN"/>
                    </w:rPr>
                    <w:t>膨胀条生产用</w:t>
                  </w:r>
                </w:p>
              </w:tc>
            </w:tr>
            <w:tr w14:paraId="1E825C1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64" w:hRule="atLeast"/>
                <w:jc w:val="center"/>
              </w:trPr>
              <w:tc>
                <w:tcPr>
                  <w:tcW w:w="667" w:type="pct"/>
                  <w:tcBorders>
                    <w:tl2br w:val="nil"/>
                    <w:tr2bl w:val="nil"/>
                  </w:tcBorders>
                  <w:noWrap w:val="0"/>
                  <w:vAlign w:val="center"/>
                </w:tcPr>
                <w:p w14:paraId="777EA2C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14</w:t>
                  </w:r>
                </w:p>
              </w:tc>
              <w:tc>
                <w:tcPr>
                  <w:tcW w:w="1113" w:type="pct"/>
                  <w:tcBorders>
                    <w:tl2br w:val="nil"/>
                    <w:tr2bl w:val="nil"/>
                  </w:tcBorders>
                  <w:noWrap w:val="0"/>
                  <w:vAlign w:val="center"/>
                </w:tcPr>
                <w:p w14:paraId="700BAE1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脚踏式封口机</w:t>
                  </w:r>
                </w:p>
              </w:tc>
              <w:tc>
                <w:tcPr>
                  <w:tcW w:w="895" w:type="pct"/>
                  <w:tcBorders>
                    <w:tl2br w:val="nil"/>
                    <w:tr2bl w:val="nil"/>
                  </w:tcBorders>
                  <w:noWrap w:val="0"/>
                  <w:vAlign w:val="center"/>
                </w:tcPr>
                <w:p w14:paraId="3A75484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SF-B800</w:t>
                  </w:r>
                </w:p>
              </w:tc>
              <w:tc>
                <w:tcPr>
                  <w:tcW w:w="940" w:type="pct"/>
                  <w:tcBorders>
                    <w:tl2br w:val="nil"/>
                    <w:tr2bl w:val="nil"/>
                  </w:tcBorders>
                  <w:noWrap w:val="0"/>
                  <w:vAlign w:val="center"/>
                </w:tcPr>
                <w:p w14:paraId="7119B93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cs="Times New Roman" w:eastAsiaTheme="minorEastAsia"/>
                      <w:color w:val="auto"/>
                      <w:sz w:val="18"/>
                      <w:szCs w:val="18"/>
                      <w:lang w:val="en-US" w:eastAsia="zh-CN"/>
                    </w:rPr>
                  </w:pPr>
                  <w:r>
                    <w:rPr>
                      <w:rFonts w:hint="eastAsia" w:ascii="Times New Roman" w:hAnsi="Times New Roman" w:cs="Times New Roman"/>
                      <w:color w:val="auto"/>
                      <w:sz w:val="18"/>
                      <w:szCs w:val="18"/>
                      <w:lang w:val="en-US" w:eastAsia="zh-CN"/>
                    </w:rPr>
                    <w:t>2</w:t>
                  </w:r>
                </w:p>
              </w:tc>
              <w:tc>
                <w:tcPr>
                  <w:tcW w:w="1384" w:type="pct"/>
                  <w:tcBorders>
                    <w:tl2br w:val="nil"/>
                    <w:tr2bl w:val="nil"/>
                  </w:tcBorders>
                  <w:noWrap w:val="0"/>
                  <w:vAlign w:val="center"/>
                </w:tcPr>
                <w:p w14:paraId="345399F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color w:val="auto"/>
                      <w:sz w:val="18"/>
                      <w:szCs w:val="18"/>
                    </w:rPr>
                  </w:pPr>
                  <w:r>
                    <w:rPr>
                      <w:rFonts w:hint="eastAsia" w:ascii="Times New Roman" w:hAnsi="Times New Roman" w:cs="Times New Roman"/>
                      <w:color w:val="auto"/>
                      <w:sz w:val="18"/>
                      <w:szCs w:val="18"/>
                      <w:lang w:eastAsia="zh-CN"/>
                    </w:rPr>
                    <w:t>膨胀条生产用</w:t>
                  </w:r>
                </w:p>
              </w:tc>
            </w:tr>
            <w:tr w14:paraId="7F4F16F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667" w:type="pct"/>
                  <w:tcBorders>
                    <w:tl2br w:val="nil"/>
                    <w:tr2bl w:val="nil"/>
                  </w:tcBorders>
                  <w:noWrap w:val="0"/>
                  <w:vAlign w:val="center"/>
                </w:tcPr>
                <w:p w14:paraId="7DA40A0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15</w:t>
                  </w:r>
                </w:p>
              </w:tc>
              <w:tc>
                <w:tcPr>
                  <w:tcW w:w="1113" w:type="pct"/>
                  <w:tcBorders>
                    <w:tl2br w:val="nil"/>
                    <w:tr2bl w:val="nil"/>
                  </w:tcBorders>
                  <w:noWrap w:val="0"/>
                  <w:vAlign w:val="center"/>
                </w:tcPr>
                <w:p w14:paraId="2ABA3E0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lang w:eastAsia="zh-CN"/>
                    </w:rPr>
                    <w:t>空压机</w:t>
                  </w:r>
                </w:p>
              </w:tc>
              <w:tc>
                <w:tcPr>
                  <w:tcW w:w="895" w:type="pct"/>
                  <w:tcBorders>
                    <w:tl2br w:val="nil"/>
                    <w:tr2bl w:val="nil"/>
                  </w:tcBorders>
                  <w:noWrap w:val="0"/>
                  <w:vAlign w:val="center"/>
                </w:tcPr>
                <w:p w14:paraId="75F4283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V/1.05/10</w:t>
                  </w:r>
                </w:p>
              </w:tc>
              <w:tc>
                <w:tcPr>
                  <w:tcW w:w="940" w:type="pct"/>
                  <w:tcBorders>
                    <w:tl2br w:val="nil"/>
                    <w:tr2bl w:val="nil"/>
                  </w:tcBorders>
                  <w:noWrap w:val="0"/>
                  <w:vAlign w:val="center"/>
                </w:tcPr>
                <w:p w14:paraId="10278BB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cs="Times New Roman" w:eastAsiaTheme="minorEastAsia"/>
                      <w:color w:val="auto"/>
                      <w:sz w:val="18"/>
                      <w:szCs w:val="18"/>
                      <w:lang w:val="en-US" w:eastAsia="zh-CN"/>
                    </w:rPr>
                  </w:pPr>
                  <w:r>
                    <w:rPr>
                      <w:rFonts w:hint="eastAsia" w:ascii="Times New Roman" w:hAnsi="Times New Roman" w:cs="Times New Roman"/>
                      <w:color w:val="auto"/>
                      <w:sz w:val="18"/>
                      <w:szCs w:val="18"/>
                      <w:lang w:val="en-US" w:eastAsia="zh-CN"/>
                    </w:rPr>
                    <w:t>1</w:t>
                  </w:r>
                </w:p>
              </w:tc>
              <w:tc>
                <w:tcPr>
                  <w:tcW w:w="1384" w:type="pct"/>
                  <w:tcBorders>
                    <w:tl2br w:val="nil"/>
                    <w:tr2bl w:val="nil"/>
                  </w:tcBorders>
                  <w:noWrap w:val="0"/>
                  <w:vAlign w:val="center"/>
                </w:tcPr>
                <w:p w14:paraId="6417049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cs="Times New Roman" w:eastAsiaTheme="minorEastAsia"/>
                      <w:color w:val="auto"/>
                      <w:sz w:val="18"/>
                      <w:szCs w:val="18"/>
                      <w:lang w:eastAsia="zh-CN"/>
                    </w:rPr>
                  </w:pPr>
                  <w:r>
                    <w:rPr>
                      <w:rFonts w:hint="eastAsia" w:ascii="Times New Roman" w:hAnsi="Times New Roman" w:cs="Times New Roman"/>
                      <w:color w:val="auto"/>
                      <w:sz w:val="18"/>
                      <w:szCs w:val="18"/>
                      <w:lang w:eastAsia="zh-CN"/>
                    </w:rPr>
                    <w:t>共用</w:t>
                  </w:r>
                </w:p>
              </w:tc>
            </w:tr>
            <w:tr w14:paraId="4499F46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53" w:hRule="atLeast"/>
                <w:jc w:val="center"/>
              </w:trPr>
              <w:tc>
                <w:tcPr>
                  <w:tcW w:w="667" w:type="pct"/>
                  <w:tcBorders>
                    <w:tl2br w:val="nil"/>
                    <w:tr2bl w:val="nil"/>
                  </w:tcBorders>
                  <w:noWrap w:val="0"/>
                  <w:vAlign w:val="center"/>
                </w:tcPr>
                <w:p w14:paraId="027CD83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16</w:t>
                  </w:r>
                </w:p>
              </w:tc>
              <w:tc>
                <w:tcPr>
                  <w:tcW w:w="1113" w:type="pct"/>
                  <w:tcBorders>
                    <w:tl2br w:val="nil"/>
                    <w:tr2bl w:val="nil"/>
                  </w:tcBorders>
                  <w:noWrap w:val="0"/>
                  <w:vAlign w:val="center"/>
                </w:tcPr>
                <w:p w14:paraId="1550E06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lang w:eastAsia="zh-CN"/>
                    </w:rPr>
                    <w:t>堵料锯槽机</w:t>
                  </w:r>
                </w:p>
              </w:tc>
              <w:tc>
                <w:tcPr>
                  <w:tcW w:w="895" w:type="pct"/>
                  <w:tcBorders>
                    <w:tl2br w:val="nil"/>
                    <w:tr2bl w:val="nil"/>
                  </w:tcBorders>
                  <w:noWrap w:val="0"/>
                  <w:vAlign w:val="center"/>
                </w:tcPr>
                <w:p w14:paraId="57822E6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SJ-II型</w:t>
                  </w:r>
                </w:p>
              </w:tc>
              <w:tc>
                <w:tcPr>
                  <w:tcW w:w="940" w:type="pct"/>
                  <w:tcBorders>
                    <w:tl2br w:val="nil"/>
                    <w:tr2bl w:val="nil"/>
                  </w:tcBorders>
                  <w:noWrap w:val="0"/>
                  <w:vAlign w:val="center"/>
                </w:tcPr>
                <w:p w14:paraId="0C64DE1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cs="Times New Roman" w:eastAsiaTheme="minorEastAsia"/>
                      <w:color w:val="auto"/>
                      <w:sz w:val="18"/>
                      <w:szCs w:val="18"/>
                      <w:lang w:val="en-US" w:eastAsia="zh-CN"/>
                    </w:rPr>
                  </w:pPr>
                  <w:r>
                    <w:rPr>
                      <w:rFonts w:hint="eastAsia" w:ascii="Times New Roman" w:hAnsi="Times New Roman" w:cs="Times New Roman"/>
                      <w:color w:val="auto"/>
                      <w:sz w:val="18"/>
                      <w:szCs w:val="18"/>
                      <w:lang w:val="en-US" w:eastAsia="zh-CN"/>
                    </w:rPr>
                    <w:t>1</w:t>
                  </w:r>
                </w:p>
              </w:tc>
              <w:tc>
                <w:tcPr>
                  <w:tcW w:w="1384" w:type="pct"/>
                  <w:tcBorders>
                    <w:tl2br w:val="nil"/>
                    <w:tr2bl w:val="nil"/>
                  </w:tcBorders>
                  <w:noWrap w:val="0"/>
                  <w:vAlign w:val="center"/>
                </w:tcPr>
                <w:p w14:paraId="425DAD1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cs="Times New Roman" w:eastAsiaTheme="minorEastAsia"/>
                      <w:color w:val="auto"/>
                      <w:sz w:val="18"/>
                      <w:szCs w:val="18"/>
                      <w:lang w:eastAsia="zh-CN"/>
                    </w:rPr>
                  </w:pPr>
                  <w:r>
                    <w:rPr>
                      <w:rFonts w:hint="eastAsia" w:ascii="Times New Roman" w:hAnsi="Times New Roman" w:cs="Times New Roman"/>
                      <w:color w:val="auto"/>
                      <w:sz w:val="18"/>
                      <w:szCs w:val="18"/>
                      <w:lang w:eastAsia="zh-CN"/>
                    </w:rPr>
                    <w:t>膨胀条生产用</w:t>
                  </w:r>
                </w:p>
              </w:tc>
            </w:tr>
            <w:tr w14:paraId="3B01E09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72" w:hRule="atLeast"/>
                <w:jc w:val="center"/>
              </w:trPr>
              <w:tc>
                <w:tcPr>
                  <w:tcW w:w="667" w:type="pct"/>
                  <w:tcBorders>
                    <w:tl2br w:val="nil"/>
                    <w:tr2bl w:val="nil"/>
                  </w:tcBorders>
                  <w:noWrap w:val="0"/>
                  <w:vAlign w:val="center"/>
                </w:tcPr>
                <w:p w14:paraId="37F88A5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17</w:t>
                  </w:r>
                </w:p>
              </w:tc>
              <w:tc>
                <w:tcPr>
                  <w:tcW w:w="1113" w:type="pct"/>
                  <w:tcBorders>
                    <w:tl2br w:val="nil"/>
                    <w:tr2bl w:val="nil"/>
                  </w:tcBorders>
                  <w:noWrap w:val="0"/>
                  <w:vAlign w:val="center"/>
                </w:tcPr>
                <w:p w14:paraId="6E3665D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lang w:eastAsia="zh-CN"/>
                    </w:rPr>
                    <w:t>台秤</w:t>
                  </w:r>
                </w:p>
              </w:tc>
              <w:tc>
                <w:tcPr>
                  <w:tcW w:w="895" w:type="pct"/>
                  <w:tcBorders>
                    <w:tl2br w:val="nil"/>
                    <w:tr2bl w:val="nil"/>
                  </w:tcBorders>
                  <w:noWrap w:val="0"/>
                  <w:vAlign w:val="center"/>
                </w:tcPr>
                <w:p w14:paraId="71DA32D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TCS-200</w:t>
                  </w:r>
                </w:p>
              </w:tc>
              <w:tc>
                <w:tcPr>
                  <w:tcW w:w="940" w:type="pct"/>
                  <w:tcBorders>
                    <w:tl2br w:val="nil"/>
                    <w:tr2bl w:val="nil"/>
                  </w:tcBorders>
                  <w:noWrap w:val="0"/>
                  <w:vAlign w:val="center"/>
                </w:tcPr>
                <w:p w14:paraId="5475D38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cs="Times New Roman" w:eastAsiaTheme="minorEastAsia"/>
                      <w:color w:val="auto"/>
                      <w:sz w:val="18"/>
                      <w:szCs w:val="18"/>
                      <w:lang w:val="en-US" w:eastAsia="zh-CN"/>
                    </w:rPr>
                  </w:pPr>
                  <w:r>
                    <w:rPr>
                      <w:rFonts w:hint="eastAsia" w:ascii="Times New Roman" w:hAnsi="Times New Roman" w:cs="Times New Roman"/>
                      <w:color w:val="auto"/>
                      <w:sz w:val="18"/>
                      <w:szCs w:val="18"/>
                      <w:lang w:val="en-US" w:eastAsia="zh-CN"/>
                    </w:rPr>
                    <w:t>1</w:t>
                  </w:r>
                </w:p>
              </w:tc>
              <w:tc>
                <w:tcPr>
                  <w:tcW w:w="1384" w:type="pct"/>
                  <w:tcBorders>
                    <w:tl2br w:val="nil"/>
                    <w:tr2bl w:val="nil"/>
                  </w:tcBorders>
                  <w:noWrap w:val="0"/>
                  <w:vAlign w:val="center"/>
                </w:tcPr>
                <w:p w14:paraId="17D59D4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color w:val="auto"/>
                      <w:sz w:val="18"/>
                      <w:szCs w:val="18"/>
                    </w:rPr>
                  </w:pPr>
                  <w:r>
                    <w:rPr>
                      <w:rFonts w:hint="eastAsia" w:ascii="Times New Roman" w:hAnsi="Times New Roman" w:cs="Times New Roman"/>
                      <w:color w:val="auto"/>
                      <w:sz w:val="18"/>
                      <w:szCs w:val="18"/>
                      <w:lang w:eastAsia="zh-CN"/>
                    </w:rPr>
                    <w:t>共用</w:t>
                  </w:r>
                </w:p>
              </w:tc>
            </w:tr>
          </w:tbl>
          <w:p w14:paraId="3BB66404">
            <w:pPr>
              <w:keepNext w:val="0"/>
              <w:keepLines w:val="0"/>
              <w:pageBreakBefore w:val="0"/>
              <w:widowControl w:val="0"/>
              <w:numPr>
                <w:ilvl w:val="0"/>
                <w:numId w:val="0"/>
              </w:numPr>
              <w:suppressLineNumbers w:val="0"/>
              <w:kinsoku/>
              <w:wordWrap/>
              <w:overflowPunct/>
              <w:topLinePunct w:val="0"/>
              <w:autoSpaceDE/>
              <w:autoSpaceDN/>
              <w:bidi w:val="0"/>
              <w:adjustRightInd w:val="0"/>
              <w:snapToGrid w:val="0"/>
              <w:spacing w:before="156" w:beforeLines="50" w:beforeAutospacing="0" w:after="0" w:afterAutospacing="0"/>
              <w:ind w:left="480" w:leftChars="200" w:right="0" w:rightChars="0"/>
              <w:textAlignment w:val="auto"/>
              <w:rPr>
                <w:rFonts w:hint="default" w:ascii="Times New Roman" w:hAnsi="Times New Roman" w:eastAsia="宋体" w:cs="Times New Roman"/>
                <w:b/>
                <w:bCs/>
                <w:color w:val="auto"/>
              </w:rPr>
            </w:pPr>
            <w:r>
              <w:rPr>
                <w:rFonts w:hint="default" w:ascii="Times New Roman" w:hAnsi="Times New Roman" w:eastAsia="宋体" w:cs="Times New Roman"/>
                <w:b/>
                <w:bCs/>
                <w:color w:val="auto"/>
                <w:lang w:val="en-US" w:eastAsia="zh-CN"/>
              </w:rPr>
              <w:t>4.</w:t>
            </w:r>
            <w:r>
              <w:rPr>
                <w:rFonts w:hint="default" w:ascii="Times New Roman" w:hAnsi="Times New Roman" w:eastAsia="宋体" w:cs="Times New Roman"/>
                <w:b/>
                <w:bCs/>
                <w:color w:val="auto"/>
              </w:rPr>
              <w:t>主要原辅材料、能源及理化性质</w:t>
            </w:r>
          </w:p>
          <w:p w14:paraId="3ACB7AAB">
            <w:pPr>
              <w:keepNext w:val="0"/>
              <w:keepLines w:val="0"/>
              <w:suppressLineNumbers w:val="0"/>
              <w:adjustRightInd w:val="0"/>
              <w:snapToGrid w:val="0"/>
              <w:spacing w:before="0" w:beforeAutospacing="0" w:after="0" w:afterAutospacing="0"/>
              <w:ind w:left="0" w:right="0" w:firstLine="480"/>
              <w:rPr>
                <w:rFonts w:hint="default" w:ascii="Times New Roman" w:hAnsi="Times New Roman" w:eastAsia="宋体" w:cs="Times New Roman"/>
                <w:color w:val="auto"/>
              </w:rPr>
            </w:pPr>
            <w:r>
              <w:rPr>
                <w:rFonts w:hint="default" w:ascii="Times New Roman" w:hAnsi="Times New Roman" w:eastAsia="宋体" w:cs="Times New Roman"/>
                <w:color w:val="auto"/>
              </w:rPr>
              <w:t>根据建设单位提供的资料，</w:t>
            </w:r>
            <w:r>
              <w:rPr>
                <w:rFonts w:hint="default" w:ascii="Times New Roman" w:hAnsi="Times New Roman" w:eastAsia="宋体" w:cs="Times New Roman"/>
                <w:color w:val="auto"/>
                <w:lang w:val="en-US" w:eastAsia="zh-CN"/>
              </w:rPr>
              <w:t>建设项目</w:t>
            </w:r>
            <w:r>
              <w:rPr>
                <w:rFonts w:hint="default" w:ascii="Times New Roman" w:hAnsi="Times New Roman" w:eastAsia="宋体" w:cs="Times New Roman"/>
                <w:color w:val="auto"/>
              </w:rPr>
              <w:t>主要原辅料见表2.1-</w:t>
            </w:r>
            <w:r>
              <w:rPr>
                <w:rFonts w:hint="default" w:ascii="Times New Roman" w:hAnsi="Times New Roman" w:eastAsia="宋体" w:cs="Times New Roman"/>
                <w:color w:val="auto"/>
                <w:lang w:val="en-US" w:eastAsia="zh-CN"/>
              </w:rPr>
              <w:t>4</w:t>
            </w:r>
            <w:r>
              <w:rPr>
                <w:rFonts w:hint="eastAsia" w:cs="Times New Roman"/>
                <w:color w:val="auto"/>
                <w:lang w:val="en-US" w:eastAsia="zh-CN"/>
              </w:rPr>
              <w:t>、2.1-5、2.1-6、2.1-7</w:t>
            </w:r>
            <w:r>
              <w:rPr>
                <w:rFonts w:hint="default" w:ascii="Times New Roman" w:hAnsi="Times New Roman" w:eastAsia="宋体" w:cs="Times New Roman"/>
                <w:color w:val="auto"/>
              </w:rPr>
              <w:t>，</w:t>
            </w:r>
            <w:r>
              <w:rPr>
                <w:rFonts w:hint="default" w:ascii="Times New Roman" w:hAnsi="Times New Roman" w:eastAsia="宋体" w:cs="Times New Roman"/>
                <w:color w:val="auto"/>
                <w:lang w:val="en-US" w:eastAsia="zh-CN"/>
              </w:rPr>
              <w:t>建设项目</w:t>
            </w:r>
            <w:r>
              <w:rPr>
                <w:rFonts w:hint="default" w:ascii="Times New Roman" w:hAnsi="Times New Roman" w:eastAsia="宋体" w:cs="Times New Roman"/>
                <w:color w:val="auto"/>
              </w:rPr>
              <w:t>主要原辅料理化性质见表2.1-</w:t>
            </w:r>
            <w:r>
              <w:rPr>
                <w:rFonts w:hint="eastAsia" w:cs="Times New Roman"/>
                <w:color w:val="auto"/>
                <w:lang w:val="en-US" w:eastAsia="zh-CN"/>
              </w:rPr>
              <w:t>8</w:t>
            </w:r>
            <w:r>
              <w:rPr>
                <w:rFonts w:hint="default" w:ascii="Times New Roman" w:hAnsi="Times New Roman" w:eastAsia="宋体" w:cs="Times New Roman"/>
                <w:color w:val="auto"/>
              </w:rPr>
              <w:t>。</w:t>
            </w:r>
          </w:p>
          <w:p w14:paraId="1FA41DF9">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Times New Roman" w:hAnsi="Times New Roman" w:eastAsia="宋体" w:cs="Times New Roman"/>
                <w:b/>
                <w:bCs/>
                <w:color w:val="auto"/>
                <w:lang w:val="zh-CN" w:eastAsia="zh-CN"/>
              </w:rPr>
            </w:pPr>
            <w:r>
              <w:rPr>
                <w:rFonts w:hint="default" w:ascii="Times New Roman" w:hAnsi="Times New Roman" w:eastAsia="宋体" w:cs="Times New Roman"/>
                <w:b/>
                <w:bCs/>
                <w:color w:val="auto"/>
                <w:lang w:val="zh-CN"/>
              </w:rPr>
              <w:t>表</w:t>
            </w:r>
            <w:r>
              <w:rPr>
                <w:rFonts w:hint="eastAsia" w:cs="Times New Roman"/>
                <w:b/>
                <w:bCs/>
                <w:color w:val="auto"/>
                <w:lang w:val="en-US" w:eastAsia="zh-CN"/>
              </w:rPr>
              <w:t>2.1-4</w:t>
            </w:r>
            <w:r>
              <w:rPr>
                <w:rFonts w:hint="default" w:ascii="Times New Roman" w:hAnsi="Times New Roman" w:eastAsia="宋体" w:cs="Times New Roman"/>
                <w:b/>
                <w:bCs/>
                <w:color w:val="auto"/>
                <w:lang w:val="en-US" w:eastAsia="zh-CN"/>
              </w:rPr>
              <w:t xml:space="preserve"> </w:t>
            </w:r>
            <w:r>
              <w:rPr>
                <w:rFonts w:hint="eastAsia" w:ascii="Times New Roman" w:hAnsi="Times New Roman" w:eastAsia="宋体" w:cs="Times New Roman"/>
                <w:b/>
                <w:bCs/>
                <w:color w:val="auto"/>
                <w:lang w:val="en-US" w:eastAsia="zh-CN"/>
              </w:rPr>
              <w:t>TL990系列基料生产用原辅材料</w:t>
            </w:r>
            <w:r>
              <w:rPr>
                <w:rFonts w:hint="default" w:ascii="Times New Roman" w:hAnsi="Times New Roman" w:eastAsia="宋体" w:cs="Times New Roman"/>
                <w:b/>
                <w:bCs/>
                <w:color w:val="auto"/>
                <w:lang w:val="zh-CN"/>
              </w:rPr>
              <w:t>年</w:t>
            </w:r>
            <w:r>
              <w:rPr>
                <w:rFonts w:hint="default" w:ascii="Times New Roman" w:hAnsi="Times New Roman" w:eastAsia="宋体" w:cs="Times New Roman"/>
                <w:b/>
                <w:bCs/>
                <w:color w:val="auto"/>
              </w:rPr>
              <w:t>消耗</w:t>
            </w:r>
            <w:r>
              <w:rPr>
                <w:rFonts w:hint="eastAsia" w:ascii="Times New Roman" w:hAnsi="Times New Roman" w:eastAsia="宋体" w:cs="Times New Roman"/>
                <w:b/>
                <w:bCs/>
                <w:color w:val="auto"/>
                <w:lang w:eastAsia="zh-CN"/>
              </w:rPr>
              <w:t>量</w:t>
            </w:r>
          </w:p>
          <w:tbl>
            <w:tblPr>
              <w:tblStyle w:val="28"/>
              <w:tblW w:w="4998" w:type="pct"/>
              <w:tblInd w:w="5"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22"/>
              <w:gridCol w:w="2260"/>
              <w:gridCol w:w="1303"/>
              <w:gridCol w:w="1449"/>
              <w:gridCol w:w="1810"/>
            </w:tblGrid>
            <w:tr w14:paraId="793DC2E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2" w:hRule="atLeast"/>
              </w:trPr>
              <w:tc>
                <w:tcPr>
                  <w:tcW w:w="652" w:type="pct"/>
                  <w:tcBorders>
                    <w:tl2br w:val="nil"/>
                    <w:tr2bl w:val="nil"/>
                  </w:tcBorders>
                  <w:vAlign w:val="center"/>
                </w:tcPr>
                <w:p w14:paraId="3C18547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序号</w:t>
                  </w:r>
                </w:p>
              </w:tc>
              <w:tc>
                <w:tcPr>
                  <w:tcW w:w="1440" w:type="pct"/>
                  <w:tcBorders>
                    <w:tl2br w:val="nil"/>
                    <w:tr2bl w:val="nil"/>
                  </w:tcBorders>
                  <w:vAlign w:val="center"/>
                </w:tcPr>
                <w:p w14:paraId="28F9729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lang w:eastAsia="zh-CN"/>
                    </w:rPr>
                    <w:t>原料</w:t>
                  </w:r>
                  <w:r>
                    <w:rPr>
                      <w:rFonts w:hint="default" w:ascii="Times New Roman" w:hAnsi="Times New Roman" w:eastAsia="宋体" w:cs="Times New Roman"/>
                      <w:b/>
                      <w:bCs/>
                      <w:color w:val="auto"/>
                      <w:sz w:val="18"/>
                      <w:szCs w:val="18"/>
                    </w:rPr>
                    <w:t>名称</w:t>
                  </w:r>
                </w:p>
              </w:tc>
              <w:tc>
                <w:tcPr>
                  <w:tcW w:w="830" w:type="pct"/>
                  <w:tcBorders>
                    <w:tl2br w:val="nil"/>
                    <w:tr2bl w:val="nil"/>
                  </w:tcBorders>
                  <w:vAlign w:val="center"/>
                </w:tcPr>
                <w:p w14:paraId="1893B01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kern w:val="0"/>
                      <w:sz w:val="18"/>
                      <w:szCs w:val="18"/>
                    </w:rPr>
                    <w:t>单位</w:t>
                  </w:r>
                </w:p>
              </w:tc>
              <w:tc>
                <w:tcPr>
                  <w:tcW w:w="923" w:type="pct"/>
                  <w:tcBorders>
                    <w:tl2br w:val="nil"/>
                    <w:tr2bl w:val="nil"/>
                  </w:tcBorders>
                  <w:vAlign w:val="center"/>
                </w:tcPr>
                <w:p w14:paraId="551E131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kern w:val="0"/>
                      <w:sz w:val="18"/>
                      <w:szCs w:val="18"/>
                      <w:lang w:eastAsia="zh-CN"/>
                    </w:rPr>
                  </w:pPr>
                  <w:r>
                    <w:rPr>
                      <w:rFonts w:hint="default" w:ascii="Times New Roman" w:hAnsi="Times New Roman" w:eastAsia="宋体" w:cs="Times New Roman"/>
                      <w:b/>
                      <w:bCs/>
                      <w:color w:val="auto"/>
                      <w:kern w:val="0"/>
                      <w:sz w:val="18"/>
                      <w:szCs w:val="18"/>
                      <w:lang w:eastAsia="zh-CN"/>
                    </w:rPr>
                    <w:t>年用量</w:t>
                  </w:r>
                </w:p>
              </w:tc>
              <w:tc>
                <w:tcPr>
                  <w:tcW w:w="1153" w:type="pct"/>
                  <w:tcBorders>
                    <w:tl2br w:val="nil"/>
                    <w:tr2bl w:val="nil"/>
                  </w:tcBorders>
                  <w:vAlign w:val="center"/>
                </w:tcPr>
                <w:p w14:paraId="2ED6275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kern w:val="0"/>
                      <w:sz w:val="18"/>
                      <w:szCs w:val="18"/>
                      <w:lang w:eastAsia="zh-CN"/>
                    </w:rPr>
                  </w:pPr>
                  <w:r>
                    <w:rPr>
                      <w:rFonts w:hint="default" w:ascii="Times New Roman" w:hAnsi="Times New Roman" w:eastAsia="宋体" w:cs="Times New Roman"/>
                      <w:b/>
                      <w:bCs/>
                      <w:color w:val="auto"/>
                      <w:kern w:val="0"/>
                      <w:sz w:val="18"/>
                      <w:szCs w:val="18"/>
                      <w:lang w:eastAsia="zh-CN"/>
                    </w:rPr>
                    <w:t>包装方式</w:t>
                  </w:r>
                </w:p>
              </w:tc>
            </w:tr>
            <w:tr w14:paraId="4D6E4C1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52" w:type="pct"/>
                  <w:tcBorders>
                    <w:tl2br w:val="nil"/>
                    <w:tr2bl w:val="nil"/>
                  </w:tcBorders>
                  <w:vAlign w:val="center"/>
                </w:tcPr>
                <w:p w14:paraId="7FB4A56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bCs/>
                      <w:color w:val="auto"/>
                      <w:kern w:val="0"/>
                      <w:sz w:val="18"/>
                      <w:szCs w:val="18"/>
                    </w:rPr>
                    <w:t>1</w:t>
                  </w:r>
                </w:p>
              </w:tc>
              <w:tc>
                <w:tcPr>
                  <w:tcW w:w="1440" w:type="pct"/>
                  <w:tcBorders>
                    <w:tl2br w:val="nil"/>
                    <w:tr2bl w:val="nil"/>
                  </w:tcBorders>
                  <w:vAlign w:val="center"/>
                </w:tcPr>
                <w:p w14:paraId="507C5FA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石膏粉</w:t>
                  </w:r>
                </w:p>
              </w:tc>
              <w:tc>
                <w:tcPr>
                  <w:tcW w:w="830" w:type="pct"/>
                  <w:tcBorders>
                    <w:tl2br w:val="nil"/>
                    <w:tr2bl w:val="nil"/>
                  </w:tcBorders>
                  <w:vAlign w:val="center"/>
                </w:tcPr>
                <w:p w14:paraId="519D230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lang w:val="en-US" w:eastAsia="zh-CN"/>
                    </w:rPr>
                    <w:t>吨/年</w:t>
                  </w:r>
                </w:p>
              </w:tc>
              <w:tc>
                <w:tcPr>
                  <w:tcW w:w="923" w:type="pct"/>
                  <w:tcBorders>
                    <w:tl2br w:val="nil"/>
                    <w:tr2bl w:val="nil"/>
                  </w:tcBorders>
                  <w:vAlign w:val="center"/>
                </w:tcPr>
                <w:p w14:paraId="54D2793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7</w:t>
                  </w:r>
                  <w:r>
                    <w:rPr>
                      <w:rFonts w:hint="eastAsia" w:cs="Times New Roman"/>
                      <w:color w:val="auto"/>
                      <w:sz w:val="18"/>
                      <w:szCs w:val="18"/>
                      <w:lang w:val="en-US" w:eastAsia="zh-CN"/>
                    </w:rPr>
                    <w:t>0</w:t>
                  </w:r>
                </w:p>
              </w:tc>
              <w:tc>
                <w:tcPr>
                  <w:tcW w:w="1153" w:type="pct"/>
                  <w:tcBorders>
                    <w:tl2br w:val="nil"/>
                    <w:tr2bl w:val="nil"/>
                  </w:tcBorders>
                  <w:vAlign w:val="center"/>
                </w:tcPr>
                <w:p w14:paraId="6828011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袋装</w:t>
                  </w:r>
                </w:p>
              </w:tc>
            </w:tr>
            <w:tr w14:paraId="1149CFF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52" w:type="pct"/>
                  <w:tcBorders>
                    <w:tl2br w:val="nil"/>
                    <w:tr2bl w:val="nil"/>
                  </w:tcBorders>
                  <w:vAlign w:val="center"/>
                </w:tcPr>
                <w:p w14:paraId="2834AC9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kern w:val="0"/>
                      <w:sz w:val="18"/>
                      <w:szCs w:val="18"/>
                    </w:rPr>
                  </w:pPr>
                  <w:r>
                    <w:rPr>
                      <w:rFonts w:hint="default" w:ascii="Times New Roman" w:hAnsi="Times New Roman" w:eastAsia="宋体" w:cs="Times New Roman"/>
                      <w:bCs/>
                      <w:color w:val="auto"/>
                      <w:kern w:val="0"/>
                      <w:sz w:val="18"/>
                      <w:szCs w:val="18"/>
                    </w:rPr>
                    <w:t>2</w:t>
                  </w:r>
                </w:p>
              </w:tc>
              <w:tc>
                <w:tcPr>
                  <w:tcW w:w="1440" w:type="pct"/>
                  <w:tcBorders>
                    <w:tl2br w:val="nil"/>
                    <w:tr2bl w:val="nil"/>
                  </w:tcBorders>
                  <w:vAlign w:val="center"/>
                </w:tcPr>
                <w:p w14:paraId="254DC03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碳酸钙</w:t>
                  </w:r>
                </w:p>
              </w:tc>
              <w:tc>
                <w:tcPr>
                  <w:tcW w:w="830" w:type="pct"/>
                  <w:tcBorders>
                    <w:tl2br w:val="nil"/>
                    <w:tr2bl w:val="nil"/>
                  </w:tcBorders>
                  <w:vAlign w:val="center"/>
                </w:tcPr>
                <w:p w14:paraId="715D2C5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吨/年</w:t>
                  </w:r>
                </w:p>
              </w:tc>
              <w:tc>
                <w:tcPr>
                  <w:tcW w:w="923" w:type="pct"/>
                  <w:tcBorders>
                    <w:tl2br w:val="nil"/>
                    <w:tr2bl w:val="nil"/>
                  </w:tcBorders>
                  <w:vAlign w:val="center"/>
                </w:tcPr>
                <w:p w14:paraId="5B6C2BA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5</w:t>
                  </w:r>
                  <w:r>
                    <w:rPr>
                      <w:rFonts w:hint="eastAsia" w:cs="Times New Roman"/>
                      <w:color w:val="auto"/>
                      <w:sz w:val="18"/>
                      <w:szCs w:val="18"/>
                      <w:lang w:val="en-US" w:eastAsia="zh-CN"/>
                    </w:rPr>
                    <w:t>0</w:t>
                  </w:r>
                </w:p>
              </w:tc>
              <w:tc>
                <w:tcPr>
                  <w:tcW w:w="1153" w:type="pct"/>
                  <w:tcBorders>
                    <w:tl2br w:val="nil"/>
                    <w:tr2bl w:val="nil"/>
                  </w:tcBorders>
                  <w:vAlign w:val="center"/>
                </w:tcPr>
                <w:p w14:paraId="17F9E6C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袋装</w:t>
                  </w:r>
                </w:p>
              </w:tc>
            </w:tr>
            <w:tr w14:paraId="20EAFA1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52" w:type="pct"/>
                  <w:tcBorders>
                    <w:tl2br w:val="nil"/>
                    <w:tr2bl w:val="nil"/>
                  </w:tcBorders>
                  <w:vAlign w:val="center"/>
                </w:tcPr>
                <w:p w14:paraId="12C8FA2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bCs/>
                      <w:color w:val="auto"/>
                      <w:kern w:val="0"/>
                      <w:sz w:val="18"/>
                      <w:szCs w:val="18"/>
                    </w:rPr>
                    <w:t>3</w:t>
                  </w:r>
                </w:p>
              </w:tc>
              <w:tc>
                <w:tcPr>
                  <w:tcW w:w="1440" w:type="pct"/>
                  <w:tcBorders>
                    <w:tl2br w:val="nil"/>
                    <w:tr2bl w:val="nil"/>
                  </w:tcBorders>
                  <w:vAlign w:val="center"/>
                </w:tcPr>
                <w:p w14:paraId="3124747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高岭土</w:t>
                  </w:r>
                </w:p>
              </w:tc>
              <w:tc>
                <w:tcPr>
                  <w:tcW w:w="830" w:type="pct"/>
                  <w:tcBorders>
                    <w:tl2br w:val="nil"/>
                    <w:tr2bl w:val="nil"/>
                  </w:tcBorders>
                  <w:vAlign w:val="center"/>
                </w:tcPr>
                <w:p w14:paraId="7105564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吨/年</w:t>
                  </w:r>
                </w:p>
              </w:tc>
              <w:tc>
                <w:tcPr>
                  <w:tcW w:w="923" w:type="pct"/>
                  <w:tcBorders>
                    <w:tl2br w:val="nil"/>
                    <w:tr2bl w:val="nil"/>
                  </w:tcBorders>
                  <w:vAlign w:val="center"/>
                </w:tcPr>
                <w:p w14:paraId="7ADC2C2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2</w:t>
                  </w:r>
                  <w:r>
                    <w:rPr>
                      <w:rFonts w:hint="eastAsia" w:cs="Times New Roman"/>
                      <w:color w:val="auto"/>
                      <w:sz w:val="18"/>
                      <w:szCs w:val="18"/>
                      <w:lang w:val="en-US" w:eastAsia="zh-CN"/>
                    </w:rPr>
                    <w:t>3</w:t>
                  </w:r>
                </w:p>
              </w:tc>
              <w:tc>
                <w:tcPr>
                  <w:tcW w:w="1153" w:type="pct"/>
                  <w:tcBorders>
                    <w:tl2br w:val="nil"/>
                    <w:tr2bl w:val="nil"/>
                  </w:tcBorders>
                  <w:vAlign w:val="center"/>
                </w:tcPr>
                <w:p w14:paraId="287C192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袋装</w:t>
                  </w:r>
                </w:p>
              </w:tc>
            </w:tr>
            <w:tr w14:paraId="1F4F3BD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52" w:type="pct"/>
                  <w:tcBorders>
                    <w:tl2br w:val="nil"/>
                    <w:tr2bl w:val="nil"/>
                  </w:tcBorders>
                  <w:vAlign w:val="center"/>
                </w:tcPr>
                <w:p w14:paraId="69A883F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bCs/>
                      <w:color w:val="auto"/>
                      <w:kern w:val="0"/>
                      <w:sz w:val="18"/>
                      <w:szCs w:val="18"/>
                    </w:rPr>
                    <w:t>4</w:t>
                  </w:r>
                </w:p>
              </w:tc>
              <w:tc>
                <w:tcPr>
                  <w:tcW w:w="1440" w:type="pct"/>
                  <w:tcBorders>
                    <w:tl2br w:val="nil"/>
                    <w:tr2bl w:val="nil"/>
                  </w:tcBorders>
                  <w:vAlign w:val="center"/>
                </w:tcPr>
                <w:p w14:paraId="345AF24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氧化镁</w:t>
                  </w:r>
                </w:p>
              </w:tc>
              <w:tc>
                <w:tcPr>
                  <w:tcW w:w="830" w:type="pct"/>
                  <w:tcBorders>
                    <w:tl2br w:val="nil"/>
                    <w:tr2bl w:val="nil"/>
                  </w:tcBorders>
                  <w:vAlign w:val="center"/>
                </w:tcPr>
                <w:p w14:paraId="3B21994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吨/年</w:t>
                  </w:r>
                </w:p>
              </w:tc>
              <w:tc>
                <w:tcPr>
                  <w:tcW w:w="923" w:type="pct"/>
                  <w:tcBorders>
                    <w:tl2br w:val="nil"/>
                    <w:tr2bl w:val="nil"/>
                  </w:tcBorders>
                  <w:vAlign w:val="center"/>
                </w:tcPr>
                <w:p w14:paraId="1DB7145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130</w:t>
                  </w:r>
                </w:p>
              </w:tc>
              <w:tc>
                <w:tcPr>
                  <w:tcW w:w="1153" w:type="pct"/>
                  <w:tcBorders>
                    <w:tl2br w:val="nil"/>
                    <w:tr2bl w:val="nil"/>
                  </w:tcBorders>
                  <w:vAlign w:val="center"/>
                </w:tcPr>
                <w:p w14:paraId="6DB77D0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袋装</w:t>
                  </w:r>
                </w:p>
              </w:tc>
            </w:tr>
          </w:tbl>
          <w:p w14:paraId="643D37BB">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Times New Roman" w:hAnsi="Times New Roman" w:eastAsia="宋体" w:cs="Times New Roman"/>
                <w:b/>
                <w:bCs/>
                <w:color w:val="auto"/>
                <w:lang w:val="zh-CN" w:eastAsia="zh-CN"/>
              </w:rPr>
            </w:pPr>
            <w:r>
              <w:rPr>
                <w:rFonts w:hint="default" w:ascii="Times New Roman" w:hAnsi="Times New Roman" w:eastAsia="宋体" w:cs="Times New Roman"/>
                <w:b/>
                <w:bCs/>
                <w:color w:val="auto"/>
                <w:lang w:val="zh-CN"/>
              </w:rPr>
              <w:t>表</w:t>
            </w:r>
            <w:r>
              <w:rPr>
                <w:rFonts w:hint="eastAsia" w:cs="Times New Roman"/>
                <w:b/>
                <w:bCs/>
                <w:color w:val="auto"/>
                <w:lang w:val="en-US" w:eastAsia="zh-CN"/>
              </w:rPr>
              <w:t>2.1-5</w:t>
            </w:r>
            <w:r>
              <w:rPr>
                <w:rFonts w:hint="default" w:ascii="Times New Roman" w:hAnsi="Times New Roman" w:eastAsia="宋体" w:cs="Times New Roman"/>
                <w:b/>
                <w:bCs/>
                <w:color w:val="auto"/>
                <w:lang w:val="en-US" w:eastAsia="zh-CN"/>
              </w:rPr>
              <w:t xml:space="preserve"> </w:t>
            </w:r>
            <w:r>
              <w:rPr>
                <w:rFonts w:hint="eastAsia" w:ascii="Times New Roman" w:hAnsi="Times New Roman" w:eastAsia="宋体" w:cs="Times New Roman"/>
                <w:b/>
                <w:bCs/>
                <w:color w:val="auto"/>
                <w:lang w:val="en-US" w:eastAsia="zh-CN"/>
              </w:rPr>
              <w:t>TL990系列辅助液生产用原辅材料</w:t>
            </w:r>
            <w:r>
              <w:rPr>
                <w:rFonts w:hint="default" w:ascii="Times New Roman" w:hAnsi="Times New Roman" w:eastAsia="宋体" w:cs="Times New Roman"/>
                <w:b/>
                <w:bCs/>
                <w:color w:val="auto"/>
                <w:lang w:val="zh-CN"/>
              </w:rPr>
              <w:t>年消耗</w:t>
            </w:r>
            <w:r>
              <w:rPr>
                <w:rFonts w:hint="eastAsia" w:ascii="Times New Roman" w:hAnsi="Times New Roman" w:eastAsia="宋体" w:cs="Times New Roman"/>
                <w:b/>
                <w:bCs/>
                <w:color w:val="auto"/>
                <w:lang w:val="zh-CN" w:eastAsia="zh-CN"/>
              </w:rPr>
              <w:t>量</w:t>
            </w:r>
          </w:p>
          <w:tbl>
            <w:tblPr>
              <w:tblStyle w:val="28"/>
              <w:tblW w:w="4998" w:type="pct"/>
              <w:tblInd w:w="5"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48"/>
              <w:gridCol w:w="1932"/>
              <w:gridCol w:w="1479"/>
              <w:gridCol w:w="1601"/>
              <w:gridCol w:w="1984"/>
            </w:tblGrid>
            <w:tr w14:paraId="7D8BECB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40" w:type="pct"/>
                  <w:tcBorders>
                    <w:tl2br w:val="nil"/>
                    <w:tr2bl w:val="nil"/>
                  </w:tcBorders>
                  <w:vAlign w:val="center"/>
                </w:tcPr>
                <w:p w14:paraId="08FF191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val="0"/>
                      <w:color w:val="auto"/>
                      <w:kern w:val="0"/>
                      <w:sz w:val="18"/>
                      <w:szCs w:val="18"/>
                    </w:rPr>
                  </w:pPr>
                  <w:r>
                    <w:rPr>
                      <w:rFonts w:hint="default" w:ascii="Times New Roman" w:hAnsi="Times New Roman" w:eastAsia="宋体" w:cs="Times New Roman"/>
                      <w:b/>
                      <w:bCs w:val="0"/>
                      <w:color w:val="auto"/>
                      <w:kern w:val="0"/>
                      <w:sz w:val="18"/>
                      <w:szCs w:val="18"/>
                    </w:rPr>
                    <w:t>序号</w:t>
                  </w:r>
                </w:p>
              </w:tc>
              <w:tc>
                <w:tcPr>
                  <w:tcW w:w="1231" w:type="pct"/>
                  <w:tcBorders>
                    <w:tl2br w:val="nil"/>
                    <w:tr2bl w:val="nil"/>
                  </w:tcBorders>
                  <w:vAlign w:val="center"/>
                </w:tcPr>
                <w:p w14:paraId="5FBD32A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val="0"/>
                      <w:color w:val="auto"/>
                      <w:kern w:val="0"/>
                      <w:sz w:val="18"/>
                      <w:szCs w:val="18"/>
                    </w:rPr>
                  </w:pPr>
                  <w:r>
                    <w:rPr>
                      <w:rFonts w:hint="default" w:ascii="Times New Roman" w:hAnsi="Times New Roman" w:eastAsia="宋体" w:cs="Times New Roman"/>
                      <w:b/>
                      <w:bCs w:val="0"/>
                      <w:color w:val="auto"/>
                      <w:kern w:val="0"/>
                      <w:sz w:val="18"/>
                      <w:szCs w:val="18"/>
                      <w:lang w:eastAsia="zh-CN"/>
                    </w:rPr>
                    <w:t>原辅料</w:t>
                  </w:r>
                  <w:r>
                    <w:rPr>
                      <w:rFonts w:hint="default" w:ascii="Times New Roman" w:hAnsi="Times New Roman" w:eastAsia="宋体" w:cs="Times New Roman"/>
                      <w:b/>
                      <w:bCs w:val="0"/>
                      <w:color w:val="auto"/>
                      <w:kern w:val="0"/>
                      <w:sz w:val="18"/>
                      <w:szCs w:val="18"/>
                    </w:rPr>
                    <w:t>名称</w:t>
                  </w:r>
                </w:p>
              </w:tc>
              <w:tc>
                <w:tcPr>
                  <w:tcW w:w="942" w:type="pct"/>
                  <w:tcBorders>
                    <w:tl2br w:val="nil"/>
                    <w:tr2bl w:val="nil"/>
                  </w:tcBorders>
                  <w:vAlign w:val="center"/>
                </w:tcPr>
                <w:p w14:paraId="2B348C7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val="0"/>
                      <w:color w:val="auto"/>
                      <w:kern w:val="0"/>
                      <w:sz w:val="18"/>
                      <w:szCs w:val="18"/>
                    </w:rPr>
                  </w:pPr>
                  <w:r>
                    <w:rPr>
                      <w:rFonts w:hint="default" w:ascii="Times New Roman" w:hAnsi="Times New Roman" w:eastAsia="宋体" w:cs="Times New Roman"/>
                      <w:b/>
                      <w:bCs w:val="0"/>
                      <w:color w:val="auto"/>
                      <w:kern w:val="0"/>
                      <w:sz w:val="18"/>
                      <w:szCs w:val="18"/>
                    </w:rPr>
                    <w:t>单位</w:t>
                  </w:r>
                </w:p>
              </w:tc>
              <w:tc>
                <w:tcPr>
                  <w:tcW w:w="1020" w:type="pct"/>
                  <w:tcBorders>
                    <w:tl2br w:val="nil"/>
                    <w:tr2bl w:val="nil"/>
                  </w:tcBorders>
                  <w:vAlign w:val="center"/>
                </w:tcPr>
                <w:p w14:paraId="4C67028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val="0"/>
                      <w:color w:val="auto"/>
                      <w:kern w:val="0"/>
                      <w:sz w:val="18"/>
                      <w:szCs w:val="18"/>
                      <w:lang w:eastAsia="zh-CN"/>
                    </w:rPr>
                  </w:pPr>
                  <w:r>
                    <w:rPr>
                      <w:rFonts w:hint="default" w:ascii="Times New Roman" w:hAnsi="Times New Roman" w:eastAsia="宋体" w:cs="Times New Roman"/>
                      <w:b/>
                      <w:bCs w:val="0"/>
                      <w:color w:val="auto"/>
                      <w:kern w:val="0"/>
                      <w:sz w:val="18"/>
                      <w:szCs w:val="18"/>
                      <w:lang w:eastAsia="zh-CN"/>
                    </w:rPr>
                    <w:t>年用量</w:t>
                  </w:r>
                </w:p>
              </w:tc>
              <w:tc>
                <w:tcPr>
                  <w:tcW w:w="1264" w:type="pct"/>
                  <w:tcBorders>
                    <w:tl2br w:val="nil"/>
                    <w:tr2bl w:val="nil"/>
                  </w:tcBorders>
                  <w:vAlign w:val="center"/>
                </w:tcPr>
                <w:p w14:paraId="4F0546E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val="0"/>
                      <w:color w:val="auto"/>
                      <w:kern w:val="0"/>
                      <w:sz w:val="18"/>
                      <w:szCs w:val="18"/>
                      <w:lang w:eastAsia="zh-CN"/>
                    </w:rPr>
                  </w:pPr>
                  <w:r>
                    <w:rPr>
                      <w:rFonts w:hint="default" w:ascii="Times New Roman" w:hAnsi="Times New Roman" w:eastAsia="宋体" w:cs="Times New Roman"/>
                      <w:b/>
                      <w:bCs w:val="0"/>
                      <w:color w:val="auto"/>
                      <w:kern w:val="0"/>
                      <w:sz w:val="18"/>
                      <w:szCs w:val="18"/>
                      <w:lang w:eastAsia="zh-CN"/>
                    </w:rPr>
                    <w:t>包装方式</w:t>
                  </w:r>
                </w:p>
              </w:tc>
            </w:tr>
            <w:tr w14:paraId="5F7A71B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540" w:type="pct"/>
                  <w:tcBorders>
                    <w:tl2br w:val="nil"/>
                    <w:tr2bl w:val="nil"/>
                  </w:tcBorders>
                  <w:vAlign w:val="center"/>
                </w:tcPr>
                <w:p w14:paraId="7AE8361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kern w:val="0"/>
                      <w:sz w:val="18"/>
                      <w:szCs w:val="18"/>
                    </w:rPr>
                  </w:pPr>
                  <w:r>
                    <w:rPr>
                      <w:rFonts w:hint="default" w:ascii="Times New Roman" w:hAnsi="Times New Roman" w:eastAsia="宋体" w:cs="Times New Roman"/>
                      <w:bCs/>
                      <w:color w:val="auto"/>
                      <w:kern w:val="0"/>
                      <w:sz w:val="18"/>
                      <w:szCs w:val="18"/>
                    </w:rPr>
                    <w:t>1</w:t>
                  </w:r>
                </w:p>
              </w:tc>
              <w:tc>
                <w:tcPr>
                  <w:tcW w:w="1231" w:type="pct"/>
                  <w:tcBorders>
                    <w:tl2br w:val="nil"/>
                    <w:tr2bl w:val="nil"/>
                  </w:tcBorders>
                  <w:vAlign w:val="center"/>
                </w:tcPr>
                <w:p w14:paraId="030C7F5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kern w:val="0"/>
                      <w:sz w:val="18"/>
                      <w:szCs w:val="18"/>
                      <w:lang w:val="en-US" w:eastAsia="zh-CN"/>
                    </w:rPr>
                  </w:pPr>
                  <w:r>
                    <w:rPr>
                      <w:rFonts w:hint="eastAsia" w:ascii="Times New Roman" w:hAnsi="Times New Roman" w:eastAsia="宋体" w:cs="Times New Roman"/>
                      <w:bCs/>
                      <w:color w:val="auto"/>
                      <w:kern w:val="0"/>
                      <w:sz w:val="18"/>
                      <w:szCs w:val="18"/>
                      <w:lang w:val="en-US" w:eastAsia="zh-CN"/>
                    </w:rPr>
                    <w:t>氯化镁</w:t>
                  </w:r>
                </w:p>
              </w:tc>
              <w:tc>
                <w:tcPr>
                  <w:tcW w:w="942" w:type="pct"/>
                  <w:tcBorders>
                    <w:tl2br w:val="nil"/>
                    <w:tr2bl w:val="nil"/>
                  </w:tcBorders>
                  <w:vAlign w:val="center"/>
                </w:tcPr>
                <w:p w14:paraId="0E133E8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kern w:val="0"/>
                      <w:sz w:val="18"/>
                      <w:szCs w:val="18"/>
                    </w:rPr>
                  </w:pPr>
                  <w:r>
                    <w:rPr>
                      <w:rFonts w:hint="default" w:ascii="Times New Roman" w:hAnsi="Times New Roman" w:eastAsia="宋体" w:cs="Times New Roman"/>
                      <w:bCs/>
                      <w:color w:val="auto"/>
                      <w:kern w:val="0"/>
                      <w:sz w:val="18"/>
                      <w:szCs w:val="18"/>
                      <w:lang w:val="en-US" w:eastAsia="zh-CN"/>
                    </w:rPr>
                    <w:t>吨/年</w:t>
                  </w:r>
                </w:p>
              </w:tc>
              <w:tc>
                <w:tcPr>
                  <w:tcW w:w="1020" w:type="pct"/>
                  <w:tcBorders>
                    <w:tl2br w:val="nil"/>
                    <w:tr2bl w:val="nil"/>
                  </w:tcBorders>
                  <w:vAlign w:val="center"/>
                </w:tcPr>
                <w:p w14:paraId="0DD2468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kern w:val="0"/>
                      <w:sz w:val="18"/>
                      <w:szCs w:val="18"/>
                      <w:lang w:val="en-US" w:eastAsia="zh-CN"/>
                    </w:rPr>
                  </w:pPr>
                  <w:r>
                    <w:rPr>
                      <w:rFonts w:hint="eastAsia" w:ascii="Times New Roman" w:hAnsi="Times New Roman" w:eastAsia="宋体" w:cs="Times New Roman"/>
                      <w:bCs/>
                      <w:color w:val="auto"/>
                      <w:kern w:val="0"/>
                      <w:sz w:val="18"/>
                      <w:szCs w:val="18"/>
                      <w:lang w:val="en-US" w:eastAsia="zh-CN"/>
                    </w:rPr>
                    <w:t>9</w:t>
                  </w:r>
                  <w:r>
                    <w:rPr>
                      <w:rFonts w:hint="eastAsia" w:cs="Times New Roman"/>
                      <w:bCs/>
                      <w:color w:val="auto"/>
                      <w:kern w:val="0"/>
                      <w:sz w:val="18"/>
                      <w:szCs w:val="18"/>
                      <w:lang w:val="en-US" w:eastAsia="zh-CN"/>
                    </w:rPr>
                    <w:t>0</w:t>
                  </w:r>
                </w:p>
              </w:tc>
              <w:tc>
                <w:tcPr>
                  <w:tcW w:w="1264" w:type="pct"/>
                  <w:tcBorders>
                    <w:tl2br w:val="nil"/>
                    <w:tr2bl w:val="nil"/>
                  </w:tcBorders>
                  <w:vAlign w:val="center"/>
                </w:tcPr>
                <w:p w14:paraId="36A6A9C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kern w:val="0"/>
                      <w:sz w:val="18"/>
                      <w:szCs w:val="18"/>
                      <w:lang w:val="en-US" w:eastAsia="zh-CN"/>
                    </w:rPr>
                  </w:pPr>
                  <w:r>
                    <w:rPr>
                      <w:rFonts w:hint="eastAsia" w:ascii="Times New Roman" w:hAnsi="Times New Roman" w:eastAsia="宋体" w:cs="Times New Roman"/>
                      <w:bCs/>
                      <w:color w:val="auto"/>
                      <w:kern w:val="0"/>
                      <w:sz w:val="18"/>
                      <w:szCs w:val="18"/>
                      <w:lang w:val="en-US" w:eastAsia="zh-CN"/>
                    </w:rPr>
                    <w:t>袋装</w:t>
                  </w:r>
                </w:p>
              </w:tc>
            </w:tr>
            <w:tr w14:paraId="01EFF9F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85" w:hRule="atLeast"/>
              </w:trPr>
              <w:tc>
                <w:tcPr>
                  <w:tcW w:w="540" w:type="pct"/>
                  <w:tcBorders>
                    <w:tl2br w:val="nil"/>
                    <w:tr2bl w:val="nil"/>
                  </w:tcBorders>
                  <w:vAlign w:val="center"/>
                </w:tcPr>
                <w:p w14:paraId="2B3BD5C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kern w:val="0"/>
                      <w:sz w:val="18"/>
                      <w:szCs w:val="18"/>
                    </w:rPr>
                  </w:pPr>
                  <w:r>
                    <w:rPr>
                      <w:rFonts w:hint="default" w:ascii="Times New Roman" w:hAnsi="Times New Roman" w:eastAsia="宋体" w:cs="Times New Roman"/>
                      <w:bCs/>
                      <w:color w:val="auto"/>
                      <w:kern w:val="0"/>
                      <w:sz w:val="18"/>
                      <w:szCs w:val="18"/>
                    </w:rPr>
                    <w:t>2</w:t>
                  </w:r>
                </w:p>
              </w:tc>
              <w:tc>
                <w:tcPr>
                  <w:tcW w:w="1231" w:type="pct"/>
                  <w:tcBorders>
                    <w:tl2br w:val="nil"/>
                    <w:tr2bl w:val="nil"/>
                  </w:tcBorders>
                  <w:vAlign w:val="center"/>
                </w:tcPr>
                <w:p w14:paraId="7415CE1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kern w:val="0"/>
                      <w:sz w:val="18"/>
                      <w:szCs w:val="18"/>
                      <w:lang w:val="en-US" w:eastAsia="zh-CN"/>
                    </w:rPr>
                  </w:pPr>
                  <w:r>
                    <w:rPr>
                      <w:rFonts w:hint="eastAsia" w:ascii="Times New Roman" w:hAnsi="Times New Roman" w:eastAsia="宋体" w:cs="Times New Roman"/>
                      <w:bCs/>
                      <w:color w:val="auto"/>
                      <w:kern w:val="0"/>
                      <w:sz w:val="18"/>
                      <w:szCs w:val="18"/>
                      <w:lang w:eastAsia="zh-CN"/>
                    </w:rPr>
                    <w:t>自来水</w:t>
                  </w:r>
                </w:p>
              </w:tc>
              <w:tc>
                <w:tcPr>
                  <w:tcW w:w="942" w:type="pct"/>
                  <w:tcBorders>
                    <w:tl2br w:val="nil"/>
                    <w:tr2bl w:val="nil"/>
                  </w:tcBorders>
                  <w:vAlign w:val="center"/>
                </w:tcPr>
                <w:p w14:paraId="152083B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kern w:val="0"/>
                      <w:sz w:val="18"/>
                      <w:szCs w:val="18"/>
                      <w:lang w:val="en-US" w:eastAsia="zh-CN"/>
                    </w:rPr>
                  </w:pPr>
                  <w:r>
                    <w:rPr>
                      <w:rFonts w:hint="default" w:ascii="Times New Roman" w:hAnsi="Times New Roman" w:eastAsia="宋体" w:cs="Times New Roman"/>
                      <w:bCs/>
                      <w:color w:val="auto"/>
                      <w:kern w:val="0"/>
                      <w:sz w:val="18"/>
                      <w:szCs w:val="18"/>
                      <w:lang w:val="en-US" w:eastAsia="zh-CN"/>
                    </w:rPr>
                    <w:t>吨/年</w:t>
                  </w:r>
                </w:p>
              </w:tc>
              <w:tc>
                <w:tcPr>
                  <w:tcW w:w="1020" w:type="pct"/>
                  <w:tcBorders>
                    <w:tl2br w:val="nil"/>
                    <w:tr2bl w:val="nil"/>
                  </w:tcBorders>
                  <w:vAlign w:val="center"/>
                </w:tcPr>
                <w:p w14:paraId="6243823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kern w:val="0"/>
                      <w:sz w:val="18"/>
                      <w:szCs w:val="18"/>
                      <w:lang w:val="en-US" w:eastAsia="zh-CN"/>
                    </w:rPr>
                  </w:pPr>
                  <w:r>
                    <w:rPr>
                      <w:rFonts w:hint="eastAsia" w:cs="Times New Roman"/>
                      <w:bCs/>
                      <w:color w:val="auto"/>
                      <w:kern w:val="0"/>
                      <w:sz w:val="18"/>
                      <w:szCs w:val="18"/>
                      <w:lang w:val="en-US" w:eastAsia="zh-CN"/>
                    </w:rPr>
                    <w:t>37</w:t>
                  </w:r>
                </w:p>
              </w:tc>
              <w:tc>
                <w:tcPr>
                  <w:tcW w:w="1264" w:type="pct"/>
                  <w:tcBorders>
                    <w:tl2br w:val="nil"/>
                    <w:tr2bl w:val="nil"/>
                  </w:tcBorders>
                  <w:vAlign w:val="center"/>
                </w:tcPr>
                <w:p w14:paraId="1978FCF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kern w:val="0"/>
                      <w:sz w:val="18"/>
                      <w:szCs w:val="18"/>
                      <w:lang w:val="en-US" w:eastAsia="zh-CN"/>
                    </w:rPr>
                  </w:pPr>
                  <w:r>
                    <w:rPr>
                      <w:rFonts w:hint="eastAsia" w:ascii="Times New Roman" w:hAnsi="Times New Roman" w:eastAsia="宋体" w:cs="Times New Roman"/>
                      <w:bCs/>
                      <w:color w:val="auto"/>
                      <w:kern w:val="0"/>
                      <w:sz w:val="18"/>
                      <w:szCs w:val="18"/>
                      <w:lang w:val="en-US" w:eastAsia="zh-CN"/>
                    </w:rPr>
                    <w:t>园区自来水管网</w:t>
                  </w:r>
                </w:p>
              </w:tc>
            </w:tr>
          </w:tbl>
          <w:p w14:paraId="6DE32379">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Times New Roman" w:hAnsi="Times New Roman" w:eastAsia="宋体" w:cs="Times New Roman"/>
                <w:b/>
                <w:bCs/>
                <w:color w:val="auto"/>
                <w:lang w:val="zh-CN" w:eastAsia="zh-CN"/>
              </w:rPr>
            </w:pPr>
            <w:r>
              <w:rPr>
                <w:rFonts w:hint="default" w:ascii="Times New Roman" w:hAnsi="Times New Roman" w:eastAsia="宋体" w:cs="Times New Roman"/>
                <w:b/>
                <w:bCs/>
                <w:color w:val="auto"/>
                <w:lang w:val="zh-CN"/>
              </w:rPr>
              <w:t>表</w:t>
            </w:r>
            <w:r>
              <w:rPr>
                <w:rFonts w:hint="eastAsia" w:cs="Times New Roman"/>
                <w:b/>
                <w:bCs/>
                <w:color w:val="auto"/>
                <w:lang w:val="en-US" w:eastAsia="zh-CN"/>
              </w:rPr>
              <w:t>2.1-6</w:t>
            </w:r>
            <w:r>
              <w:rPr>
                <w:rFonts w:hint="default" w:ascii="Times New Roman" w:hAnsi="Times New Roman" w:eastAsia="宋体" w:cs="Times New Roman"/>
                <w:b/>
                <w:bCs/>
                <w:color w:val="auto"/>
                <w:lang w:val="en-US" w:eastAsia="zh-CN"/>
              </w:rPr>
              <w:t xml:space="preserve"> </w:t>
            </w:r>
            <w:r>
              <w:rPr>
                <w:rFonts w:hint="eastAsia" w:ascii="Times New Roman" w:hAnsi="Times New Roman" w:eastAsia="宋体" w:cs="Times New Roman"/>
                <w:b/>
                <w:bCs/>
                <w:color w:val="auto"/>
                <w:lang w:val="en-US" w:eastAsia="zh-CN"/>
              </w:rPr>
              <w:t>KP800系列膨胀条生产用原辅材料</w:t>
            </w:r>
            <w:r>
              <w:rPr>
                <w:rFonts w:hint="default" w:ascii="Times New Roman" w:hAnsi="Times New Roman" w:eastAsia="宋体" w:cs="Times New Roman"/>
                <w:b/>
                <w:bCs/>
                <w:color w:val="auto"/>
                <w:lang w:val="zh-CN"/>
              </w:rPr>
              <w:t>年消耗</w:t>
            </w:r>
            <w:r>
              <w:rPr>
                <w:rFonts w:hint="eastAsia" w:ascii="Times New Roman" w:hAnsi="Times New Roman" w:eastAsia="宋体" w:cs="Times New Roman"/>
                <w:b/>
                <w:bCs/>
                <w:color w:val="auto"/>
                <w:lang w:val="zh-CN" w:eastAsia="zh-CN"/>
              </w:rPr>
              <w:t>量</w:t>
            </w:r>
          </w:p>
          <w:tbl>
            <w:tblPr>
              <w:tblStyle w:val="28"/>
              <w:tblW w:w="4997" w:type="pct"/>
              <w:tblInd w:w="5"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6"/>
              <w:gridCol w:w="1577"/>
              <w:gridCol w:w="1245"/>
              <w:gridCol w:w="1193"/>
              <w:gridCol w:w="1299"/>
              <w:gridCol w:w="1622"/>
            </w:tblGrid>
            <w:tr w14:paraId="66AB465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83" w:type="pct"/>
                  <w:tcBorders>
                    <w:tl2br w:val="nil"/>
                    <w:tr2bl w:val="nil"/>
                  </w:tcBorders>
                  <w:vAlign w:val="center"/>
                </w:tcPr>
                <w:p w14:paraId="2375DED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val="0"/>
                      <w:color w:val="auto"/>
                      <w:kern w:val="0"/>
                      <w:sz w:val="18"/>
                      <w:szCs w:val="18"/>
                    </w:rPr>
                  </w:pPr>
                  <w:r>
                    <w:rPr>
                      <w:rFonts w:hint="default" w:ascii="Times New Roman" w:hAnsi="Times New Roman" w:eastAsia="宋体" w:cs="Times New Roman"/>
                      <w:b/>
                      <w:bCs w:val="0"/>
                      <w:color w:val="auto"/>
                      <w:kern w:val="0"/>
                      <w:sz w:val="18"/>
                      <w:szCs w:val="18"/>
                    </w:rPr>
                    <w:t>序号</w:t>
                  </w:r>
                </w:p>
              </w:tc>
              <w:tc>
                <w:tcPr>
                  <w:tcW w:w="1011" w:type="pct"/>
                  <w:tcBorders>
                    <w:tl2br w:val="nil"/>
                    <w:tr2bl w:val="nil"/>
                  </w:tcBorders>
                  <w:vAlign w:val="center"/>
                </w:tcPr>
                <w:p w14:paraId="4E05ACC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val="0"/>
                      <w:color w:val="auto"/>
                      <w:kern w:val="0"/>
                      <w:sz w:val="18"/>
                      <w:szCs w:val="18"/>
                    </w:rPr>
                  </w:pPr>
                  <w:r>
                    <w:rPr>
                      <w:rFonts w:hint="default" w:ascii="Times New Roman" w:hAnsi="Times New Roman" w:eastAsia="宋体" w:cs="Times New Roman"/>
                      <w:b/>
                      <w:bCs w:val="0"/>
                      <w:color w:val="auto"/>
                      <w:kern w:val="0"/>
                      <w:sz w:val="18"/>
                      <w:szCs w:val="18"/>
                      <w:lang w:eastAsia="zh-CN"/>
                    </w:rPr>
                    <w:t>原辅料</w:t>
                  </w:r>
                  <w:r>
                    <w:rPr>
                      <w:rFonts w:hint="default" w:ascii="Times New Roman" w:hAnsi="Times New Roman" w:eastAsia="宋体" w:cs="Times New Roman"/>
                      <w:b/>
                      <w:bCs w:val="0"/>
                      <w:color w:val="auto"/>
                      <w:kern w:val="0"/>
                      <w:sz w:val="18"/>
                      <w:szCs w:val="18"/>
                    </w:rPr>
                    <w:t>名称</w:t>
                  </w:r>
                </w:p>
              </w:tc>
              <w:tc>
                <w:tcPr>
                  <w:tcW w:w="766" w:type="pct"/>
                  <w:tcBorders>
                    <w:tl2br w:val="nil"/>
                    <w:tr2bl w:val="nil"/>
                  </w:tcBorders>
                  <w:vAlign w:val="center"/>
                </w:tcPr>
                <w:p w14:paraId="1C52C0B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val="0"/>
                      <w:color w:val="auto"/>
                      <w:kern w:val="0"/>
                      <w:sz w:val="18"/>
                      <w:szCs w:val="18"/>
                      <w:lang w:val="en-US" w:eastAsia="zh-CN"/>
                    </w:rPr>
                  </w:pPr>
                  <w:r>
                    <w:rPr>
                      <w:rFonts w:hint="eastAsia" w:cs="Times New Roman"/>
                      <w:b/>
                      <w:bCs w:val="0"/>
                      <w:color w:val="auto"/>
                      <w:kern w:val="0"/>
                      <w:sz w:val="18"/>
                      <w:szCs w:val="18"/>
                      <w:lang w:eastAsia="zh-CN"/>
                    </w:rPr>
                    <w:t>规格</w:t>
                  </w:r>
                  <w:r>
                    <w:rPr>
                      <w:rFonts w:hint="eastAsia" w:cs="Times New Roman"/>
                      <w:b/>
                      <w:bCs w:val="0"/>
                      <w:color w:val="auto"/>
                      <w:kern w:val="0"/>
                      <w:sz w:val="18"/>
                      <w:szCs w:val="18"/>
                      <w:lang w:val="en-US" w:eastAsia="zh-CN"/>
                    </w:rPr>
                    <w:t>/尺寸</w:t>
                  </w:r>
                </w:p>
              </w:tc>
              <w:tc>
                <w:tcPr>
                  <w:tcW w:w="766" w:type="pct"/>
                  <w:tcBorders>
                    <w:tl2br w:val="nil"/>
                    <w:tr2bl w:val="nil"/>
                  </w:tcBorders>
                  <w:vAlign w:val="center"/>
                </w:tcPr>
                <w:p w14:paraId="1DEC4AF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val="0"/>
                      <w:color w:val="auto"/>
                      <w:kern w:val="0"/>
                      <w:sz w:val="18"/>
                      <w:szCs w:val="18"/>
                    </w:rPr>
                  </w:pPr>
                  <w:r>
                    <w:rPr>
                      <w:rFonts w:hint="default" w:ascii="Times New Roman" w:hAnsi="Times New Roman" w:eastAsia="宋体" w:cs="Times New Roman"/>
                      <w:b/>
                      <w:bCs w:val="0"/>
                      <w:color w:val="auto"/>
                      <w:kern w:val="0"/>
                      <w:sz w:val="18"/>
                      <w:szCs w:val="18"/>
                    </w:rPr>
                    <w:t>单位</w:t>
                  </w:r>
                </w:p>
              </w:tc>
              <w:tc>
                <w:tcPr>
                  <w:tcW w:w="833" w:type="pct"/>
                  <w:tcBorders>
                    <w:tl2br w:val="nil"/>
                    <w:tr2bl w:val="nil"/>
                  </w:tcBorders>
                  <w:vAlign w:val="center"/>
                </w:tcPr>
                <w:p w14:paraId="017DD0C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val="0"/>
                      <w:color w:val="auto"/>
                      <w:kern w:val="0"/>
                      <w:sz w:val="18"/>
                      <w:szCs w:val="18"/>
                      <w:lang w:eastAsia="zh-CN"/>
                    </w:rPr>
                  </w:pPr>
                  <w:r>
                    <w:rPr>
                      <w:rFonts w:hint="default" w:ascii="Times New Roman" w:hAnsi="Times New Roman" w:eastAsia="宋体" w:cs="Times New Roman"/>
                      <w:b/>
                      <w:bCs w:val="0"/>
                      <w:color w:val="auto"/>
                      <w:kern w:val="0"/>
                      <w:sz w:val="18"/>
                      <w:szCs w:val="18"/>
                      <w:lang w:eastAsia="zh-CN"/>
                    </w:rPr>
                    <w:t>年用量</w:t>
                  </w:r>
                </w:p>
              </w:tc>
              <w:tc>
                <w:tcPr>
                  <w:tcW w:w="1039" w:type="pct"/>
                  <w:tcBorders>
                    <w:tl2br w:val="nil"/>
                    <w:tr2bl w:val="nil"/>
                  </w:tcBorders>
                  <w:vAlign w:val="center"/>
                </w:tcPr>
                <w:p w14:paraId="5E12FF6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val="0"/>
                      <w:color w:val="auto"/>
                      <w:kern w:val="0"/>
                      <w:sz w:val="18"/>
                      <w:szCs w:val="18"/>
                      <w:lang w:eastAsia="zh-CN"/>
                    </w:rPr>
                  </w:pPr>
                  <w:r>
                    <w:rPr>
                      <w:rFonts w:hint="default" w:ascii="Times New Roman" w:hAnsi="Times New Roman" w:eastAsia="宋体" w:cs="Times New Roman"/>
                      <w:b/>
                      <w:bCs w:val="0"/>
                      <w:color w:val="auto"/>
                      <w:kern w:val="0"/>
                      <w:sz w:val="18"/>
                      <w:szCs w:val="18"/>
                      <w:lang w:eastAsia="zh-CN"/>
                    </w:rPr>
                    <w:t>包装方式</w:t>
                  </w:r>
                </w:p>
              </w:tc>
            </w:tr>
            <w:tr w14:paraId="7B5B456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583" w:type="pct"/>
                  <w:tcBorders>
                    <w:tl2br w:val="nil"/>
                    <w:tr2bl w:val="nil"/>
                  </w:tcBorders>
                  <w:vAlign w:val="center"/>
                </w:tcPr>
                <w:p w14:paraId="1AE8FF7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kern w:val="0"/>
                      <w:sz w:val="18"/>
                      <w:szCs w:val="18"/>
                    </w:rPr>
                  </w:pPr>
                  <w:r>
                    <w:rPr>
                      <w:rFonts w:hint="default" w:ascii="Times New Roman" w:hAnsi="Times New Roman" w:eastAsia="宋体" w:cs="Times New Roman"/>
                      <w:bCs/>
                      <w:color w:val="auto"/>
                      <w:kern w:val="0"/>
                      <w:sz w:val="18"/>
                      <w:szCs w:val="18"/>
                    </w:rPr>
                    <w:t>1</w:t>
                  </w:r>
                </w:p>
              </w:tc>
              <w:tc>
                <w:tcPr>
                  <w:tcW w:w="1011" w:type="pct"/>
                  <w:tcBorders>
                    <w:tl2br w:val="nil"/>
                    <w:tr2bl w:val="nil"/>
                  </w:tcBorders>
                  <w:vAlign w:val="center"/>
                </w:tcPr>
                <w:p w14:paraId="45A122F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kern w:val="0"/>
                      <w:sz w:val="18"/>
                      <w:szCs w:val="18"/>
                      <w:lang w:val="en-US" w:eastAsia="zh-CN"/>
                    </w:rPr>
                  </w:pPr>
                  <w:r>
                    <w:rPr>
                      <w:rFonts w:hint="eastAsia" w:ascii="Times New Roman" w:hAnsi="Times New Roman" w:eastAsia="宋体" w:cs="Times New Roman"/>
                      <w:bCs/>
                      <w:color w:val="auto"/>
                      <w:kern w:val="0"/>
                      <w:sz w:val="18"/>
                      <w:szCs w:val="18"/>
                      <w:lang w:val="en-US" w:eastAsia="zh-CN"/>
                    </w:rPr>
                    <w:t>木浆棉</w:t>
                  </w:r>
                </w:p>
              </w:tc>
              <w:tc>
                <w:tcPr>
                  <w:tcW w:w="766" w:type="pct"/>
                  <w:tcBorders>
                    <w:tl2br w:val="nil"/>
                    <w:tr2bl w:val="nil"/>
                  </w:tcBorders>
                  <w:vAlign w:val="center"/>
                </w:tcPr>
                <w:p w14:paraId="3F62893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kern w:val="0"/>
                      <w:sz w:val="18"/>
                      <w:szCs w:val="18"/>
                      <w:lang w:val="en-US" w:eastAsia="zh-CN"/>
                    </w:rPr>
                  </w:pPr>
                  <w:r>
                    <w:rPr>
                      <w:rFonts w:hint="default" w:ascii="Times New Roman" w:hAnsi="Times New Roman" w:cs="Times New Roman"/>
                      <w:bCs/>
                      <w:color w:val="auto"/>
                      <w:kern w:val="0"/>
                      <w:sz w:val="18"/>
                      <w:szCs w:val="18"/>
                      <w:lang w:val="en-US" w:eastAsia="zh-CN"/>
                    </w:rPr>
                    <w:t>1m×1m×0.4m</w:t>
                  </w:r>
                </w:p>
              </w:tc>
              <w:tc>
                <w:tcPr>
                  <w:tcW w:w="766" w:type="pct"/>
                  <w:tcBorders>
                    <w:tl2br w:val="nil"/>
                    <w:tr2bl w:val="nil"/>
                  </w:tcBorders>
                  <w:vAlign w:val="center"/>
                </w:tcPr>
                <w:p w14:paraId="2B1B6B8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kern w:val="0"/>
                      <w:sz w:val="18"/>
                      <w:szCs w:val="18"/>
                    </w:rPr>
                  </w:pPr>
                  <w:r>
                    <w:rPr>
                      <w:rFonts w:hint="eastAsia" w:cs="Times New Roman"/>
                      <w:bCs/>
                      <w:color w:val="auto"/>
                      <w:kern w:val="0"/>
                      <w:sz w:val="18"/>
                      <w:szCs w:val="18"/>
                      <w:lang w:val="en-US" w:eastAsia="zh-CN"/>
                    </w:rPr>
                    <w:t>吨</w:t>
                  </w:r>
                  <w:r>
                    <w:rPr>
                      <w:rFonts w:hint="default" w:ascii="Times New Roman" w:hAnsi="Times New Roman" w:eastAsia="宋体" w:cs="Times New Roman"/>
                      <w:bCs/>
                      <w:color w:val="auto"/>
                      <w:kern w:val="0"/>
                      <w:sz w:val="18"/>
                      <w:szCs w:val="18"/>
                      <w:lang w:val="en-US" w:eastAsia="zh-CN"/>
                    </w:rPr>
                    <w:t>/</w:t>
                  </w:r>
                  <w:r>
                    <w:rPr>
                      <w:rFonts w:hint="eastAsia" w:cs="Times New Roman"/>
                      <w:bCs/>
                      <w:color w:val="auto"/>
                      <w:kern w:val="0"/>
                      <w:sz w:val="18"/>
                      <w:szCs w:val="18"/>
                      <w:lang w:val="en-US" w:eastAsia="zh-CN"/>
                    </w:rPr>
                    <w:t>年</w:t>
                  </w:r>
                </w:p>
              </w:tc>
              <w:tc>
                <w:tcPr>
                  <w:tcW w:w="833" w:type="pct"/>
                  <w:tcBorders>
                    <w:tl2br w:val="nil"/>
                    <w:tr2bl w:val="nil"/>
                  </w:tcBorders>
                  <w:vAlign w:val="center"/>
                </w:tcPr>
                <w:p w14:paraId="6790685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kern w:val="0"/>
                      <w:sz w:val="18"/>
                      <w:szCs w:val="18"/>
                      <w:lang w:val="en-US" w:eastAsia="zh-CN"/>
                    </w:rPr>
                  </w:pPr>
                  <w:r>
                    <w:rPr>
                      <w:rFonts w:hint="eastAsia" w:cs="Times New Roman"/>
                      <w:bCs/>
                      <w:color w:val="auto"/>
                      <w:kern w:val="0"/>
                      <w:sz w:val="18"/>
                      <w:szCs w:val="18"/>
                      <w:lang w:val="en-US" w:eastAsia="zh-CN"/>
                    </w:rPr>
                    <w:t>22</w:t>
                  </w:r>
                </w:p>
              </w:tc>
              <w:tc>
                <w:tcPr>
                  <w:tcW w:w="1039" w:type="pct"/>
                  <w:tcBorders>
                    <w:tl2br w:val="nil"/>
                    <w:tr2bl w:val="nil"/>
                  </w:tcBorders>
                  <w:vAlign w:val="center"/>
                </w:tcPr>
                <w:p w14:paraId="46E67A0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kern w:val="0"/>
                      <w:sz w:val="18"/>
                      <w:szCs w:val="18"/>
                      <w:lang w:val="en-US" w:eastAsia="zh-CN"/>
                    </w:rPr>
                  </w:pPr>
                  <w:r>
                    <w:rPr>
                      <w:rFonts w:hint="eastAsia" w:ascii="Times New Roman" w:hAnsi="Times New Roman" w:eastAsia="宋体" w:cs="Times New Roman"/>
                      <w:bCs/>
                      <w:color w:val="auto"/>
                      <w:kern w:val="0"/>
                      <w:sz w:val="18"/>
                      <w:szCs w:val="18"/>
                      <w:lang w:val="en-US" w:eastAsia="zh-CN"/>
                    </w:rPr>
                    <w:t>袋装</w:t>
                  </w:r>
                </w:p>
              </w:tc>
            </w:tr>
          </w:tbl>
          <w:p w14:paraId="5B8E0791">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Times New Roman" w:hAnsi="Times New Roman" w:eastAsia="宋体" w:cs="Times New Roman"/>
                <w:b/>
                <w:bCs/>
                <w:color w:val="auto"/>
                <w:lang w:val="zh-CN" w:eastAsia="zh-CN"/>
              </w:rPr>
            </w:pPr>
            <w:r>
              <w:rPr>
                <w:rFonts w:hint="default" w:ascii="Times New Roman" w:hAnsi="Times New Roman" w:eastAsia="宋体" w:cs="Times New Roman"/>
                <w:b/>
                <w:bCs/>
                <w:color w:val="auto"/>
                <w:lang w:val="zh-CN"/>
              </w:rPr>
              <w:t>表</w:t>
            </w:r>
            <w:r>
              <w:rPr>
                <w:rFonts w:hint="eastAsia" w:cs="Times New Roman"/>
                <w:b/>
                <w:bCs/>
                <w:color w:val="auto"/>
                <w:lang w:val="en-US" w:eastAsia="zh-CN"/>
              </w:rPr>
              <w:t>2.1-7</w:t>
            </w:r>
            <w:r>
              <w:rPr>
                <w:rFonts w:hint="default" w:ascii="Times New Roman" w:hAnsi="Times New Roman" w:eastAsia="宋体" w:cs="Times New Roman"/>
                <w:b/>
                <w:bCs/>
                <w:color w:val="auto"/>
                <w:lang w:val="en-US" w:eastAsia="zh-CN"/>
              </w:rPr>
              <w:t xml:space="preserve"> </w:t>
            </w:r>
            <w:r>
              <w:rPr>
                <w:rFonts w:hint="eastAsia" w:ascii="Times New Roman" w:hAnsi="Times New Roman" w:eastAsia="宋体" w:cs="Times New Roman"/>
                <w:b/>
                <w:bCs/>
                <w:color w:val="auto"/>
                <w:lang w:val="en-US" w:eastAsia="zh-CN"/>
              </w:rPr>
              <w:t>KP800系列膨胀阻燃剂生产用原辅材料</w:t>
            </w:r>
            <w:r>
              <w:rPr>
                <w:rFonts w:hint="default" w:ascii="Times New Roman" w:hAnsi="Times New Roman" w:eastAsia="宋体" w:cs="Times New Roman"/>
                <w:b/>
                <w:bCs/>
                <w:color w:val="auto"/>
                <w:lang w:val="zh-CN"/>
              </w:rPr>
              <w:t>年消耗</w:t>
            </w:r>
            <w:r>
              <w:rPr>
                <w:rFonts w:hint="eastAsia" w:ascii="Times New Roman" w:hAnsi="Times New Roman" w:eastAsia="宋体" w:cs="Times New Roman"/>
                <w:b/>
                <w:bCs/>
                <w:color w:val="auto"/>
                <w:lang w:val="zh-CN" w:eastAsia="zh-CN"/>
              </w:rPr>
              <w:t>量</w:t>
            </w:r>
          </w:p>
          <w:tbl>
            <w:tblPr>
              <w:tblStyle w:val="28"/>
              <w:tblW w:w="4998" w:type="pct"/>
              <w:tblInd w:w="5"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48"/>
              <w:gridCol w:w="1932"/>
              <w:gridCol w:w="1479"/>
              <w:gridCol w:w="1601"/>
              <w:gridCol w:w="1984"/>
            </w:tblGrid>
            <w:tr w14:paraId="2F11DF1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47" w:hRule="atLeast"/>
              </w:trPr>
              <w:tc>
                <w:tcPr>
                  <w:tcW w:w="540" w:type="pct"/>
                  <w:tcBorders>
                    <w:tl2br w:val="nil"/>
                    <w:tr2bl w:val="nil"/>
                  </w:tcBorders>
                  <w:vAlign w:val="center"/>
                </w:tcPr>
                <w:p w14:paraId="126A947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val="0"/>
                      <w:color w:val="auto"/>
                      <w:kern w:val="0"/>
                      <w:sz w:val="18"/>
                      <w:szCs w:val="18"/>
                    </w:rPr>
                  </w:pPr>
                  <w:r>
                    <w:rPr>
                      <w:rFonts w:hint="default" w:ascii="Times New Roman" w:hAnsi="Times New Roman" w:eastAsia="宋体" w:cs="Times New Roman"/>
                      <w:b/>
                      <w:bCs w:val="0"/>
                      <w:color w:val="auto"/>
                      <w:kern w:val="0"/>
                      <w:sz w:val="18"/>
                      <w:szCs w:val="18"/>
                    </w:rPr>
                    <w:t>序号</w:t>
                  </w:r>
                </w:p>
              </w:tc>
              <w:tc>
                <w:tcPr>
                  <w:tcW w:w="1231" w:type="pct"/>
                  <w:tcBorders>
                    <w:tl2br w:val="nil"/>
                    <w:tr2bl w:val="nil"/>
                  </w:tcBorders>
                  <w:vAlign w:val="center"/>
                </w:tcPr>
                <w:p w14:paraId="236F8D3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val="0"/>
                      <w:color w:val="auto"/>
                      <w:kern w:val="0"/>
                      <w:sz w:val="18"/>
                      <w:szCs w:val="18"/>
                    </w:rPr>
                  </w:pPr>
                  <w:r>
                    <w:rPr>
                      <w:rFonts w:hint="default" w:ascii="Times New Roman" w:hAnsi="Times New Roman" w:eastAsia="宋体" w:cs="Times New Roman"/>
                      <w:b/>
                      <w:bCs w:val="0"/>
                      <w:color w:val="auto"/>
                      <w:kern w:val="0"/>
                      <w:sz w:val="18"/>
                      <w:szCs w:val="18"/>
                      <w:lang w:eastAsia="zh-CN"/>
                    </w:rPr>
                    <w:t>原辅料</w:t>
                  </w:r>
                  <w:r>
                    <w:rPr>
                      <w:rFonts w:hint="default" w:ascii="Times New Roman" w:hAnsi="Times New Roman" w:eastAsia="宋体" w:cs="Times New Roman"/>
                      <w:b/>
                      <w:bCs w:val="0"/>
                      <w:color w:val="auto"/>
                      <w:kern w:val="0"/>
                      <w:sz w:val="18"/>
                      <w:szCs w:val="18"/>
                    </w:rPr>
                    <w:t>名称</w:t>
                  </w:r>
                </w:p>
              </w:tc>
              <w:tc>
                <w:tcPr>
                  <w:tcW w:w="942" w:type="pct"/>
                  <w:tcBorders>
                    <w:tl2br w:val="nil"/>
                    <w:tr2bl w:val="nil"/>
                  </w:tcBorders>
                  <w:vAlign w:val="center"/>
                </w:tcPr>
                <w:p w14:paraId="1BC2EE6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val="0"/>
                      <w:color w:val="auto"/>
                      <w:kern w:val="0"/>
                      <w:sz w:val="18"/>
                      <w:szCs w:val="18"/>
                    </w:rPr>
                  </w:pPr>
                  <w:r>
                    <w:rPr>
                      <w:rFonts w:hint="default" w:ascii="Times New Roman" w:hAnsi="Times New Roman" w:eastAsia="宋体" w:cs="Times New Roman"/>
                      <w:b/>
                      <w:bCs w:val="0"/>
                      <w:color w:val="auto"/>
                      <w:kern w:val="0"/>
                      <w:sz w:val="18"/>
                      <w:szCs w:val="18"/>
                    </w:rPr>
                    <w:t>单位</w:t>
                  </w:r>
                </w:p>
              </w:tc>
              <w:tc>
                <w:tcPr>
                  <w:tcW w:w="1020" w:type="pct"/>
                  <w:tcBorders>
                    <w:tl2br w:val="nil"/>
                    <w:tr2bl w:val="nil"/>
                  </w:tcBorders>
                  <w:vAlign w:val="center"/>
                </w:tcPr>
                <w:p w14:paraId="298FC3F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val="0"/>
                      <w:color w:val="auto"/>
                      <w:kern w:val="0"/>
                      <w:sz w:val="18"/>
                      <w:szCs w:val="18"/>
                      <w:lang w:eastAsia="zh-CN"/>
                    </w:rPr>
                  </w:pPr>
                  <w:r>
                    <w:rPr>
                      <w:rFonts w:hint="default" w:ascii="Times New Roman" w:hAnsi="Times New Roman" w:eastAsia="宋体" w:cs="Times New Roman"/>
                      <w:b/>
                      <w:bCs w:val="0"/>
                      <w:color w:val="auto"/>
                      <w:kern w:val="0"/>
                      <w:sz w:val="18"/>
                      <w:szCs w:val="18"/>
                      <w:lang w:eastAsia="zh-CN"/>
                    </w:rPr>
                    <w:t>年用量</w:t>
                  </w:r>
                </w:p>
              </w:tc>
              <w:tc>
                <w:tcPr>
                  <w:tcW w:w="1264" w:type="pct"/>
                  <w:tcBorders>
                    <w:tl2br w:val="nil"/>
                    <w:tr2bl w:val="nil"/>
                  </w:tcBorders>
                  <w:vAlign w:val="center"/>
                </w:tcPr>
                <w:p w14:paraId="4F050EB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val="0"/>
                      <w:color w:val="auto"/>
                      <w:kern w:val="0"/>
                      <w:sz w:val="18"/>
                      <w:szCs w:val="18"/>
                      <w:lang w:eastAsia="zh-CN"/>
                    </w:rPr>
                  </w:pPr>
                  <w:r>
                    <w:rPr>
                      <w:rFonts w:hint="default" w:ascii="Times New Roman" w:hAnsi="Times New Roman" w:eastAsia="宋体" w:cs="Times New Roman"/>
                      <w:b/>
                      <w:bCs w:val="0"/>
                      <w:color w:val="auto"/>
                      <w:kern w:val="0"/>
                      <w:sz w:val="18"/>
                      <w:szCs w:val="18"/>
                      <w:lang w:eastAsia="zh-CN"/>
                    </w:rPr>
                    <w:t>包装方式</w:t>
                  </w:r>
                </w:p>
              </w:tc>
            </w:tr>
            <w:tr w14:paraId="14558E2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540" w:type="pct"/>
                  <w:tcBorders>
                    <w:tl2br w:val="nil"/>
                    <w:tr2bl w:val="nil"/>
                  </w:tcBorders>
                  <w:vAlign w:val="center"/>
                </w:tcPr>
                <w:p w14:paraId="494058A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kern w:val="0"/>
                      <w:sz w:val="18"/>
                      <w:szCs w:val="18"/>
                    </w:rPr>
                  </w:pPr>
                  <w:r>
                    <w:rPr>
                      <w:rFonts w:hint="default" w:ascii="Times New Roman" w:hAnsi="Times New Roman" w:eastAsia="宋体" w:cs="Times New Roman"/>
                      <w:bCs/>
                      <w:color w:val="auto"/>
                      <w:kern w:val="0"/>
                      <w:sz w:val="18"/>
                      <w:szCs w:val="18"/>
                    </w:rPr>
                    <w:t>1</w:t>
                  </w:r>
                </w:p>
              </w:tc>
              <w:tc>
                <w:tcPr>
                  <w:tcW w:w="1231" w:type="pct"/>
                  <w:tcBorders>
                    <w:tl2br w:val="nil"/>
                    <w:tr2bl w:val="nil"/>
                  </w:tcBorders>
                  <w:vAlign w:val="center"/>
                </w:tcPr>
                <w:p w14:paraId="34BABB7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kern w:val="0"/>
                      <w:sz w:val="18"/>
                      <w:szCs w:val="18"/>
                      <w:lang w:val="en-US" w:eastAsia="zh-CN"/>
                    </w:rPr>
                  </w:pPr>
                  <w:r>
                    <w:rPr>
                      <w:rFonts w:hint="eastAsia" w:ascii="Times New Roman" w:hAnsi="Times New Roman" w:eastAsia="宋体" w:cs="Times New Roman"/>
                      <w:bCs/>
                      <w:color w:val="auto"/>
                      <w:kern w:val="0"/>
                      <w:sz w:val="18"/>
                      <w:szCs w:val="18"/>
                      <w:lang w:val="en-US" w:eastAsia="zh-CN"/>
                    </w:rPr>
                    <w:t>氯化镁</w:t>
                  </w:r>
                </w:p>
              </w:tc>
              <w:tc>
                <w:tcPr>
                  <w:tcW w:w="942" w:type="pct"/>
                  <w:tcBorders>
                    <w:tl2br w:val="nil"/>
                    <w:tr2bl w:val="nil"/>
                  </w:tcBorders>
                  <w:vAlign w:val="center"/>
                </w:tcPr>
                <w:p w14:paraId="0D44111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kern w:val="0"/>
                      <w:sz w:val="18"/>
                      <w:szCs w:val="18"/>
                    </w:rPr>
                  </w:pPr>
                  <w:r>
                    <w:rPr>
                      <w:rFonts w:hint="default" w:ascii="Times New Roman" w:hAnsi="Times New Roman" w:eastAsia="宋体" w:cs="Times New Roman"/>
                      <w:bCs/>
                      <w:color w:val="auto"/>
                      <w:kern w:val="0"/>
                      <w:sz w:val="18"/>
                      <w:szCs w:val="18"/>
                      <w:lang w:val="en-US" w:eastAsia="zh-CN"/>
                    </w:rPr>
                    <w:t>吨/年</w:t>
                  </w:r>
                </w:p>
              </w:tc>
              <w:tc>
                <w:tcPr>
                  <w:tcW w:w="1020" w:type="pct"/>
                  <w:tcBorders>
                    <w:tl2br w:val="nil"/>
                    <w:tr2bl w:val="nil"/>
                  </w:tcBorders>
                  <w:vAlign w:val="center"/>
                </w:tcPr>
                <w:p w14:paraId="4FD340B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kern w:val="0"/>
                      <w:sz w:val="18"/>
                      <w:szCs w:val="18"/>
                      <w:lang w:val="en-US" w:eastAsia="zh-CN"/>
                    </w:rPr>
                  </w:pPr>
                  <w:r>
                    <w:rPr>
                      <w:rFonts w:hint="eastAsia" w:cs="Times New Roman"/>
                      <w:bCs/>
                      <w:color w:val="auto"/>
                      <w:kern w:val="0"/>
                      <w:sz w:val="18"/>
                      <w:szCs w:val="18"/>
                      <w:lang w:val="en-US" w:eastAsia="zh-CN"/>
                    </w:rPr>
                    <w:t>5</w:t>
                  </w:r>
                  <w:r>
                    <w:rPr>
                      <w:rFonts w:hint="eastAsia" w:ascii="Times New Roman" w:hAnsi="Times New Roman" w:eastAsia="宋体" w:cs="Times New Roman"/>
                      <w:bCs/>
                      <w:color w:val="auto"/>
                      <w:kern w:val="0"/>
                      <w:sz w:val="18"/>
                      <w:szCs w:val="18"/>
                      <w:lang w:val="en-US" w:eastAsia="zh-CN"/>
                    </w:rPr>
                    <w:t>0</w:t>
                  </w:r>
                </w:p>
              </w:tc>
              <w:tc>
                <w:tcPr>
                  <w:tcW w:w="1264" w:type="pct"/>
                  <w:tcBorders>
                    <w:tl2br w:val="nil"/>
                    <w:tr2bl w:val="nil"/>
                  </w:tcBorders>
                  <w:vAlign w:val="center"/>
                </w:tcPr>
                <w:p w14:paraId="1F755CF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kern w:val="0"/>
                      <w:sz w:val="18"/>
                      <w:szCs w:val="18"/>
                      <w:lang w:val="en-US" w:eastAsia="zh-CN"/>
                    </w:rPr>
                  </w:pPr>
                  <w:r>
                    <w:rPr>
                      <w:rFonts w:hint="eastAsia" w:ascii="Times New Roman" w:hAnsi="Times New Roman" w:eastAsia="宋体" w:cs="Times New Roman"/>
                      <w:bCs/>
                      <w:color w:val="auto"/>
                      <w:kern w:val="0"/>
                      <w:sz w:val="18"/>
                      <w:szCs w:val="18"/>
                      <w:lang w:val="en-US" w:eastAsia="zh-CN"/>
                    </w:rPr>
                    <w:t>袋装</w:t>
                  </w:r>
                </w:p>
              </w:tc>
            </w:tr>
            <w:tr w14:paraId="783CEC6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540" w:type="pct"/>
                  <w:tcBorders>
                    <w:tl2br w:val="nil"/>
                    <w:tr2bl w:val="nil"/>
                  </w:tcBorders>
                  <w:vAlign w:val="center"/>
                </w:tcPr>
                <w:p w14:paraId="575EA67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kern w:val="0"/>
                      <w:sz w:val="18"/>
                      <w:szCs w:val="18"/>
                    </w:rPr>
                  </w:pPr>
                  <w:r>
                    <w:rPr>
                      <w:rFonts w:hint="default" w:ascii="Times New Roman" w:hAnsi="Times New Roman" w:eastAsia="宋体" w:cs="Times New Roman"/>
                      <w:bCs/>
                      <w:color w:val="auto"/>
                      <w:kern w:val="0"/>
                      <w:sz w:val="18"/>
                      <w:szCs w:val="18"/>
                    </w:rPr>
                    <w:t>2</w:t>
                  </w:r>
                </w:p>
              </w:tc>
              <w:tc>
                <w:tcPr>
                  <w:tcW w:w="1231" w:type="pct"/>
                  <w:tcBorders>
                    <w:tl2br w:val="nil"/>
                    <w:tr2bl w:val="nil"/>
                  </w:tcBorders>
                  <w:vAlign w:val="center"/>
                </w:tcPr>
                <w:p w14:paraId="156FD48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kern w:val="0"/>
                      <w:sz w:val="18"/>
                      <w:szCs w:val="18"/>
                      <w:lang w:val="en-US" w:eastAsia="zh-CN"/>
                    </w:rPr>
                  </w:pPr>
                  <w:r>
                    <w:rPr>
                      <w:rFonts w:hint="eastAsia" w:ascii="Times New Roman" w:hAnsi="Times New Roman" w:eastAsia="宋体" w:cs="Times New Roman"/>
                      <w:bCs/>
                      <w:color w:val="auto"/>
                      <w:kern w:val="0"/>
                      <w:sz w:val="18"/>
                      <w:szCs w:val="18"/>
                      <w:lang w:eastAsia="zh-CN"/>
                    </w:rPr>
                    <w:t>自来水</w:t>
                  </w:r>
                </w:p>
              </w:tc>
              <w:tc>
                <w:tcPr>
                  <w:tcW w:w="942" w:type="pct"/>
                  <w:tcBorders>
                    <w:tl2br w:val="nil"/>
                    <w:tr2bl w:val="nil"/>
                  </w:tcBorders>
                  <w:vAlign w:val="center"/>
                </w:tcPr>
                <w:p w14:paraId="25A8321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kern w:val="0"/>
                      <w:sz w:val="18"/>
                      <w:szCs w:val="18"/>
                      <w:lang w:val="en-US" w:eastAsia="zh-CN"/>
                    </w:rPr>
                  </w:pPr>
                  <w:r>
                    <w:rPr>
                      <w:rFonts w:hint="default" w:ascii="Times New Roman" w:hAnsi="Times New Roman" w:eastAsia="宋体" w:cs="Times New Roman"/>
                      <w:bCs/>
                      <w:color w:val="auto"/>
                      <w:kern w:val="0"/>
                      <w:sz w:val="18"/>
                      <w:szCs w:val="18"/>
                      <w:lang w:val="en-US" w:eastAsia="zh-CN"/>
                    </w:rPr>
                    <w:t>吨/年</w:t>
                  </w:r>
                </w:p>
              </w:tc>
              <w:tc>
                <w:tcPr>
                  <w:tcW w:w="1020" w:type="pct"/>
                  <w:tcBorders>
                    <w:tl2br w:val="nil"/>
                    <w:tr2bl w:val="nil"/>
                  </w:tcBorders>
                  <w:vAlign w:val="center"/>
                </w:tcPr>
                <w:p w14:paraId="1B9CAA9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kern w:val="0"/>
                      <w:sz w:val="18"/>
                      <w:szCs w:val="18"/>
                      <w:lang w:val="en-US" w:eastAsia="zh-CN"/>
                    </w:rPr>
                  </w:pPr>
                  <w:r>
                    <w:rPr>
                      <w:rFonts w:hint="eastAsia" w:cs="Times New Roman"/>
                      <w:bCs/>
                      <w:color w:val="auto"/>
                      <w:kern w:val="0"/>
                      <w:sz w:val="18"/>
                      <w:szCs w:val="18"/>
                      <w:lang w:val="en-US" w:eastAsia="zh-CN"/>
                    </w:rPr>
                    <w:t>30</w:t>
                  </w:r>
                </w:p>
              </w:tc>
              <w:tc>
                <w:tcPr>
                  <w:tcW w:w="1264" w:type="pct"/>
                  <w:tcBorders>
                    <w:tl2br w:val="nil"/>
                    <w:tr2bl w:val="nil"/>
                  </w:tcBorders>
                  <w:vAlign w:val="center"/>
                </w:tcPr>
                <w:p w14:paraId="29820FF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kern w:val="0"/>
                      <w:sz w:val="18"/>
                      <w:szCs w:val="18"/>
                      <w:lang w:val="en-US" w:eastAsia="zh-CN"/>
                    </w:rPr>
                  </w:pPr>
                  <w:r>
                    <w:rPr>
                      <w:rFonts w:hint="eastAsia" w:ascii="Times New Roman" w:hAnsi="Times New Roman" w:eastAsia="宋体" w:cs="Times New Roman"/>
                      <w:bCs/>
                      <w:color w:val="auto"/>
                      <w:kern w:val="0"/>
                      <w:sz w:val="18"/>
                      <w:szCs w:val="18"/>
                      <w:lang w:val="en-US" w:eastAsia="zh-CN"/>
                    </w:rPr>
                    <w:t>园区自来水管网</w:t>
                  </w:r>
                </w:p>
              </w:tc>
            </w:tr>
          </w:tbl>
          <w:p w14:paraId="70EB88A6">
            <w:pPr>
              <w:keepNext w:val="0"/>
              <w:keepLines w:val="0"/>
              <w:suppressLineNumbers w:val="0"/>
              <w:adjustRightInd w:val="0"/>
              <w:snapToGrid w:val="0"/>
              <w:spacing w:before="156" w:beforeLines="50" w:beforeAutospacing="0" w:after="0" w:afterAutospacing="0" w:line="240" w:lineRule="auto"/>
              <w:ind w:left="0" w:right="0" w:firstLine="0" w:firstLineChars="0"/>
              <w:jc w:val="center"/>
              <w:rPr>
                <w:rFonts w:hint="default" w:ascii="Times New Roman" w:hAnsi="Times New Roman" w:eastAsia="宋体" w:cs="Times New Roman"/>
                <w:b/>
                <w:bCs/>
                <w:color w:val="auto"/>
              </w:rPr>
            </w:pPr>
            <w:r>
              <w:rPr>
                <w:rFonts w:hint="default" w:ascii="Times New Roman" w:hAnsi="Times New Roman" w:eastAsia="宋体" w:cs="Times New Roman"/>
                <w:b/>
                <w:bCs/>
                <w:color w:val="auto"/>
              </w:rPr>
              <w:t>表2.1-</w:t>
            </w:r>
            <w:r>
              <w:rPr>
                <w:rFonts w:hint="eastAsia" w:cs="Times New Roman"/>
                <w:b/>
                <w:bCs/>
                <w:color w:val="auto"/>
                <w:lang w:val="en-US" w:eastAsia="zh-CN"/>
              </w:rPr>
              <w:t>8</w:t>
            </w:r>
            <w:r>
              <w:rPr>
                <w:rFonts w:hint="default" w:ascii="Times New Roman" w:hAnsi="Times New Roman" w:eastAsia="宋体" w:cs="Times New Roman"/>
                <w:b/>
                <w:bCs/>
                <w:color w:val="auto"/>
              </w:rPr>
              <w:t xml:space="preserve">  主要原辅材料理化性质一览表</w:t>
            </w:r>
          </w:p>
          <w:tbl>
            <w:tblPr>
              <w:tblStyle w:val="28"/>
              <w:tblW w:w="4994"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04"/>
              <w:gridCol w:w="981"/>
              <w:gridCol w:w="3295"/>
              <w:gridCol w:w="1251"/>
              <w:gridCol w:w="1507"/>
            </w:tblGrid>
            <w:tr w14:paraId="32D03CC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6" w:hRule="atLeast"/>
              </w:trPr>
              <w:tc>
                <w:tcPr>
                  <w:tcW w:w="513" w:type="pct"/>
                  <w:tcBorders>
                    <w:tl2br w:val="nil"/>
                    <w:tr2bl w:val="nil"/>
                  </w:tcBorders>
                  <w:vAlign w:val="center"/>
                </w:tcPr>
                <w:p w14:paraId="7F8D03B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名称</w:t>
                  </w:r>
                </w:p>
              </w:tc>
              <w:tc>
                <w:tcPr>
                  <w:tcW w:w="626" w:type="pct"/>
                  <w:tcBorders>
                    <w:tl2br w:val="nil"/>
                    <w:tr2bl w:val="nil"/>
                  </w:tcBorders>
                  <w:vAlign w:val="center"/>
                </w:tcPr>
                <w:p w14:paraId="24ED63B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lang w:val="en-US" w:eastAsia="zh-CN"/>
                    </w:rPr>
                  </w:pPr>
                  <w:r>
                    <w:rPr>
                      <w:rFonts w:hint="default" w:ascii="Times New Roman" w:hAnsi="Times New Roman" w:eastAsia="宋体" w:cs="Times New Roman"/>
                      <w:b/>
                      <w:bCs/>
                      <w:color w:val="auto"/>
                      <w:sz w:val="18"/>
                      <w:szCs w:val="18"/>
                      <w:lang w:val="en-US" w:eastAsia="zh-CN"/>
                    </w:rPr>
                    <w:t>CAS号</w:t>
                  </w:r>
                </w:p>
              </w:tc>
              <w:tc>
                <w:tcPr>
                  <w:tcW w:w="2101" w:type="pct"/>
                  <w:tcBorders>
                    <w:tl2br w:val="nil"/>
                    <w:tr2bl w:val="nil"/>
                  </w:tcBorders>
                  <w:vAlign w:val="center"/>
                </w:tcPr>
                <w:p w14:paraId="627BD4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理化特性</w:t>
                  </w:r>
                </w:p>
              </w:tc>
              <w:tc>
                <w:tcPr>
                  <w:tcW w:w="798" w:type="pct"/>
                  <w:tcBorders>
                    <w:tl2br w:val="nil"/>
                    <w:tr2bl w:val="nil"/>
                  </w:tcBorders>
                  <w:vAlign w:val="center"/>
                </w:tcPr>
                <w:p w14:paraId="7E2F368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燃烧爆炸性</w:t>
                  </w:r>
                </w:p>
              </w:tc>
              <w:tc>
                <w:tcPr>
                  <w:tcW w:w="959" w:type="pct"/>
                  <w:tcBorders>
                    <w:tl2br w:val="nil"/>
                    <w:tr2bl w:val="nil"/>
                  </w:tcBorders>
                  <w:vAlign w:val="center"/>
                </w:tcPr>
                <w:p w14:paraId="16D118A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毒性毒理</w:t>
                  </w:r>
                </w:p>
              </w:tc>
            </w:tr>
            <w:tr w14:paraId="08947F4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513" w:type="pct"/>
                  <w:tcBorders>
                    <w:tl2br w:val="nil"/>
                    <w:tr2bl w:val="nil"/>
                  </w:tcBorders>
                  <w:vAlign w:val="center"/>
                </w:tcPr>
                <w:p w14:paraId="1A9D1C6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cs="Times New Roman"/>
                      <w:color w:val="auto"/>
                      <w:sz w:val="18"/>
                      <w:szCs w:val="18"/>
                      <w:lang w:val="en-US" w:eastAsia="zh-CN"/>
                    </w:rPr>
                    <w:t>氯化镁</w:t>
                  </w:r>
                </w:p>
              </w:tc>
              <w:tc>
                <w:tcPr>
                  <w:tcW w:w="626" w:type="pct"/>
                  <w:tcBorders>
                    <w:tl2br w:val="nil"/>
                    <w:tr2bl w:val="nil"/>
                  </w:tcBorders>
                  <w:vAlign w:val="center"/>
                </w:tcPr>
                <w:p w14:paraId="1E83FA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cs="Times New Roman"/>
                      <w:color w:val="auto"/>
                      <w:sz w:val="18"/>
                      <w:szCs w:val="18"/>
                      <w:lang w:val="en-US" w:eastAsia="zh-CN"/>
                    </w:rPr>
                    <w:t>7786-30-3</w:t>
                  </w:r>
                </w:p>
              </w:tc>
              <w:tc>
                <w:tcPr>
                  <w:tcW w:w="2101" w:type="pct"/>
                  <w:tcBorders>
                    <w:tl2br w:val="nil"/>
                    <w:tr2bl w:val="nil"/>
                  </w:tcBorders>
                  <w:vAlign w:val="center"/>
                </w:tcPr>
                <w:p w14:paraId="233D37A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化学式MgCl</w:t>
                  </w:r>
                  <w:r>
                    <w:rPr>
                      <w:rFonts w:hint="default" w:ascii="Times New Roman" w:hAnsi="Times New Roman" w:eastAsia="宋体" w:cs="Times New Roman"/>
                      <w:color w:val="auto"/>
                      <w:sz w:val="18"/>
                      <w:szCs w:val="18"/>
                      <w:vertAlign w:val="subscript"/>
                      <w:lang w:val="en-US" w:eastAsia="zh-CN"/>
                    </w:rPr>
                    <w:t>2</w:t>
                  </w:r>
                  <w:r>
                    <w:rPr>
                      <w:rFonts w:hint="default" w:ascii="Times New Roman" w:hAnsi="Times New Roman" w:eastAsia="宋体" w:cs="Times New Roman"/>
                      <w:color w:val="auto"/>
                      <w:sz w:val="18"/>
                      <w:szCs w:val="18"/>
                      <w:lang w:val="en-US" w:eastAsia="zh-CN"/>
                    </w:rPr>
                    <w:t>，分子量为95.21，</w:t>
                  </w:r>
                  <w:r>
                    <w:rPr>
                      <w:rFonts w:hint="eastAsia" w:cs="Times New Roman"/>
                      <w:color w:val="auto"/>
                      <w:sz w:val="18"/>
                      <w:szCs w:val="18"/>
                      <w:lang w:val="en-US" w:eastAsia="zh-CN"/>
                    </w:rPr>
                    <w:t>本品用于灭火剂，本品为</w:t>
                  </w:r>
                  <w:r>
                    <w:rPr>
                      <w:rFonts w:hint="default" w:ascii="Times New Roman" w:hAnsi="Times New Roman" w:eastAsia="宋体" w:cs="Times New Roman"/>
                      <w:color w:val="auto"/>
                      <w:sz w:val="18"/>
                      <w:szCs w:val="18"/>
                      <w:lang w:val="en-US" w:eastAsia="zh-CN"/>
                    </w:rPr>
                    <w:t>无色</w:t>
                  </w:r>
                  <w:r>
                    <w:rPr>
                      <w:rFonts w:hint="eastAsia" w:cs="Times New Roman"/>
                      <w:color w:val="auto"/>
                      <w:sz w:val="18"/>
                      <w:szCs w:val="18"/>
                      <w:lang w:val="en-US" w:eastAsia="zh-CN"/>
                    </w:rPr>
                    <w:t>粉末</w:t>
                  </w:r>
                  <w:r>
                    <w:rPr>
                      <w:rFonts w:hint="default" w:ascii="Times New Roman" w:hAnsi="Times New Roman" w:eastAsia="宋体" w:cs="Times New Roman"/>
                      <w:color w:val="auto"/>
                      <w:sz w:val="18"/>
                      <w:szCs w:val="18"/>
                      <w:lang w:val="en-US" w:eastAsia="zh-CN"/>
                    </w:rPr>
                    <w:t>，</w:t>
                  </w:r>
                  <w:r>
                    <w:rPr>
                      <w:rFonts w:hint="eastAsia" w:cs="Times New Roman"/>
                      <w:color w:val="auto"/>
                      <w:sz w:val="18"/>
                      <w:szCs w:val="18"/>
                      <w:lang w:val="en-US" w:eastAsia="zh-CN"/>
                    </w:rPr>
                    <w:t>熔点708</w:t>
                  </w:r>
                  <w:r>
                    <w:rPr>
                      <w:rFonts w:hint="eastAsia" w:ascii="宋体" w:hAnsi="宋体" w:eastAsia="宋体" w:cs="宋体"/>
                      <w:color w:val="auto"/>
                      <w:sz w:val="18"/>
                      <w:szCs w:val="18"/>
                      <w:lang w:val="en-US" w:eastAsia="zh-CN"/>
                    </w:rPr>
                    <w:t>℃</w:t>
                  </w:r>
                  <w:r>
                    <w:rPr>
                      <w:rFonts w:hint="eastAsia" w:cs="Times New Roman"/>
                      <w:color w:val="auto"/>
                      <w:sz w:val="18"/>
                      <w:szCs w:val="18"/>
                      <w:lang w:val="en-US" w:eastAsia="zh-CN"/>
                    </w:rPr>
                    <w:t>，相对水密度2.235，</w:t>
                  </w:r>
                  <w:r>
                    <w:rPr>
                      <w:rFonts w:hint="default" w:ascii="Times New Roman" w:hAnsi="Times New Roman" w:eastAsia="宋体" w:cs="Times New Roman"/>
                      <w:color w:val="auto"/>
                      <w:sz w:val="18"/>
                      <w:szCs w:val="18"/>
                      <w:lang w:val="en-US" w:eastAsia="zh-CN"/>
                    </w:rPr>
                    <w:t>微溶于丙酮，溶于水、乙醇、甲醇、吡啶。</w:t>
                  </w:r>
                </w:p>
              </w:tc>
              <w:tc>
                <w:tcPr>
                  <w:tcW w:w="798" w:type="pct"/>
                  <w:tcBorders>
                    <w:tl2br w:val="nil"/>
                    <w:tr2bl w:val="nil"/>
                  </w:tcBorders>
                  <w:vAlign w:val="center"/>
                </w:tcPr>
                <w:p w14:paraId="6B2E8F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不燃，不易爆</w:t>
                  </w:r>
                </w:p>
              </w:tc>
              <w:tc>
                <w:tcPr>
                  <w:tcW w:w="959" w:type="pct"/>
                  <w:tcBorders>
                    <w:tl2br w:val="nil"/>
                    <w:tr2bl w:val="nil"/>
                  </w:tcBorders>
                  <w:vAlign w:val="center"/>
                </w:tcPr>
                <w:p w14:paraId="17F893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cs="Times New Roman"/>
                      <w:color w:val="auto"/>
                      <w:sz w:val="18"/>
                      <w:szCs w:val="18"/>
                      <w:lang w:val="en-US" w:eastAsia="zh-CN"/>
                    </w:rPr>
                    <w:t>LD50:2800mglkg（大鼠经口）LC50：无资料</w:t>
                  </w:r>
                </w:p>
              </w:tc>
            </w:tr>
            <w:tr w14:paraId="727DC5C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513" w:type="pct"/>
                  <w:tcBorders>
                    <w:tl2br w:val="nil"/>
                    <w:tr2bl w:val="nil"/>
                  </w:tcBorders>
                  <w:vAlign w:val="center"/>
                </w:tcPr>
                <w:p w14:paraId="13F4F68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cs="Times New Roman"/>
                      <w:color w:val="auto"/>
                      <w:sz w:val="18"/>
                      <w:szCs w:val="18"/>
                      <w:lang w:val="en-US" w:eastAsia="zh-CN"/>
                    </w:rPr>
                  </w:pPr>
                  <w:r>
                    <w:rPr>
                      <w:rFonts w:hint="eastAsia" w:cs="Times New Roman"/>
                      <w:color w:val="auto"/>
                      <w:sz w:val="18"/>
                      <w:szCs w:val="18"/>
                      <w:lang w:val="en-US" w:eastAsia="zh-CN"/>
                    </w:rPr>
                    <w:t>氧化镁</w:t>
                  </w:r>
                </w:p>
              </w:tc>
              <w:tc>
                <w:tcPr>
                  <w:tcW w:w="626" w:type="pct"/>
                  <w:tcBorders>
                    <w:tl2br w:val="nil"/>
                    <w:tr2bl w:val="nil"/>
                  </w:tcBorders>
                  <w:vAlign w:val="center"/>
                </w:tcPr>
                <w:p w14:paraId="22174A3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cs="Times New Roman"/>
                      <w:color w:val="auto"/>
                      <w:sz w:val="18"/>
                      <w:szCs w:val="18"/>
                      <w:lang w:val="en-US" w:eastAsia="zh-CN"/>
                    </w:rPr>
                  </w:pPr>
                  <w:r>
                    <w:rPr>
                      <w:rFonts w:hint="eastAsia" w:cs="Times New Roman"/>
                      <w:color w:val="auto"/>
                      <w:sz w:val="18"/>
                      <w:szCs w:val="18"/>
                      <w:lang w:val="en-US" w:eastAsia="zh-CN"/>
                    </w:rPr>
                    <w:t>1309-48-4</w:t>
                  </w:r>
                </w:p>
              </w:tc>
              <w:tc>
                <w:tcPr>
                  <w:tcW w:w="3295" w:type="dxa"/>
                  <w:tcBorders>
                    <w:tl2br w:val="nil"/>
                    <w:tr2bl w:val="nil"/>
                  </w:tcBorders>
                  <w:vAlign w:val="center"/>
                </w:tcPr>
                <w:p w14:paraId="074F0EF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化学式Mg</w:t>
                  </w:r>
                  <w:r>
                    <w:rPr>
                      <w:rFonts w:hint="eastAsia" w:ascii="Times New Roman" w:hAnsi="Times New Roman" w:eastAsia="宋体" w:cs="Times New Roman"/>
                      <w:color w:val="auto"/>
                      <w:sz w:val="18"/>
                      <w:szCs w:val="18"/>
                      <w:lang w:val="en-US" w:eastAsia="zh-CN"/>
                    </w:rPr>
                    <w:t>O</w:t>
                  </w:r>
                  <w:r>
                    <w:rPr>
                      <w:rFonts w:hint="default" w:ascii="Times New Roman" w:hAnsi="Times New Roman" w:eastAsia="宋体" w:cs="Times New Roman"/>
                      <w:color w:val="auto"/>
                      <w:sz w:val="18"/>
                      <w:szCs w:val="18"/>
                      <w:lang w:val="en-US" w:eastAsia="zh-CN"/>
                    </w:rPr>
                    <w:t>，分子量为</w:t>
                  </w:r>
                  <w:r>
                    <w:rPr>
                      <w:rFonts w:hint="eastAsia" w:ascii="Times New Roman" w:hAnsi="Times New Roman" w:eastAsia="宋体" w:cs="Times New Roman"/>
                      <w:color w:val="auto"/>
                      <w:sz w:val="18"/>
                      <w:szCs w:val="18"/>
                      <w:lang w:val="en-US" w:eastAsia="zh-CN"/>
                    </w:rPr>
                    <w:t>40.31</w:t>
                  </w:r>
                  <w:r>
                    <w:rPr>
                      <w:rFonts w:hint="default" w:ascii="Times New Roman" w:hAnsi="Times New Roman" w:eastAsia="宋体" w:cs="Times New Roman"/>
                      <w:color w:val="auto"/>
                      <w:sz w:val="18"/>
                      <w:szCs w:val="18"/>
                      <w:lang w:val="en-US" w:eastAsia="zh-CN"/>
                    </w:rPr>
                    <w:t>，</w:t>
                  </w:r>
                  <w:r>
                    <w:rPr>
                      <w:rFonts w:hint="eastAsia" w:cs="Times New Roman"/>
                      <w:color w:val="auto"/>
                      <w:sz w:val="18"/>
                      <w:szCs w:val="18"/>
                      <w:lang w:val="en-US" w:eastAsia="zh-CN"/>
                    </w:rPr>
                    <w:t>本品用于基料生产原料，本品为</w:t>
                  </w:r>
                  <w:r>
                    <w:rPr>
                      <w:rFonts w:hint="default" w:ascii="Times New Roman" w:hAnsi="Times New Roman" w:eastAsia="宋体" w:cs="Times New Roman"/>
                      <w:color w:val="auto"/>
                      <w:sz w:val="18"/>
                      <w:szCs w:val="18"/>
                      <w:lang w:val="en-US" w:eastAsia="zh-CN"/>
                    </w:rPr>
                    <w:t>无色</w:t>
                  </w:r>
                  <w:r>
                    <w:rPr>
                      <w:rFonts w:hint="eastAsia" w:cs="Times New Roman"/>
                      <w:color w:val="auto"/>
                      <w:sz w:val="18"/>
                      <w:szCs w:val="18"/>
                      <w:lang w:val="en-US" w:eastAsia="zh-CN"/>
                    </w:rPr>
                    <w:t>粉末</w:t>
                  </w:r>
                  <w:r>
                    <w:rPr>
                      <w:rFonts w:hint="default" w:ascii="Times New Roman" w:hAnsi="Times New Roman" w:eastAsia="宋体" w:cs="Times New Roman"/>
                      <w:color w:val="auto"/>
                      <w:sz w:val="18"/>
                      <w:szCs w:val="18"/>
                      <w:lang w:val="en-US" w:eastAsia="zh-CN"/>
                    </w:rPr>
                    <w:t>，</w:t>
                  </w:r>
                  <w:r>
                    <w:rPr>
                      <w:rFonts w:hint="eastAsia" w:cs="Times New Roman"/>
                      <w:color w:val="auto"/>
                      <w:sz w:val="18"/>
                      <w:szCs w:val="18"/>
                      <w:lang w:val="en-US" w:eastAsia="zh-CN"/>
                    </w:rPr>
                    <w:t>熔点2800</w:t>
                  </w:r>
                  <w:r>
                    <w:rPr>
                      <w:rFonts w:hint="eastAsia" w:ascii="宋体" w:hAnsi="宋体" w:eastAsia="宋体" w:cs="宋体"/>
                      <w:color w:val="auto"/>
                      <w:sz w:val="18"/>
                      <w:szCs w:val="18"/>
                      <w:lang w:val="en-US" w:eastAsia="zh-CN"/>
                    </w:rPr>
                    <w:t>℃</w:t>
                  </w:r>
                  <w:r>
                    <w:rPr>
                      <w:rFonts w:hint="eastAsia" w:cs="Times New Roman"/>
                      <w:color w:val="auto"/>
                      <w:sz w:val="18"/>
                      <w:szCs w:val="18"/>
                      <w:lang w:val="en-US" w:eastAsia="zh-CN"/>
                    </w:rPr>
                    <w:t>，沸点3600</w:t>
                  </w:r>
                  <w:r>
                    <w:rPr>
                      <w:rFonts w:hint="eastAsia" w:ascii="宋体" w:hAnsi="宋体" w:eastAsia="宋体" w:cs="宋体"/>
                      <w:color w:val="auto"/>
                      <w:sz w:val="18"/>
                      <w:szCs w:val="18"/>
                      <w:lang w:val="en-US" w:eastAsia="zh-CN"/>
                    </w:rPr>
                    <w:t>℃，</w:t>
                  </w:r>
                  <w:r>
                    <w:rPr>
                      <w:rFonts w:hint="eastAsia" w:cs="Times New Roman"/>
                      <w:color w:val="auto"/>
                      <w:sz w:val="18"/>
                      <w:szCs w:val="18"/>
                      <w:lang w:val="en-US" w:eastAsia="zh-CN"/>
                    </w:rPr>
                    <w:t>相对水密度3.58，</w:t>
                  </w:r>
                  <w:r>
                    <w:rPr>
                      <w:rFonts w:hint="default" w:ascii="Times New Roman" w:hAnsi="Times New Roman" w:eastAsia="宋体" w:cs="Times New Roman"/>
                      <w:color w:val="auto"/>
                      <w:sz w:val="18"/>
                      <w:szCs w:val="18"/>
                      <w:lang w:val="en-US" w:eastAsia="zh-CN"/>
                    </w:rPr>
                    <w:t>微溶于</w:t>
                  </w:r>
                  <w:r>
                    <w:rPr>
                      <w:rFonts w:hint="eastAsia" w:ascii="Times New Roman" w:hAnsi="Times New Roman" w:eastAsia="宋体" w:cs="Times New Roman"/>
                      <w:color w:val="auto"/>
                      <w:sz w:val="18"/>
                      <w:szCs w:val="18"/>
                      <w:lang w:val="en-US" w:eastAsia="zh-CN"/>
                    </w:rPr>
                    <w:t>水</w:t>
                  </w:r>
                  <w:r>
                    <w:rPr>
                      <w:rFonts w:hint="default" w:ascii="Times New Roman" w:hAnsi="Times New Roman" w:eastAsia="宋体" w:cs="Times New Roman"/>
                      <w:color w:val="auto"/>
                      <w:sz w:val="18"/>
                      <w:szCs w:val="18"/>
                      <w:lang w:val="en-US" w:eastAsia="zh-CN"/>
                    </w:rPr>
                    <w:t>。</w:t>
                  </w:r>
                </w:p>
              </w:tc>
              <w:tc>
                <w:tcPr>
                  <w:tcW w:w="1251" w:type="dxa"/>
                  <w:tcBorders>
                    <w:tl2br w:val="nil"/>
                    <w:tr2bl w:val="nil"/>
                  </w:tcBorders>
                  <w:vAlign w:val="center"/>
                </w:tcPr>
                <w:p w14:paraId="7E191F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不燃，不易爆</w:t>
                  </w:r>
                </w:p>
              </w:tc>
              <w:tc>
                <w:tcPr>
                  <w:tcW w:w="1507" w:type="dxa"/>
                  <w:tcBorders>
                    <w:tl2br w:val="nil"/>
                    <w:tr2bl w:val="nil"/>
                  </w:tcBorders>
                  <w:vAlign w:val="center"/>
                </w:tcPr>
                <w:p w14:paraId="4139C48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cs="Times New Roman"/>
                      <w:color w:val="auto"/>
                      <w:sz w:val="18"/>
                      <w:szCs w:val="18"/>
                      <w:lang w:val="en-US" w:eastAsia="zh-CN"/>
                    </w:rPr>
                  </w:pPr>
                  <w:r>
                    <w:rPr>
                      <w:rFonts w:hint="eastAsia" w:cs="Times New Roman"/>
                      <w:color w:val="auto"/>
                      <w:sz w:val="18"/>
                      <w:szCs w:val="18"/>
                      <w:lang w:val="en-US" w:eastAsia="zh-CN"/>
                    </w:rPr>
                    <w:t>LD50:无资料LC50：无资料</w:t>
                  </w:r>
                </w:p>
              </w:tc>
            </w:tr>
          </w:tbl>
          <w:p w14:paraId="7E4FF9D6">
            <w:pPr>
              <w:keepNext w:val="0"/>
              <w:keepLines w:val="0"/>
              <w:suppressLineNumbers w:val="0"/>
              <w:spacing w:before="0" w:beforeAutospacing="0" w:after="0" w:afterAutospacing="0"/>
              <w:ind w:left="0" w:right="0"/>
              <w:rPr>
                <w:rFonts w:hint="default" w:ascii="Times New Roman" w:hAnsi="Times New Roman" w:eastAsia="宋体" w:cs="Times New Roman"/>
                <w:b/>
                <w:bCs/>
                <w:color w:val="auto"/>
                <w:lang w:val="en-US" w:eastAsia="zh-CN"/>
              </w:rPr>
            </w:pPr>
            <w:r>
              <w:rPr>
                <w:rFonts w:hint="default" w:ascii="Times New Roman" w:hAnsi="Times New Roman" w:eastAsia="宋体" w:cs="Times New Roman"/>
                <w:b/>
                <w:bCs/>
                <w:color w:val="auto"/>
                <w:lang w:val="en-US" w:eastAsia="zh-CN"/>
              </w:rPr>
              <w:t>5.公用及辅助工程</w:t>
            </w:r>
          </w:p>
          <w:p w14:paraId="29878F60">
            <w:pPr>
              <w:keepNext w:val="0"/>
              <w:keepLines w:val="0"/>
              <w:suppressLineNumbers w:val="0"/>
              <w:bidi w:val="0"/>
              <w:spacing w:before="0" w:beforeAutospacing="0" w:after="0" w:afterAutospacing="0"/>
              <w:ind w:left="0" w:right="0"/>
              <w:rPr>
                <w:rFonts w:hint="default" w:ascii="Times New Roman" w:hAnsi="Times New Roman" w:eastAsia="宋体" w:cs="Times New Roman"/>
                <w:b w:val="0"/>
                <w:bCs w:val="0"/>
                <w:color w:val="auto"/>
                <w:lang w:val="en-US" w:eastAsia="zh-CN"/>
              </w:rPr>
            </w:pPr>
            <w:r>
              <w:rPr>
                <w:rFonts w:hint="eastAsia" w:ascii="Times New Roman" w:hAnsi="Times New Roman" w:eastAsia="宋体" w:cs="Times New Roman"/>
                <w:b w:val="0"/>
                <w:bCs w:val="0"/>
                <w:color w:val="auto"/>
                <w:lang w:val="en-US" w:eastAsia="zh-CN"/>
              </w:rPr>
              <w:t>项目公辅工程内容见表2.1-9。</w:t>
            </w:r>
          </w:p>
          <w:p w14:paraId="2A79505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bCs/>
                <w:color w:val="auto"/>
                <w:lang w:val="en-US" w:eastAsia="zh-CN"/>
              </w:rPr>
            </w:pPr>
            <w:r>
              <w:rPr>
                <w:rFonts w:hint="default" w:ascii="Times New Roman" w:hAnsi="Times New Roman" w:eastAsia="宋体" w:cs="Times New Roman"/>
                <w:b/>
                <w:bCs/>
                <w:color w:val="auto"/>
                <w:lang w:val="en-US" w:eastAsia="zh-CN"/>
              </w:rPr>
              <w:t>表2.1-</w:t>
            </w:r>
            <w:r>
              <w:rPr>
                <w:rFonts w:hint="eastAsia" w:cs="Times New Roman"/>
                <w:b/>
                <w:bCs/>
                <w:color w:val="auto"/>
                <w:lang w:val="en-US" w:eastAsia="zh-CN"/>
              </w:rPr>
              <w:t>9</w:t>
            </w:r>
            <w:r>
              <w:rPr>
                <w:rFonts w:hint="default" w:ascii="Times New Roman" w:hAnsi="Times New Roman" w:eastAsia="宋体" w:cs="Times New Roman"/>
                <w:b/>
                <w:bCs/>
                <w:color w:val="auto"/>
                <w:lang w:val="en-US" w:eastAsia="zh-CN"/>
              </w:rPr>
              <w:t xml:space="preserve">  </w:t>
            </w:r>
            <w:r>
              <w:rPr>
                <w:rFonts w:hint="eastAsia" w:cs="Times New Roman"/>
                <w:b/>
                <w:bCs/>
                <w:color w:val="auto"/>
                <w:lang w:val="en-US" w:eastAsia="zh-CN"/>
              </w:rPr>
              <w:t>拟建</w:t>
            </w:r>
            <w:r>
              <w:rPr>
                <w:rFonts w:hint="default" w:ascii="Times New Roman" w:hAnsi="Times New Roman" w:eastAsia="宋体" w:cs="Times New Roman"/>
                <w:b/>
                <w:bCs/>
                <w:color w:val="auto"/>
                <w:lang w:val="en-US" w:eastAsia="zh-CN"/>
              </w:rPr>
              <w:t>项目工程内容一览表</w:t>
            </w:r>
          </w:p>
          <w:tbl>
            <w:tblPr>
              <w:tblStyle w:val="27"/>
              <w:tblW w:w="4998" w:type="pct"/>
              <w:jc w:val="center"/>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autofit"/>
              <w:tblCellMar>
                <w:top w:w="0" w:type="dxa"/>
                <w:left w:w="0" w:type="dxa"/>
                <w:bottom w:w="0" w:type="dxa"/>
                <w:right w:w="0" w:type="dxa"/>
              </w:tblCellMar>
            </w:tblPr>
            <w:tblGrid>
              <w:gridCol w:w="1165"/>
              <w:gridCol w:w="1616"/>
              <w:gridCol w:w="3327"/>
              <w:gridCol w:w="1736"/>
            </w:tblGrid>
            <w:tr w14:paraId="674BCD24">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743" w:type="pct"/>
                  <w:tcBorders>
                    <w:tl2br w:val="nil"/>
                    <w:tr2bl w:val="nil"/>
                  </w:tcBorders>
                  <w:vAlign w:val="center"/>
                </w:tcPr>
                <w:p w14:paraId="493CA7BC">
                  <w:pPr>
                    <w:pStyle w:val="4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工程类别</w:t>
                  </w:r>
                </w:p>
              </w:tc>
              <w:tc>
                <w:tcPr>
                  <w:tcW w:w="1030" w:type="pct"/>
                  <w:tcBorders>
                    <w:tl2br w:val="nil"/>
                    <w:tr2bl w:val="nil"/>
                  </w:tcBorders>
                  <w:vAlign w:val="center"/>
                </w:tcPr>
                <w:p w14:paraId="0C5C7699">
                  <w:pPr>
                    <w:pStyle w:val="4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建设名称</w:t>
                  </w:r>
                </w:p>
              </w:tc>
              <w:tc>
                <w:tcPr>
                  <w:tcW w:w="2120" w:type="pct"/>
                  <w:tcBorders>
                    <w:tl2br w:val="nil"/>
                    <w:tr2bl w:val="nil"/>
                  </w:tcBorders>
                  <w:vAlign w:val="center"/>
                </w:tcPr>
                <w:p w14:paraId="2704EDA1">
                  <w:pPr>
                    <w:pStyle w:val="4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lang w:eastAsia="zh-CN"/>
                    </w:rPr>
                  </w:pPr>
                  <w:r>
                    <w:rPr>
                      <w:rFonts w:hint="eastAsia" w:ascii="Times New Roman" w:hAnsi="Times New Roman" w:cs="Times New Roman"/>
                      <w:b/>
                      <w:color w:val="auto"/>
                      <w:sz w:val="18"/>
                      <w:szCs w:val="18"/>
                      <w:lang w:eastAsia="zh-CN"/>
                    </w:rPr>
                    <w:t>建设内容</w:t>
                  </w:r>
                </w:p>
              </w:tc>
              <w:tc>
                <w:tcPr>
                  <w:tcW w:w="1106" w:type="pct"/>
                  <w:tcBorders>
                    <w:tl2br w:val="nil"/>
                    <w:tr2bl w:val="nil"/>
                  </w:tcBorders>
                  <w:vAlign w:val="center"/>
                </w:tcPr>
                <w:p w14:paraId="72A449FF">
                  <w:pPr>
                    <w:pStyle w:val="4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lang w:eastAsia="zh-CN"/>
                    </w:rPr>
                  </w:pPr>
                  <w:r>
                    <w:rPr>
                      <w:rFonts w:hint="eastAsia" w:ascii="Times New Roman" w:hAnsi="Times New Roman" w:cs="Times New Roman"/>
                      <w:b/>
                      <w:color w:val="auto"/>
                      <w:sz w:val="18"/>
                      <w:szCs w:val="18"/>
                      <w:lang w:eastAsia="zh-CN"/>
                    </w:rPr>
                    <w:t>备注</w:t>
                  </w:r>
                </w:p>
              </w:tc>
            </w:tr>
            <w:tr w14:paraId="5219548A">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743" w:type="pct"/>
                  <w:vMerge w:val="restart"/>
                  <w:tcBorders>
                    <w:tl2br w:val="nil"/>
                    <w:tr2bl w:val="nil"/>
                  </w:tcBorders>
                  <w:vAlign w:val="center"/>
                </w:tcPr>
                <w:p w14:paraId="408927EA">
                  <w:pPr>
                    <w:pStyle w:val="4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主体工程</w:t>
                  </w:r>
                </w:p>
              </w:tc>
              <w:tc>
                <w:tcPr>
                  <w:tcW w:w="1030" w:type="pct"/>
                  <w:tcBorders>
                    <w:tl2br w:val="nil"/>
                    <w:tr2bl w:val="nil"/>
                  </w:tcBorders>
                  <w:vAlign w:val="center"/>
                </w:tcPr>
                <w:p w14:paraId="389046D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color w:val="auto"/>
                      <w:kern w:val="0"/>
                      <w:sz w:val="18"/>
                      <w:szCs w:val="18"/>
                      <w:vertAlign w:val="baseline"/>
                      <w:lang w:val="en-US" w:eastAsia="zh-CN" w:bidi="zh-CN"/>
                    </w:rPr>
                  </w:pPr>
                  <w:r>
                    <w:rPr>
                      <w:rFonts w:hint="eastAsia" w:cs="Times New Roman"/>
                      <w:b w:val="0"/>
                      <w:bCs w:val="0"/>
                      <w:color w:val="auto"/>
                      <w:kern w:val="0"/>
                      <w:sz w:val="18"/>
                      <w:szCs w:val="18"/>
                      <w:vertAlign w:val="baseline"/>
                      <w:lang w:val="en-US" w:eastAsia="zh-CN" w:bidi="zh-CN"/>
                    </w:rPr>
                    <w:t>TL990型基料生产区</w:t>
                  </w:r>
                </w:p>
              </w:tc>
              <w:tc>
                <w:tcPr>
                  <w:tcW w:w="2120" w:type="pct"/>
                  <w:tcBorders>
                    <w:tl2br w:val="nil"/>
                    <w:tr2bl w:val="nil"/>
                  </w:tcBorders>
                  <w:vAlign w:val="center"/>
                </w:tcPr>
                <w:p w14:paraId="406BEDE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color w:val="auto"/>
                      <w:kern w:val="0"/>
                      <w:sz w:val="18"/>
                      <w:szCs w:val="18"/>
                      <w:vertAlign w:val="baseline"/>
                      <w:lang w:val="en-US" w:eastAsia="zh-CN" w:bidi="zh-CN"/>
                    </w:rPr>
                  </w:pPr>
                  <w:r>
                    <w:rPr>
                      <w:rFonts w:hint="eastAsia" w:ascii="Times New Roman" w:hAnsi="Times New Roman" w:cs="Times New Roman"/>
                      <w:b w:val="0"/>
                      <w:bCs w:val="0"/>
                      <w:color w:val="auto"/>
                      <w:kern w:val="0"/>
                      <w:sz w:val="18"/>
                      <w:szCs w:val="18"/>
                      <w:vertAlign w:val="baseline"/>
                      <w:lang w:val="en-US" w:eastAsia="zh-CN" w:bidi="zh-CN"/>
                    </w:rPr>
                    <w:t>1座，</w:t>
                  </w:r>
                  <w:r>
                    <w:rPr>
                      <w:rFonts w:hint="eastAsia" w:cs="Times New Roman"/>
                      <w:b w:val="0"/>
                      <w:bCs w:val="0"/>
                      <w:color w:val="auto"/>
                      <w:kern w:val="0"/>
                      <w:sz w:val="18"/>
                      <w:szCs w:val="18"/>
                      <w:vertAlign w:val="baseline"/>
                      <w:lang w:val="en-US" w:eastAsia="zh-CN" w:bidi="zh-CN"/>
                    </w:rPr>
                    <w:t>用于TL990型基料生产，占地105</w:t>
                  </w:r>
                  <w:r>
                    <w:rPr>
                      <w:rFonts w:hint="default" w:ascii="Times New Roman" w:hAnsi="Times New Roman" w:eastAsia="宋体" w:cs="Times New Roman"/>
                      <w:b w:val="0"/>
                      <w:bCs w:val="0"/>
                      <w:color w:val="auto"/>
                      <w:kern w:val="0"/>
                      <w:sz w:val="18"/>
                      <w:szCs w:val="18"/>
                      <w:vertAlign w:val="baseline"/>
                      <w:lang w:val="en-US" w:eastAsia="zh-CN" w:bidi="zh-CN"/>
                    </w:rPr>
                    <w:t>m</w:t>
                  </w:r>
                  <w:r>
                    <w:rPr>
                      <w:rFonts w:hint="default" w:ascii="Times New Roman" w:hAnsi="Times New Roman" w:eastAsia="宋体" w:cs="Times New Roman"/>
                      <w:b w:val="0"/>
                      <w:bCs w:val="0"/>
                      <w:color w:val="auto"/>
                      <w:kern w:val="0"/>
                      <w:sz w:val="18"/>
                      <w:szCs w:val="18"/>
                      <w:vertAlign w:val="superscript"/>
                      <w:lang w:val="en-US" w:eastAsia="zh-CN" w:bidi="zh-CN"/>
                    </w:rPr>
                    <w:t>2</w:t>
                  </w:r>
                </w:p>
              </w:tc>
              <w:tc>
                <w:tcPr>
                  <w:tcW w:w="1106" w:type="pct"/>
                  <w:vMerge w:val="restart"/>
                  <w:tcBorders>
                    <w:tl2br w:val="nil"/>
                    <w:tr2bl w:val="nil"/>
                  </w:tcBorders>
                  <w:vAlign w:val="center"/>
                </w:tcPr>
                <w:p w14:paraId="2F242B8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color w:val="auto"/>
                      <w:kern w:val="0"/>
                      <w:sz w:val="18"/>
                      <w:szCs w:val="18"/>
                      <w:vertAlign w:val="baseline"/>
                      <w:lang w:val="en-US" w:eastAsia="zh-CN" w:bidi="zh-CN"/>
                    </w:rPr>
                  </w:pPr>
                  <w:r>
                    <w:rPr>
                      <w:rFonts w:hint="eastAsia" w:cs="Times New Roman"/>
                      <w:b w:val="0"/>
                      <w:bCs w:val="0"/>
                      <w:color w:val="auto"/>
                      <w:kern w:val="0"/>
                      <w:sz w:val="18"/>
                      <w:szCs w:val="18"/>
                      <w:vertAlign w:val="baseline"/>
                      <w:lang w:val="en-US" w:eastAsia="zh-CN" w:bidi="zh-CN"/>
                    </w:rPr>
                    <w:t>在一栋生产厂房布设，厂房面积1417.28</w:t>
                  </w:r>
                  <w:r>
                    <w:rPr>
                      <w:rFonts w:hint="default" w:ascii="Times New Roman" w:hAnsi="Times New Roman" w:eastAsia="宋体" w:cs="Times New Roman"/>
                      <w:b w:val="0"/>
                      <w:bCs w:val="0"/>
                      <w:color w:val="auto"/>
                      <w:kern w:val="0"/>
                      <w:sz w:val="18"/>
                      <w:szCs w:val="18"/>
                      <w:vertAlign w:val="baseline"/>
                      <w:lang w:val="en-US" w:eastAsia="zh-CN" w:bidi="zh-CN"/>
                    </w:rPr>
                    <w:t>m</w:t>
                  </w:r>
                  <w:r>
                    <w:rPr>
                      <w:rFonts w:hint="default" w:ascii="Times New Roman" w:hAnsi="Times New Roman" w:eastAsia="宋体" w:cs="Times New Roman"/>
                      <w:b w:val="0"/>
                      <w:bCs w:val="0"/>
                      <w:color w:val="auto"/>
                      <w:kern w:val="0"/>
                      <w:sz w:val="18"/>
                      <w:szCs w:val="18"/>
                      <w:vertAlign w:val="superscript"/>
                      <w:lang w:val="en-US" w:eastAsia="zh-CN" w:bidi="zh-CN"/>
                    </w:rPr>
                    <w:t>2</w:t>
                  </w:r>
                </w:p>
              </w:tc>
            </w:tr>
            <w:tr w14:paraId="6F8618AE">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743" w:type="pct"/>
                  <w:vMerge w:val="continue"/>
                  <w:tcBorders>
                    <w:tl2br w:val="nil"/>
                    <w:tr2bl w:val="nil"/>
                  </w:tcBorders>
                  <w:vAlign w:val="center"/>
                </w:tcPr>
                <w:p w14:paraId="29647548">
                  <w:pPr>
                    <w:pStyle w:val="4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p>
              </w:tc>
              <w:tc>
                <w:tcPr>
                  <w:tcW w:w="1030" w:type="pct"/>
                  <w:tcBorders>
                    <w:tl2br w:val="nil"/>
                    <w:tr2bl w:val="nil"/>
                  </w:tcBorders>
                  <w:vAlign w:val="center"/>
                </w:tcPr>
                <w:p w14:paraId="4797FED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color w:val="auto"/>
                      <w:kern w:val="0"/>
                      <w:sz w:val="18"/>
                      <w:szCs w:val="18"/>
                      <w:vertAlign w:val="baseline"/>
                      <w:lang w:val="en-US" w:eastAsia="zh-CN" w:bidi="zh-CN"/>
                    </w:rPr>
                  </w:pPr>
                  <w:r>
                    <w:rPr>
                      <w:rFonts w:hint="eastAsia" w:cs="Times New Roman"/>
                      <w:b w:val="0"/>
                      <w:bCs w:val="0"/>
                      <w:color w:val="auto"/>
                      <w:kern w:val="0"/>
                      <w:sz w:val="18"/>
                      <w:szCs w:val="18"/>
                      <w:vertAlign w:val="baseline"/>
                      <w:lang w:val="en-US" w:eastAsia="zh-CN" w:bidi="zh-CN"/>
                    </w:rPr>
                    <w:t>TL990型辅助液生产区</w:t>
                  </w:r>
                </w:p>
              </w:tc>
              <w:tc>
                <w:tcPr>
                  <w:tcW w:w="2120" w:type="pct"/>
                  <w:tcBorders>
                    <w:tl2br w:val="nil"/>
                    <w:tr2bl w:val="nil"/>
                  </w:tcBorders>
                  <w:vAlign w:val="center"/>
                </w:tcPr>
                <w:p w14:paraId="2720573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color w:val="auto"/>
                      <w:kern w:val="0"/>
                      <w:sz w:val="18"/>
                      <w:szCs w:val="18"/>
                      <w:vertAlign w:val="baseline"/>
                      <w:lang w:val="en-US" w:eastAsia="zh-CN" w:bidi="zh-CN"/>
                    </w:rPr>
                  </w:pPr>
                  <w:r>
                    <w:rPr>
                      <w:rFonts w:hint="eastAsia" w:ascii="Times New Roman" w:hAnsi="Times New Roman" w:cs="Times New Roman"/>
                      <w:b w:val="0"/>
                      <w:bCs w:val="0"/>
                      <w:color w:val="auto"/>
                      <w:kern w:val="0"/>
                      <w:sz w:val="18"/>
                      <w:szCs w:val="18"/>
                      <w:vertAlign w:val="baseline"/>
                      <w:lang w:val="en-US" w:eastAsia="zh-CN" w:bidi="zh-CN"/>
                    </w:rPr>
                    <w:t>1座，</w:t>
                  </w:r>
                  <w:r>
                    <w:rPr>
                      <w:rFonts w:hint="eastAsia" w:cs="Times New Roman"/>
                      <w:b w:val="0"/>
                      <w:bCs w:val="0"/>
                      <w:color w:val="auto"/>
                      <w:kern w:val="0"/>
                      <w:sz w:val="18"/>
                      <w:szCs w:val="18"/>
                      <w:vertAlign w:val="baseline"/>
                      <w:lang w:val="en-US" w:eastAsia="zh-CN" w:bidi="zh-CN"/>
                    </w:rPr>
                    <w:t>用于TL990型辅助液生产，占地80</w:t>
                  </w:r>
                  <w:r>
                    <w:rPr>
                      <w:rFonts w:hint="default" w:ascii="Times New Roman" w:hAnsi="Times New Roman" w:eastAsia="宋体" w:cs="Times New Roman"/>
                      <w:b w:val="0"/>
                      <w:bCs w:val="0"/>
                      <w:color w:val="auto"/>
                      <w:kern w:val="0"/>
                      <w:sz w:val="18"/>
                      <w:szCs w:val="18"/>
                      <w:vertAlign w:val="baseline"/>
                      <w:lang w:val="en-US" w:eastAsia="zh-CN" w:bidi="zh-CN"/>
                    </w:rPr>
                    <w:t>m</w:t>
                  </w:r>
                  <w:r>
                    <w:rPr>
                      <w:rFonts w:hint="default" w:ascii="Times New Roman" w:hAnsi="Times New Roman" w:eastAsia="宋体" w:cs="Times New Roman"/>
                      <w:b w:val="0"/>
                      <w:bCs w:val="0"/>
                      <w:color w:val="auto"/>
                      <w:kern w:val="0"/>
                      <w:sz w:val="18"/>
                      <w:szCs w:val="18"/>
                      <w:vertAlign w:val="superscript"/>
                      <w:lang w:val="en-US" w:eastAsia="zh-CN" w:bidi="zh-CN"/>
                    </w:rPr>
                    <w:t>2</w:t>
                  </w:r>
                </w:p>
              </w:tc>
              <w:tc>
                <w:tcPr>
                  <w:tcW w:w="1106" w:type="pct"/>
                  <w:vMerge w:val="continue"/>
                  <w:tcBorders>
                    <w:tl2br w:val="nil"/>
                    <w:tr2bl w:val="nil"/>
                  </w:tcBorders>
                  <w:vAlign w:val="center"/>
                </w:tcPr>
                <w:p w14:paraId="6865983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0"/>
                      <w:sz w:val="18"/>
                      <w:szCs w:val="18"/>
                      <w:lang w:val="en-US" w:eastAsia="zh-CN" w:bidi="zh-CN"/>
                    </w:rPr>
                  </w:pPr>
                </w:p>
              </w:tc>
            </w:tr>
            <w:tr w14:paraId="5DF3FE4F">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743" w:type="pct"/>
                  <w:vMerge w:val="continue"/>
                  <w:tcBorders>
                    <w:tl2br w:val="nil"/>
                    <w:tr2bl w:val="nil"/>
                  </w:tcBorders>
                  <w:vAlign w:val="center"/>
                </w:tcPr>
                <w:p w14:paraId="20282675">
                  <w:pPr>
                    <w:pStyle w:val="4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p>
              </w:tc>
              <w:tc>
                <w:tcPr>
                  <w:tcW w:w="1030" w:type="pct"/>
                  <w:tcBorders>
                    <w:tl2br w:val="nil"/>
                    <w:tr2bl w:val="nil"/>
                  </w:tcBorders>
                  <w:vAlign w:val="center"/>
                </w:tcPr>
                <w:p w14:paraId="11CCFC8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s="Times New Roman"/>
                      <w:b w:val="0"/>
                      <w:bCs w:val="0"/>
                      <w:color w:val="auto"/>
                      <w:kern w:val="0"/>
                      <w:sz w:val="18"/>
                      <w:szCs w:val="18"/>
                      <w:vertAlign w:val="baseline"/>
                      <w:lang w:val="en-US" w:eastAsia="zh-CN" w:bidi="zh-CN"/>
                    </w:rPr>
                  </w:pPr>
                  <w:r>
                    <w:rPr>
                      <w:rFonts w:hint="eastAsia" w:cs="Times New Roman"/>
                      <w:b w:val="0"/>
                      <w:bCs w:val="0"/>
                      <w:color w:val="auto"/>
                      <w:kern w:val="0"/>
                      <w:sz w:val="18"/>
                      <w:szCs w:val="18"/>
                      <w:vertAlign w:val="baseline"/>
                      <w:lang w:val="en-US" w:eastAsia="zh-CN" w:bidi="zh-CN"/>
                    </w:rPr>
                    <w:t>KP800型产品生产区</w:t>
                  </w:r>
                </w:p>
              </w:tc>
              <w:tc>
                <w:tcPr>
                  <w:tcW w:w="2120" w:type="pct"/>
                  <w:tcBorders>
                    <w:tl2br w:val="nil"/>
                    <w:tr2bl w:val="nil"/>
                  </w:tcBorders>
                  <w:vAlign w:val="center"/>
                </w:tcPr>
                <w:p w14:paraId="433BCE7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s="Times New Roman"/>
                      <w:b w:val="0"/>
                      <w:bCs w:val="0"/>
                      <w:color w:val="auto"/>
                      <w:kern w:val="0"/>
                      <w:sz w:val="18"/>
                      <w:szCs w:val="18"/>
                      <w:vertAlign w:val="baseline"/>
                      <w:lang w:val="en-US" w:eastAsia="zh-CN" w:bidi="zh-CN"/>
                    </w:rPr>
                  </w:pPr>
                  <w:r>
                    <w:rPr>
                      <w:rFonts w:hint="eastAsia" w:ascii="Times New Roman" w:hAnsi="Times New Roman" w:cs="Times New Roman"/>
                      <w:b w:val="0"/>
                      <w:bCs w:val="0"/>
                      <w:color w:val="auto"/>
                      <w:kern w:val="0"/>
                      <w:sz w:val="18"/>
                      <w:szCs w:val="18"/>
                      <w:vertAlign w:val="baseline"/>
                      <w:lang w:val="en-US" w:eastAsia="zh-CN" w:bidi="zh-CN"/>
                    </w:rPr>
                    <w:t>1座，</w:t>
                  </w:r>
                  <w:r>
                    <w:rPr>
                      <w:rFonts w:hint="eastAsia" w:cs="Times New Roman"/>
                      <w:b w:val="0"/>
                      <w:bCs w:val="0"/>
                      <w:color w:val="auto"/>
                      <w:kern w:val="0"/>
                      <w:sz w:val="18"/>
                      <w:szCs w:val="18"/>
                      <w:vertAlign w:val="baseline"/>
                      <w:lang w:val="en-US" w:eastAsia="zh-CN" w:bidi="zh-CN"/>
                    </w:rPr>
                    <w:t>用于KP800型膨胀条及阻燃剂生产，占地110</w:t>
                  </w:r>
                  <w:r>
                    <w:rPr>
                      <w:rFonts w:hint="default" w:ascii="Times New Roman" w:hAnsi="Times New Roman" w:eastAsia="宋体" w:cs="Times New Roman"/>
                      <w:b w:val="0"/>
                      <w:bCs w:val="0"/>
                      <w:color w:val="auto"/>
                      <w:kern w:val="0"/>
                      <w:sz w:val="18"/>
                      <w:szCs w:val="18"/>
                      <w:vertAlign w:val="baseline"/>
                      <w:lang w:val="en-US" w:eastAsia="zh-CN" w:bidi="zh-CN"/>
                    </w:rPr>
                    <w:t>m</w:t>
                  </w:r>
                  <w:r>
                    <w:rPr>
                      <w:rFonts w:hint="default" w:ascii="Times New Roman" w:hAnsi="Times New Roman" w:eastAsia="宋体" w:cs="Times New Roman"/>
                      <w:b w:val="0"/>
                      <w:bCs w:val="0"/>
                      <w:color w:val="auto"/>
                      <w:kern w:val="0"/>
                      <w:sz w:val="18"/>
                      <w:szCs w:val="18"/>
                      <w:vertAlign w:val="superscript"/>
                      <w:lang w:val="en-US" w:eastAsia="zh-CN" w:bidi="zh-CN"/>
                    </w:rPr>
                    <w:t>2</w:t>
                  </w:r>
                </w:p>
              </w:tc>
              <w:tc>
                <w:tcPr>
                  <w:tcW w:w="1106" w:type="pct"/>
                  <w:vMerge w:val="continue"/>
                  <w:tcBorders>
                    <w:tl2br w:val="nil"/>
                    <w:tr2bl w:val="nil"/>
                  </w:tcBorders>
                  <w:vAlign w:val="center"/>
                </w:tcPr>
                <w:p w14:paraId="2D3BD05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0"/>
                      <w:sz w:val="18"/>
                      <w:szCs w:val="18"/>
                      <w:lang w:val="en-US" w:eastAsia="zh-CN" w:bidi="zh-CN"/>
                    </w:rPr>
                  </w:pPr>
                </w:p>
              </w:tc>
            </w:tr>
            <w:tr w14:paraId="77188676">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192" w:hRule="atLeast"/>
                <w:jc w:val="center"/>
              </w:trPr>
              <w:tc>
                <w:tcPr>
                  <w:tcW w:w="743" w:type="pct"/>
                  <w:vMerge w:val="restart"/>
                  <w:tcBorders>
                    <w:top w:val="single" w:color="auto" w:sz="4" w:space="0"/>
                    <w:tl2br w:val="nil"/>
                    <w:tr2bl w:val="nil"/>
                  </w:tcBorders>
                  <w:vAlign w:val="center"/>
                </w:tcPr>
                <w:p w14:paraId="1B2DDEAE">
                  <w:pPr>
                    <w:pStyle w:val="4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贮运工程</w:t>
                  </w:r>
                </w:p>
              </w:tc>
              <w:tc>
                <w:tcPr>
                  <w:tcW w:w="1030" w:type="pct"/>
                  <w:tcBorders>
                    <w:top w:val="single" w:color="auto" w:sz="4" w:space="0"/>
                    <w:tl2br w:val="nil"/>
                    <w:tr2bl w:val="nil"/>
                  </w:tcBorders>
                  <w:vAlign w:val="center"/>
                </w:tcPr>
                <w:p w14:paraId="658BFEF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color w:val="auto"/>
                      <w:kern w:val="0"/>
                      <w:sz w:val="18"/>
                      <w:szCs w:val="18"/>
                      <w:vertAlign w:val="baseline"/>
                      <w:lang w:val="en-US" w:eastAsia="zh-CN" w:bidi="zh-CN"/>
                    </w:rPr>
                  </w:pPr>
                  <w:r>
                    <w:rPr>
                      <w:rFonts w:hint="eastAsia" w:cs="Times New Roman"/>
                      <w:b w:val="0"/>
                      <w:bCs w:val="0"/>
                      <w:color w:val="auto"/>
                      <w:kern w:val="0"/>
                      <w:sz w:val="18"/>
                      <w:szCs w:val="18"/>
                      <w:vertAlign w:val="baseline"/>
                      <w:lang w:val="en-US" w:eastAsia="zh-CN" w:bidi="zh-CN"/>
                    </w:rPr>
                    <w:t>原料仓储区</w:t>
                  </w:r>
                </w:p>
              </w:tc>
              <w:tc>
                <w:tcPr>
                  <w:tcW w:w="2120" w:type="pct"/>
                  <w:tcBorders>
                    <w:tl2br w:val="nil"/>
                    <w:tr2bl w:val="nil"/>
                  </w:tcBorders>
                  <w:vAlign w:val="center"/>
                </w:tcPr>
                <w:p w14:paraId="45BA9065">
                  <w:pPr>
                    <w:pStyle w:val="4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val="0"/>
                      <w:bCs w:val="0"/>
                      <w:color w:val="auto"/>
                      <w:kern w:val="0"/>
                      <w:sz w:val="18"/>
                      <w:szCs w:val="18"/>
                      <w:vertAlign w:val="baseline"/>
                      <w:lang w:val="en-US" w:eastAsia="zh-CN" w:bidi="zh-CN"/>
                    </w:rPr>
                  </w:pPr>
                  <w:r>
                    <w:rPr>
                      <w:rFonts w:hint="eastAsia" w:ascii="Times New Roman" w:hAnsi="Times New Roman" w:cs="Times New Roman"/>
                      <w:b w:val="0"/>
                      <w:bCs w:val="0"/>
                      <w:color w:val="auto"/>
                      <w:kern w:val="0"/>
                      <w:sz w:val="18"/>
                      <w:szCs w:val="18"/>
                      <w:vertAlign w:val="baseline"/>
                      <w:lang w:val="en-US" w:eastAsia="zh-CN" w:bidi="zh-CN"/>
                    </w:rPr>
                    <w:t>1座，占地65m</w:t>
                  </w:r>
                  <w:r>
                    <w:rPr>
                      <w:rFonts w:hint="eastAsia" w:ascii="Times New Roman" w:hAnsi="Times New Roman" w:cs="Times New Roman"/>
                      <w:b w:val="0"/>
                      <w:bCs w:val="0"/>
                      <w:color w:val="auto"/>
                      <w:kern w:val="0"/>
                      <w:sz w:val="18"/>
                      <w:szCs w:val="18"/>
                      <w:vertAlign w:val="superscript"/>
                      <w:lang w:val="en-US" w:eastAsia="zh-CN" w:bidi="zh-CN"/>
                    </w:rPr>
                    <w:t>2</w:t>
                  </w:r>
                </w:p>
              </w:tc>
              <w:tc>
                <w:tcPr>
                  <w:tcW w:w="1106" w:type="pct"/>
                  <w:vMerge w:val="continue"/>
                  <w:tcBorders>
                    <w:tl2br w:val="nil"/>
                    <w:tr2bl w:val="nil"/>
                  </w:tcBorders>
                  <w:vAlign w:val="center"/>
                </w:tcPr>
                <w:p w14:paraId="1B7E535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color w:val="auto"/>
                      <w:kern w:val="0"/>
                      <w:sz w:val="18"/>
                      <w:szCs w:val="18"/>
                      <w:vertAlign w:val="baseline"/>
                      <w:lang w:val="en-US" w:eastAsia="zh-CN" w:bidi="zh-CN"/>
                    </w:rPr>
                  </w:pPr>
                </w:p>
              </w:tc>
            </w:tr>
            <w:tr w14:paraId="1B1F82FD">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293" w:hRule="atLeast"/>
                <w:jc w:val="center"/>
              </w:trPr>
              <w:tc>
                <w:tcPr>
                  <w:tcW w:w="743" w:type="pct"/>
                  <w:vMerge w:val="continue"/>
                  <w:tcBorders>
                    <w:tl2br w:val="nil"/>
                    <w:tr2bl w:val="nil"/>
                  </w:tcBorders>
                  <w:vAlign w:val="center"/>
                </w:tcPr>
                <w:p w14:paraId="05A0746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rPr>
                  </w:pPr>
                </w:p>
              </w:tc>
              <w:tc>
                <w:tcPr>
                  <w:tcW w:w="1030" w:type="pct"/>
                  <w:tcBorders>
                    <w:tl2br w:val="nil"/>
                    <w:tr2bl w:val="nil"/>
                  </w:tcBorders>
                  <w:vAlign w:val="center"/>
                </w:tcPr>
                <w:p w14:paraId="22CAA39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color w:val="auto"/>
                      <w:kern w:val="0"/>
                      <w:sz w:val="18"/>
                      <w:szCs w:val="18"/>
                      <w:vertAlign w:val="baseline"/>
                      <w:lang w:val="en-US" w:eastAsia="zh-CN" w:bidi="zh-CN"/>
                    </w:rPr>
                  </w:pPr>
                  <w:r>
                    <w:rPr>
                      <w:rFonts w:hint="eastAsia" w:cs="Times New Roman"/>
                      <w:b w:val="0"/>
                      <w:bCs w:val="0"/>
                      <w:color w:val="auto"/>
                      <w:kern w:val="0"/>
                      <w:sz w:val="18"/>
                      <w:szCs w:val="18"/>
                      <w:vertAlign w:val="baseline"/>
                      <w:lang w:val="en-US" w:eastAsia="zh-CN" w:bidi="zh-CN"/>
                    </w:rPr>
                    <w:t>成品堆放区</w:t>
                  </w:r>
                </w:p>
              </w:tc>
              <w:tc>
                <w:tcPr>
                  <w:tcW w:w="2120" w:type="pct"/>
                  <w:tcBorders>
                    <w:tl2br w:val="nil"/>
                    <w:tr2bl w:val="nil"/>
                  </w:tcBorders>
                  <w:vAlign w:val="center"/>
                </w:tcPr>
                <w:p w14:paraId="040A0B9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val="0"/>
                      <w:bCs w:val="0"/>
                      <w:color w:val="auto"/>
                      <w:kern w:val="0"/>
                      <w:sz w:val="18"/>
                      <w:szCs w:val="18"/>
                      <w:vertAlign w:val="baseline"/>
                      <w:lang w:val="en-US" w:eastAsia="zh-CN" w:bidi="zh-CN"/>
                    </w:rPr>
                  </w:pPr>
                  <w:r>
                    <w:rPr>
                      <w:rFonts w:hint="eastAsia" w:ascii="Times New Roman" w:hAnsi="Times New Roman" w:cs="Times New Roman"/>
                      <w:b w:val="0"/>
                      <w:bCs w:val="0"/>
                      <w:color w:val="auto"/>
                      <w:kern w:val="0"/>
                      <w:sz w:val="18"/>
                      <w:szCs w:val="18"/>
                      <w:vertAlign w:val="baseline"/>
                      <w:lang w:val="en-US" w:eastAsia="zh-CN" w:bidi="zh-CN"/>
                    </w:rPr>
                    <w:t>1座，占地65m</w:t>
                  </w:r>
                  <w:r>
                    <w:rPr>
                      <w:rFonts w:hint="eastAsia" w:ascii="Times New Roman" w:hAnsi="Times New Roman" w:cs="Times New Roman"/>
                      <w:b w:val="0"/>
                      <w:bCs w:val="0"/>
                      <w:color w:val="auto"/>
                      <w:kern w:val="0"/>
                      <w:sz w:val="18"/>
                      <w:szCs w:val="18"/>
                      <w:vertAlign w:val="superscript"/>
                      <w:lang w:val="en-US" w:eastAsia="zh-CN" w:bidi="zh-CN"/>
                    </w:rPr>
                    <w:t>2</w:t>
                  </w:r>
                </w:p>
              </w:tc>
              <w:tc>
                <w:tcPr>
                  <w:tcW w:w="1106" w:type="pct"/>
                  <w:vMerge w:val="continue"/>
                  <w:tcBorders>
                    <w:tl2br w:val="nil"/>
                    <w:tr2bl w:val="nil"/>
                  </w:tcBorders>
                  <w:vAlign w:val="center"/>
                </w:tcPr>
                <w:p w14:paraId="5FBBB8F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val="0"/>
                      <w:bCs w:val="0"/>
                      <w:color w:val="auto"/>
                      <w:kern w:val="0"/>
                      <w:sz w:val="18"/>
                      <w:szCs w:val="18"/>
                      <w:vertAlign w:val="baseline"/>
                      <w:lang w:val="en-US" w:eastAsia="zh-CN" w:bidi="zh-CN"/>
                    </w:rPr>
                  </w:pPr>
                </w:p>
              </w:tc>
            </w:tr>
            <w:tr w14:paraId="46CB3966">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167" w:hRule="atLeast"/>
                <w:jc w:val="center"/>
              </w:trPr>
              <w:tc>
                <w:tcPr>
                  <w:tcW w:w="743" w:type="pct"/>
                  <w:vMerge w:val="continue"/>
                  <w:tcBorders>
                    <w:tl2br w:val="nil"/>
                    <w:tr2bl w:val="nil"/>
                  </w:tcBorders>
                  <w:vAlign w:val="center"/>
                </w:tcPr>
                <w:p w14:paraId="7DBA4D6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rPr>
                  </w:pPr>
                </w:p>
              </w:tc>
              <w:tc>
                <w:tcPr>
                  <w:tcW w:w="1030" w:type="pct"/>
                  <w:tcBorders>
                    <w:tl2br w:val="nil"/>
                    <w:tr2bl w:val="nil"/>
                  </w:tcBorders>
                  <w:vAlign w:val="center"/>
                </w:tcPr>
                <w:p w14:paraId="21897DB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color w:val="auto"/>
                      <w:kern w:val="0"/>
                      <w:sz w:val="18"/>
                      <w:szCs w:val="18"/>
                      <w:vertAlign w:val="baseline"/>
                      <w:lang w:val="en-US" w:eastAsia="zh-CN" w:bidi="zh-CN"/>
                    </w:rPr>
                  </w:pPr>
                  <w:r>
                    <w:rPr>
                      <w:rFonts w:hint="eastAsia" w:cs="Times New Roman"/>
                      <w:b w:val="0"/>
                      <w:bCs w:val="0"/>
                      <w:color w:val="auto"/>
                      <w:kern w:val="0"/>
                      <w:sz w:val="18"/>
                      <w:szCs w:val="18"/>
                      <w:vertAlign w:val="baseline"/>
                      <w:lang w:val="en-US" w:eastAsia="zh-CN" w:bidi="zh-CN"/>
                    </w:rPr>
                    <w:t>办公区</w:t>
                  </w:r>
                </w:p>
              </w:tc>
              <w:tc>
                <w:tcPr>
                  <w:tcW w:w="2120" w:type="pct"/>
                  <w:tcBorders>
                    <w:tl2br w:val="nil"/>
                    <w:tr2bl w:val="nil"/>
                  </w:tcBorders>
                  <w:vAlign w:val="center"/>
                </w:tcPr>
                <w:p w14:paraId="2A38F1E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val="0"/>
                      <w:bCs w:val="0"/>
                      <w:color w:val="auto"/>
                      <w:kern w:val="0"/>
                      <w:sz w:val="18"/>
                      <w:szCs w:val="18"/>
                      <w:vertAlign w:val="baseline"/>
                      <w:lang w:val="en-US" w:eastAsia="zh-CN" w:bidi="zh-CN"/>
                    </w:rPr>
                  </w:pPr>
                  <w:r>
                    <w:rPr>
                      <w:rFonts w:hint="eastAsia" w:ascii="Times New Roman" w:hAnsi="Times New Roman" w:cs="Times New Roman"/>
                      <w:b w:val="0"/>
                      <w:bCs w:val="0"/>
                      <w:color w:val="auto"/>
                      <w:kern w:val="0"/>
                      <w:sz w:val="18"/>
                      <w:szCs w:val="18"/>
                      <w:vertAlign w:val="baseline"/>
                      <w:lang w:val="en-US" w:eastAsia="zh-CN" w:bidi="zh-CN"/>
                    </w:rPr>
                    <w:t>2座，占地100m</w:t>
                  </w:r>
                  <w:r>
                    <w:rPr>
                      <w:rFonts w:hint="eastAsia" w:ascii="Times New Roman" w:hAnsi="Times New Roman" w:cs="Times New Roman"/>
                      <w:b w:val="0"/>
                      <w:bCs w:val="0"/>
                      <w:color w:val="auto"/>
                      <w:kern w:val="0"/>
                      <w:sz w:val="18"/>
                      <w:szCs w:val="18"/>
                      <w:vertAlign w:val="superscript"/>
                      <w:lang w:val="en-US" w:eastAsia="zh-CN" w:bidi="zh-CN"/>
                    </w:rPr>
                    <w:t>2</w:t>
                  </w:r>
                </w:p>
              </w:tc>
              <w:tc>
                <w:tcPr>
                  <w:tcW w:w="1106" w:type="pct"/>
                  <w:vMerge w:val="continue"/>
                  <w:tcBorders>
                    <w:tl2br w:val="nil"/>
                    <w:tr2bl w:val="nil"/>
                  </w:tcBorders>
                  <w:vAlign w:val="center"/>
                </w:tcPr>
                <w:p w14:paraId="1F1CE29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color w:val="auto"/>
                      <w:kern w:val="0"/>
                      <w:sz w:val="18"/>
                      <w:szCs w:val="18"/>
                      <w:vertAlign w:val="baseline"/>
                      <w:lang w:val="en-US" w:eastAsia="zh-CN" w:bidi="zh-CN"/>
                    </w:rPr>
                  </w:pPr>
                </w:p>
              </w:tc>
            </w:tr>
            <w:tr w14:paraId="79178EA8">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167" w:hRule="atLeast"/>
                <w:jc w:val="center"/>
              </w:trPr>
              <w:tc>
                <w:tcPr>
                  <w:tcW w:w="743" w:type="pct"/>
                  <w:vMerge w:val="continue"/>
                  <w:tcBorders>
                    <w:tl2br w:val="nil"/>
                    <w:tr2bl w:val="nil"/>
                  </w:tcBorders>
                  <w:vAlign w:val="center"/>
                </w:tcPr>
                <w:p w14:paraId="0A88667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rPr>
                  </w:pPr>
                </w:p>
              </w:tc>
              <w:tc>
                <w:tcPr>
                  <w:tcW w:w="1030" w:type="pct"/>
                  <w:tcBorders>
                    <w:tl2br w:val="nil"/>
                    <w:tr2bl w:val="nil"/>
                  </w:tcBorders>
                  <w:vAlign w:val="center"/>
                </w:tcPr>
                <w:p w14:paraId="05ECE75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s="Times New Roman"/>
                      <w:b w:val="0"/>
                      <w:bCs w:val="0"/>
                      <w:color w:val="auto"/>
                      <w:kern w:val="0"/>
                      <w:sz w:val="18"/>
                      <w:szCs w:val="18"/>
                      <w:vertAlign w:val="baseline"/>
                      <w:lang w:val="en-US" w:eastAsia="zh-CN" w:bidi="zh-CN"/>
                    </w:rPr>
                  </w:pPr>
                  <w:r>
                    <w:rPr>
                      <w:rFonts w:hint="eastAsia" w:cs="Times New Roman"/>
                      <w:b w:val="0"/>
                      <w:bCs w:val="0"/>
                      <w:color w:val="auto"/>
                      <w:kern w:val="0"/>
                      <w:sz w:val="18"/>
                      <w:szCs w:val="18"/>
                      <w:vertAlign w:val="baseline"/>
                      <w:lang w:val="en-US" w:eastAsia="zh-CN" w:bidi="zh-CN"/>
                    </w:rPr>
                    <w:t>包装材料堆放区</w:t>
                  </w:r>
                </w:p>
              </w:tc>
              <w:tc>
                <w:tcPr>
                  <w:tcW w:w="2120" w:type="pct"/>
                  <w:tcBorders>
                    <w:tl2br w:val="nil"/>
                    <w:tr2bl w:val="nil"/>
                  </w:tcBorders>
                  <w:vAlign w:val="center"/>
                </w:tcPr>
                <w:p w14:paraId="4BC81F1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eastAsia" w:ascii="Times New Roman" w:hAnsi="Times New Roman" w:cs="Times New Roman"/>
                      <w:b w:val="0"/>
                      <w:bCs w:val="0"/>
                      <w:color w:val="auto"/>
                      <w:kern w:val="0"/>
                      <w:sz w:val="18"/>
                      <w:szCs w:val="18"/>
                      <w:vertAlign w:val="baseline"/>
                      <w:lang w:val="en-US" w:eastAsia="zh-CN" w:bidi="zh-CN"/>
                    </w:rPr>
                  </w:pPr>
                  <w:r>
                    <w:rPr>
                      <w:rFonts w:hint="eastAsia" w:ascii="Times New Roman" w:hAnsi="Times New Roman" w:cs="Times New Roman"/>
                      <w:b w:val="0"/>
                      <w:bCs w:val="0"/>
                      <w:color w:val="auto"/>
                      <w:kern w:val="0"/>
                      <w:sz w:val="18"/>
                      <w:szCs w:val="18"/>
                      <w:vertAlign w:val="baseline"/>
                      <w:lang w:val="en-US" w:eastAsia="zh-CN" w:bidi="zh-CN"/>
                    </w:rPr>
                    <w:t>1座，占地30m</w:t>
                  </w:r>
                  <w:r>
                    <w:rPr>
                      <w:rFonts w:hint="eastAsia" w:ascii="Times New Roman" w:hAnsi="Times New Roman" w:cs="Times New Roman"/>
                      <w:b w:val="0"/>
                      <w:bCs w:val="0"/>
                      <w:color w:val="auto"/>
                      <w:kern w:val="0"/>
                      <w:sz w:val="18"/>
                      <w:szCs w:val="18"/>
                      <w:vertAlign w:val="superscript"/>
                      <w:lang w:val="en-US" w:eastAsia="zh-CN" w:bidi="zh-CN"/>
                    </w:rPr>
                    <w:t>2</w:t>
                  </w:r>
                </w:p>
              </w:tc>
              <w:tc>
                <w:tcPr>
                  <w:tcW w:w="1106" w:type="pct"/>
                  <w:vMerge w:val="continue"/>
                  <w:tcBorders>
                    <w:tl2br w:val="nil"/>
                    <w:tr2bl w:val="nil"/>
                  </w:tcBorders>
                  <w:vAlign w:val="center"/>
                </w:tcPr>
                <w:p w14:paraId="172BEF5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color w:val="auto"/>
                      <w:kern w:val="0"/>
                      <w:sz w:val="18"/>
                      <w:szCs w:val="18"/>
                      <w:vertAlign w:val="baseline"/>
                      <w:lang w:val="en-US" w:eastAsia="zh-CN" w:bidi="zh-CN"/>
                    </w:rPr>
                  </w:pPr>
                </w:p>
              </w:tc>
            </w:tr>
            <w:tr w14:paraId="6723614B">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43" w:type="pct"/>
                  <w:vMerge w:val="restart"/>
                  <w:tcBorders>
                    <w:tl2br w:val="nil"/>
                    <w:tr2bl w:val="nil"/>
                  </w:tcBorders>
                  <w:vAlign w:val="center"/>
                </w:tcPr>
                <w:p w14:paraId="2B8FD70A">
                  <w:pPr>
                    <w:pStyle w:val="4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公用工程</w:t>
                  </w:r>
                </w:p>
              </w:tc>
              <w:tc>
                <w:tcPr>
                  <w:tcW w:w="1030" w:type="pct"/>
                  <w:tcBorders>
                    <w:tl2br w:val="nil"/>
                    <w:tr2bl w:val="nil"/>
                  </w:tcBorders>
                  <w:vAlign w:val="center"/>
                </w:tcPr>
                <w:p w14:paraId="01D2543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color w:val="auto"/>
                      <w:kern w:val="0"/>
                      <w:sz w:val="18"/>
                      <w:szCs w:val="18"/>
                      <w:vertAlign w:val="baseline"/>
                      <w:lang w:val="en-US" w:eastAsia="zh-CN" w:bidi="zh-CN"/>
                    </w:rPr>
                  </w:pPr>
                  <w:r>
                    <w:rPr>
                      <w:rFonts w:hint="default" w:ascii="Times New Roman" w:hAnsi="Times New Roman" w:eastAsia="宋体" w:cs="Times New Roman"/>
                      <w:b w:val="0"/>
                      <w:bCs w:val="0"/>
                      <w:color w:val="auto"/>
                      <w:kern w:val="0"/>
                      <w:sz w:val="18"/>
                      <w:szCs w:val="18"/>
                      <w:vertAlign w:val="baseline"/>
                      <w:lang w:val="en-US" w:eastAsia="zh-CN" w:bidi="zh-CN"/>
                    </w:rPr>
                    <w:t>给水系统</w:t>
                  </w:r>
                </w:p>
              </w:tc>
              <w:tc>
                <w:tcPr>
                  <w:tcW w:w="2120" w:type="pct"/>
                  <w:tcBorders>
                    <w:tl2br w:val="nil"/>
                    <w:tr2bl w:val="nil"/>
                  </w:tcBorders>
                  <w:vAlign w:val="center"/>
                </w:tcPr>
                <w:p w14:paraId="6503245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color w:val="auto"/>
                      <w:kern w:val="0"/>
                      <w:sz w:val="18"/>
                      <w:szCs w:val="18"/>
                      <w:vertAlign w:val="baseline"/>
                      <w:lang w:val="en-US" w:eastAsia="zh-CN" w:bidi="zh-CN"/>
                    </w:rPr>
                  </w:pPr>
                  <w:r>
                    <w:rPr>
                      <w:rFonts w:hint="eastAsia" w:cs="Times New Roman"/>
                      <w:b w:val="0"/>
                      <w:bCs w:val="0"/>
                      <w:color w:val="auto"/>
                      <w:kern w:val="0"/>
                      <w:sz w:val="18"/>
                      <w:szCs w:val="18"/>
                      <w:vertAlign w:val="baseline"/>
                      <w:lang w:val="en-US" w:eastAsia="zh-CN" w:bidi="zh-CN"/>
                    </w:rPr>
                    <w:t>250</w:t>
                  </w:r>
                  <w:r>
                    <w:rPr>
                      <w:rFonts w:hint="default" w:ascii="Times New Roman" w:hAnsi="Times New Roman" w:eastAsia="宋体" w:cs="Times New Roman"/>
                      <w:b w:val="0"/>
                      <w:bCs w:val="0"/>
                      <w:color w:val="auto"/>
                      <w:kern w:val="0"/>
                      <w:sz w:val="18"/>
                      <w:szCs w:val="18"/>
                      <w:vertAlign w:val="baseline"/>
                      <w:lang w:val="en-US" w:eastAsia="zh-CN" w:bidi="zh-CN"/>
                    </w:rPr>
                    <w:t>t/a</w:t>
                  </w:r>
                </w:p>
              </w:tc>
              <w:tc>
                <w:tcPr>
                  <w:tcW w:w="1106" w:type="pct"/>
                  <w:tcBorders>
                    <w:tl2br w:val="nil"/>
                    <w:tr2bl w:val="nil"/>
                  </w:tcBorders>
                  <w:vAlign w:val="center"/>
                </w:tcPr>
                <w:p w14:paraId="3827764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color w:val="auto"/>
                      <w:kern w:val="0"/>
                      <w:sz w:val="18"/>
                      <w:szCs w:val="18"/>
                      <w:vertAlign w:val="baseline"/>
                      <w:lang w:val="en-US" w:eastAsia="zh-CN" w:bidi="zh-CN"/>
                    </w:rPr>
                  </w:pPr>
                  <w:r>
                    <w:rPr>
                      <w:rFonts w:hint="eastAsia" w:cs="Times New Roman"/>
                      <w:color w:val="auto"/>
                      <w:kern w:val="0"/>
                      <w:sz w:val="18"/>
                      <w:szCs w:val="18"/>
                      <w:lang w:val="en-US" w:eastAsia="zh-CN" w:bidi="zh-CN"/>
                    </w:rPr>
                    <w:t>来自园区自来水管网</w:t>
                  </w:r>
                </w:p>
              </w:tc>
            </w:tr>
            <w:tr w14:paraId="3D75B5DC">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48" w:hRule="atLeast"/>
                <w:jc w:val="center"/>
              </w:trPr>
              <w:tc>
                <w:tcPr>
                  <w:tcW w:w="743" w:type="pct"/>
                  <w:vMerge w:val="continue"/>
                  <w:tcBorders>
                    <w:tl2br w:val="nil"/>
                    <w:tr2bl w:val="nil"/>
                  </w:tcBorders>
                  <w:vAlign w:val="center"/>
                </w:tcPr>
                <w:p w14:paraId="07B6C5A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p>
              </w:tc>
              <w:tc>
                <w:tcPr>
                  <w:tcW w:w="1030" w:type="pct"/>
                  <w:tcBorders>
                    <w:tl2br w:val="nil"/>
                    <w:tr2bl w:val="nil"/>
                  </w:tcBorders>
                  <w:vAlign w:val="center"/>
                </w:tcPr>
                <w:p w14:paraId="5F79EDC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color w:val="auto"/>
                      <w:kern w:val="0"/>
                      <w:sz w:val="18"/>
                      <w:szCs w:val="18"/>
                      <w:vertAlign w:val="baseline"/>
                      <w:lang w:val="en-US" w:eastAsia="zh-CN" w:bidi="zh-CN"/>
                    </w:rPr>
                  </w:pPr>
                  <w:r>
                    <w:rPr>
                      <w:rFonts w:hint="default" w:ascii="Times New Roman" w:hAnsi="Times New Roman" w:eastAsia="宋体" w:cs="Times New Roman"/>
                      <w:b w:val="0"/>
                      <w:bCs w:val="0"/>
                      <w:color w:val="auto"/>
                      <w:kern w:val="0"/>
                      <w:sz w:val="18"/>
                      <w:szCs w:val="18"/>
                      <w:vertAlign w:val="baseline"/>
                      <w:lang w:val="en-US" w:eastAsia="zh-CN" w:bidi="zh-CN"/>
                    </w:rPr>
                    <w:t>排水系统</w:t>
                  </w:r>
                </w:p>
              </w:tc>
              <w:tc>
                <w:tcPr>
                  <w:tcW w:w="2120" w:type="pct"/>
                  <w:tcBorders>
                    <w:tl2br w:val="nil"/>
                    <w:tr2bl w:val="nil"/>
                  </w:tcBorders>
                  <w:vAlign w:val="center"/>
                </w:tcPr>
                <w:p w14:paraId="54D64FD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color w:val="auto"/>
                      <w:kern w:val="0"/>
                      <w:sz w:val="18"/>
                      <w:szCs w:val="18"/>
                      <w:vertAlign w:val="baseline"/>
                      <w:lang w:val="en-US" w:eastAsia="zh-CN" w:bidi="zh-CN"/>
                    </w:rPr>
                  </w:pPr>
                  <w:r>
                    <w:rPr>
                      <w:rFonts w:hint="default" w:ascii="Times New Roman" w:hAnsi="Times New Roman" w:eastAsia="宋体" w:cs="Times New Roman"/>
                      <w:b w:val="0"/>
                      <w:bCs w:val="0"/>
                      <w:color w:val="auto"/>
                      <w:kern w:val="0"/>
                      <w:sz w:val="18"/>
                      <w:szCs w:val="18"/>
                      <w:vertAlign w:val="baseline"/>
                      <w:lang w:val="en-US" w:eastAsia="zh-CN" w:bidi="zh-CN"/>
                    </w:rPr>
                    <w:t>生活污水</w:t>
                  </w:r>
                  <w:r>
                    <w:rPr>
                      <w:rFonts w:hint="eastAsia" w:cs="Times New Roman"/>
                      <w:b w:val="0"/>
                      <w:bCs w:val="0"/>
                      <w:color w:val="auto"/>
                      <w:kern w:val="0"/>
                      <w:sz w:val="18"/>
                      <w:szCs w:val="18"/>
                      <w:vertAlign w:val="baseline"/>
                      <w:lang w:val="en-US" w:eastAsia="zh-CN" w:bidi="zh-CN"/>
                    </w:rPr>
                    <w:t>162</w:t>
                  </w:r>
                  <w:r>
                    <w:rPr>
                      <w:rFonts w:hint="default" w:ascii="Times New Roman" w:hAnsi="Times New Roman" w:eastAsia="宋体" w:cs="Times New Roman"/>
                      <w:b w:val="0"/>
                      <w:bCs w:val="0"/>
                      <w:color w:val="auto"/>
                      <w:kern w:val="0"/>
                      <w:sz w:val="18"/>
                      <w:szCs w:val="18"/>
                      <w:vertAlign w:val="baseline"/>
                      <w:lang w:val="en-US" w:eastAsia="zh-CN" w:bidi="zh-CN"/>
                    </w:rPr>
                    <w:t>t/a，</w:t>
                  </w:r>
                  <w:r>
                    <w:rPr>
                      <w:rFonts w:hint="eastAsia" w:cs="Times New Roman"/>
                      <w:b w:val="0"/>
                      <w:bCs w:val="0"/>
                      <w:color w:val="auto"/>
                      <w:kern w:val="0"/>
                      <w:sz w:val="18"/>
                      <w:szCs w:val="18"/>
                      <w:vertAlign w:val="baseline"/>
                      <w:lang w:val="en-US" w:eastAsia="zh-CN" w:bidi="zh-CN"/>
                    </w:rPr>
                    <w:t>经</w:t>
                  </w:r>
                  <w:r>
                    <w:rPr>
                      <w:rFonts w:hint="default" w:ascii="Times New Roman" w:hAnsi="Times New Roman" w:eastAsia="宋体" w:cs="Times New Roman"/>
                      <w:b w:val="0"/>
                      <w:bCs w:val="0"/>
                      <w:color w:val="auto"/>
                      <w:kern w:val="0"/>
                      <w:sz w:val="18"/>
                      <w:szCs w:val="18"/>
                      <w:vertAlign w:val="baseline"/>
                      <w:lang w:val="en-US" w:eastAsia="zh-CN" w:bidi="zh-CN"/>
                    </w:rPr>
                    <w:t>化粪池处理后</w:t>
                  </w:r>
                  <w:r>
                    <w:rPr>
                      <w:rFonts w:hint="eastAsia" w:cs="Times New Roman"/>
                      <w:b w:val="0"/>
                      <w:bCs w:val="0"/>
                      <w:color w:val="auto"/>
                      <w:kern w:val="0"/>
                      <w:sz w:val="18"/>
                      <w:szCs w:val="18"/>
                      <w:vertAlign w:val="baseline"/>
                      <w:lang w:val="en-US" w:eastAsia="zh-CN" w:bidi="zh-CN"/>
                    </w:rPr>
                    <w:t>排入新渡片区污水处理厂</w:t>
                  </w:r>
                </w:p>
              </w:tc>
              <w:tc>
                <w:tcPr>
                  <w:tcW w:w="1106" w:type="pct"/>
                  <w:tcBorders>
                    <w:tl2br w:val="nil"/>
                    <w:tr2bl w:val="nil"/>
                  </w:tcBorders>
                  <w:vAlign w:val="center"/>
                </w:tcPr>
                <w:p w14:paraId="52E2722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color w:val="auto"/>
                      <w:kern w:val="0"/>
                      <w:sz w:val="18"/>
                      <w:szCs w:val="18"/>
                      <w:vertAlign w:val="baseline"/>
                      <w:lang w:val="en-US" w:eastAsia="zh-CN" w:bidi="zh-CN"/>
                    </w:rPr>
                  </w:pPr>
                  <w:r>
                    <w:rPr>
                      <w:rFonts w:hint="eastAsia" w:cs="Times New Roman"/>
                      <w:color w:val="auto"/>
                      <w:kern w:val="0"/>
                      <w:sz w:val="18"/>
                      <w:szCs w:val="18"/>
                      <w:lang w:val="zh-CN" w:eastAsia="zh-CN" w:bidi="zh-CN"/>
                    </w:rPr>
                    <w:t>厂区实施“雨污分流”</w:t>
                  </w:r>
                </w:p>
              </w:tc>
            </w:tr>
            <w:tr w14:paraId="24885DAC">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230" w:hRule="atLeast"/>
                <w:jc w:val="center"/>
              </w:trPr>
              <w:tc>
                <w:tcPr>
                  <w:tcW w:w="743" w:type="pct"/>
                  <w:vMerge w:val="continue"/>
                  <w:tcBorders>
                    <w:tl2br w:val="nil"/>
                    <w:tr2bl w:val="nil"/>
                  </w:tcBorders>
                  <w:vAlign w:val="center"/>
                </w:tcPr>
                <w:p w14:paraId="243739E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p>
              </w:tc>
              <w:tc>
                <w:tcPr>
                  <w:tcW w:w="1030" w:type="pct"/>
                  <w:tcBorders>
                    <w:tl2br w:val="nil"/>
                    <w:tr2bl w:val="nil"/>
                  </w:tcBorders>
                  <w:vAlign w:val="center"/>
                </w:tcPr>
                <w:p w14:paraId="5848909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color w:val="auto"/>
                      <w:kern w:val="0"/>
                      <w:sz w:val="18"/>
                      <w:szCs w:val="18"/>
                      <w:vertAlign w:val="baseline"/>
                      <w:lang w:val="en-US" w:eastAsia="zh-CN" w:bidi="zh-CN"/>
                    </w:rPr>
                  </w:pPr>
                  <w:r>
                    <w:rPr>
                      <w:rFonts w:hint="default" w:ascii="Times New Roman" w:hAnsi="Times New Roman" w:eastAsia="宋体" w:cs="Times New Roman"/>
                      <w:b w:val="0"/>
                      <w:bCs w:val="0"/>
                      <w:color w:val="auto"/>
                      <w:kern w:val="0"/>
                      <w:sz w:val="18"/>
                      <w:szCs w:val="18"/>
                      <w:vertAlign w:val="baseline"/>
                      <w:lang w:val="en-US" w:eastAsia="zh-CN" w:bidi="zh-CN"/>
                    </w:rPr>
                    <w:t>供电系统</w:t>
                  </w:r>
                </w:p>
              </w:tc>
              <w:tc>
                <w:tcPr>
                  <w:tcW w:w="2120" w:type="pct"/>
                  <w:tcBorders>
                    <w:tl2br w:val="nil"/>
                    <w:tr2bl w:val="nil"/>
                  </w:tcBorders>
                  <w:vAlign w:val="center"/>
                </w:tcPr>
                <w:p w14:paraId="5F745AB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color w:val="auto"/>
                      <w:kern w:val="0"/>
                      <w:sz w:val="18"/>
                      <w:szCs w:val="18"/>
                      <w:vertAlign w:val="baseline"/>
                      <w:lang w:val="en-US" w:eastAsia="zh-CN" w:bidi="zh-CN"/>
                    </w:rPr>
                  </w:pPr>
                  <w:r>
                    <w:rPr>
                      <w:rFonts w:hint="eastAsia" w:cs="Times New Roman"/>
                      <w:b w:val="0"/>
                      <w:bCs w:val="0"/>
                      <w:color w:val="auto"/>
                      <w:sz w:val="18"/>
                      <w:szCs w:val="18"/>
                      <w:vertAlign w:val="baseline"/>
                      <w:lang w:val="en-US" w:eastAsia="zh-CN"/>
                    </w:rPr>
                    <w:t>2</w:t>
                  </w:r>
                  <w:r>
                    <w:rPr>
                      <w:rFonts w:hint="default" w:ascii="Times New Roman" w:hAnsi="Times New Roman" w:eastAsia="宋体" w:cs="Times New Roman"/>
                      <w:b w:val="0"/>
                      <w:bCs w:val="0"/>
                      <w:color w:val="auto"/>
                      <w:sz w:val="18"/>
                      <w:szCs w:val="18"/>
                      <w:vertAlign w:val="baseline"/>
                      <w:lang w:val="en-US" w:eastAsia="zh-CN"/>
                    </w:rPr>
                    <w:t>万千瓦时</w:t>
                  </w:r>
                </w:p>
              </w:tc>
              <w:tc>
                <w:tcPr>
                  <w:tcW w:w="1106" w:type="pct"/>
                  <w:tcBorders>
                    <w:tl2br w:val="nil"/>
                    <w:tr2bl w:val="nil"/>
                  </w:tcBorders>
                  <w:vAlign w:val="center"/>
                </w:tcPr>
                <w:p w14:paraId="720E891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color w:val="auto"/>
                      <w:kern w:val="0"/>
                      <w:sz w:val="18"/>
                      <w:szCs w:val="18"/>
                      <w:vertAlign w:val="baseline"/>
                      <w:lang w:val="en-US" w:eastAsia="zh-CN" w:bidi="zh-CN"/>
                    </w:rPr>
                  </w:pPr>
                  <w:r>
                    <w:rPr>
                      <w:rFonts w:hint="eastAsia" w:cs="Times New Roman"/>
                      <w:b w:val="0"/>
                      <w:bCs w:val="0"/>
                      <w:color w:val="auto"/>
                      <w:kern w:val="0"/>
                      <w:sz w:val="18"/>
                      <w:szCs w:val="18"/>
                      <w:vertAlign w:val="baseline"/>
                      <w:lang w:val="en-US" w:eastAsia="zh-CN" w:bidi="zh-CN"/>
                    </w:rPr>
                    <w:t>来自市政电网</w:t>
                  </w:r>
                </w:p>
              </w:tc>
            </w:tr>
            <w:tr w14:paraId="09DC9B82">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239" w:hRule="atLeast"/>
                <w:jc w:val="center"/>
              </w:trPr>
              <w:tc>
                <w:tcPr>
                  <w:tcW w:w="743" w:type="pct"/>
                  <w:tcBorders>
                    <w:tl2br w:val="nil"/>
                    <w:tr2bl w:val="nil"/>
                  </w:tcBorders>
                  <w:vAlign w:val="center"/>
                </w:tcPr>
                <w:p w14:paraId="243886D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0"/>
                      <w:sz w:val="18"/>
                      <w:szCs w:val="18"/>
                      <w:lang w:val="zh-CN" w:eastAsia="zh-CN" w:bidi="zh-CN"/>
                    </w:rPr>
                  </w:pPr>
                  <w:r>
                    <w:rPr>
                      <w:rFonts w:hint="default" w:ascii="Times New Roman" w:hAnsi="Times New Roman" w:eastAsia="宋体" w:cs="Times New Roman"/>
                      <w:color w:val="auto"/>
                      <w:kern w:val="0"/>
                      <w:sz w:val="18"/>
                      <w:szCs w:val="18"/>
                      <w:lang w:val="zh-CN" w:eastAsia="zh-CN" w:bidi="zh-CN"/>
                    </w:rPr>
                    <w:t>辅助工程</w:t>
                  </w:r>
                </w:p>
              </w:tc>
              <w:tc>
                <w:tcPr>
                  <w:tcW w:w="1030" w:type="pct"/>
                  <w:tcBorders>
                    <w:tl2br w:val="nil"/>
                    <w:tr2bl w:val="nil"/>
                  </w:tcBorders>
                  <w:vAlign w:val="center"/>
                </w:tcPr>
                <w:p w14:paraId="12E1FBD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0"/>
                      <w:sz w:val="18"/>
                      <w:szCs w:val="18"/>
                      <w:lang w:val="en-US" w:eastAsia="zh-CN" w:bidi="zh-CN"/>
                    </w:rPr>
                  </w:pPr>
                  <w:r>
                    <w:rPr>
                      <w:rFonts w:hint="eastAsia" w:cs="Times New Roman"/>
                      <w:color w:val="auto"/>
                      <w:kern w:val="0"/>
                      <w:sz w:val="18"/>
                      <w:szCs w:val="18"/>
                      <w:lang w:val="en-US" w:eastAsia="zh-CN" w:bidi="zh-CN"/>
                    </w:rPr>
                    <w:t>门卫</w:t>
                  </w:r>
                </w:p>
              </w:tc>
              <w:tc>
                <w:tcPr>
                  <w:tcW w:w="2120" w:type="pct"/>
                  <w:tcBorders>
                    <w:tl2br w:val="nil"/>
                    <w:tr2bl w:val="nil"/>
                  </w:tcBorders>
                  <w:vAlign w:val="center"/>
                </w:tcPr>
                <w:p w14:paraId="382BFE8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color w:val="auto"/>
                      <w:kern w:val="0"/>
                      <w:sz w:val="18"/>
                      <w:szCs w:val="18"/>
                      <w:vertAlign w:val="baseline"/>
                      <w:lang w:val="en-US" w:eastAsia="zh-CN" w:bidi="zh-CN"/>
                    </w:rPr>
                  </w:pPr>
                  <w:r>
                    <w:rPr>
                      <w:rFonts w:hint="eastAsia" w:ascii="Times New Roman" w:hAnsi="Times New Roman" w:cs="Times New Roman"/>
                      <w:b w:val="0"/>
                      <w:bCs w:val="0"/>
                      <w:color w:val="auto"/>
                      <w:kern w:val="0"/>
                      <w:sz w:val="18"/>
                      <w:szCs w:val="18"/>
                      <w:vertAlign w:val="baseline"/>
                      <w:lang w:val="en-US" w:eastAsia="zh-CN" w:bidi="zh-CN"/>
                    </w:rPr>
                    <w:t>1座，占地10m</w:t>
                  </w:r>
                  <w:r>
                    <w:rPr>
                      <w:rFonts w:hint="eastAsia" w:ascii="Times New Roman" w:hAnsi="Times New Roman" w:cs="Times New Roman"/>
                      <w:b w:val="0"/>
                      <w:bCs w:val="0"/>
                      <w:color w:val="auto"/>
                      <w:kern w:val="0"/>
                      <w:sz w:val="18"/>
                      <w:szCs w:val="18"/>
                      <w:vertAlign w:val="superscript"/>
                      <w:lang w:val="en-US" w:eastAsia="zh-CN" w:bidi="zh-CN"/>
                    </w:rPr>
                    <w:t>2</w:t>
                  </w:r>
                </w:p>
              </w:tc>
              <w:tc>
                <w:tcPr>
                  <w:tcW w:w="1106" w:type="pct"/>
                  <w:tcBorders>
                    <w:tl2br w:val="nil"/>
                    <w:tr2bl w:val="nil"/>
                  </w:tcBorders>
                  <w:vAlign w:val="center"/>
                </w:tcPr>
                <w:p w14:paraId="79EB898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color w:val="auto"/>
                      <w:kern w:val="0"/>
                      <w:sz w:val="18"/>
                      <w:szCs w:val="18"/>
                      <w:vertAlign w:val="baseline"/>
                      <w:lang w:val="en-US" w:eastAsia="zh-CN" w:bidi="zh-CN"/>
                    </w:rPr>
                  </w:pPr>
                  <w:r>
                    <w:rPr>
                      <w:rFonts w:hint="eastAsia" w:cs="Times New Roman"/>
                      <w:color w:val="auto"/>
                      <w:kern w:val="0"/>
                      <w:sz w:val="18"/>
                      <w:szCs w:val="18"/>
                      <w:lang w:val="en-US" w:eastAsia="zh-CN" w:bidi="zh-CN"/>
                    </w:rPr>
                    <w:t>/</w:t>
                  </w:r>
                </w:p>
              </w:tc>
            </w:tr>
            <w:tr w14:paraId="03633D30">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250" w:hRule="atLeast"/>
                <w:jc w:val="center"/>
              </w:trPr>
              <w:tc>
                <w:tcPr>
                  <w:tcW w:w="743" w:type="pct"/>
                  <w:vMerge w:val="restart"/>
                  <w:tcBorders>
                    <w:tl2br w:val="nil"/>
                    <w:tr2bl w:val="nil"/>
                  </w:tcBorders>
                  <w:vAlign w:val="center"/>
                </w:tcPr>
                <w:p w14:paraId="3D13F84F">
                  <w:pPr>
                    <w:pStyle w:val="4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环保工程</w:t>
                  </w:r>
                </w:p>
              </w:tc>
              <w:tc>
                <w:tcPr>
                  <w:tcW w:w="1030" w:type="pct"/>
                  <w:tcBorders>
                    <w:tl2br w:val="nil"/>
                    <w:tr2bl w:val="nil"/>
                  </w:tcBorders>
                  <w:vAlign w:val="center"/>
                </w:tcPr>
                <w:p w14:paraId="6723377F">
                  <w:pPr>
                    <w:pStyle w:val="4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0"/>
                      <w:sz w:val="18"/>
                      <w:szCs w:val="18"/>
                      <w:lang w:val="zh-CN" w:eastAsia="zh-CN" w:bidi="zh-CN"/>
                    </w:rPr>
                  </w:pPr>
                  <w:r>
                    <w:rPr>
                      <w:rFonts w:hint="default" w:ascii="Times New Roman" w:hAnsi="Times New Roman" w:eastAsia="宋体" w:cs="Times New Roman"/>
                      <w:color w:val="auto"/>
                      <w:sz w:val="18"/>
                      <w:szCs w:val="18"/>
                    </w:rPr>
                    <w:t>废水处理设施</w:t>
                  </w:r>
                </w:p>
              </w:tc>
              <w:tc>
                <w:tcPr>
                  <w:tcW w:w="2120" w:type="pct"/>
                  <w:tcBorders>
                    <w:tl2br w:val="nil"/>
                    <w:tr2bl w:val="nil"/>
                  </w:tcBorders>
                  <w:vAlign w:val="center"/>
                </w:tcPr>
                <w:p w14:paraId="1C05EF53">
                  <w:pPr>
                    <w:pStyle w:val="4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0"/>
                      <w:sz w:val="18"/>
                      <w:szCs w:val="18"/>
                      <w:lang w:val="en-US" w:eastAsia="zh-CN" w:bidi="zh-CN"/>
                    </w:rPr>
                  </w:pPr>
                  <w:r>
                    <w:rPr>
                      <w:rFonts w:hint="eastAsia" w:ascii="Times New Roman" w:hAnsi="Times New Roman" w:cs="Times New Roman"/>
                      <w:color w:val="auto"/>
                      <w:kern w:val="0"/>
                      <w:sz w:val="18"/>
                      <w:szCs w:val="18"/>
                      <w:lang w:val="en-US" w:eastAsia="zh-CN" w:bidi="zh-CN"/>
                    </w:rPr>
                    <w:t>化粪池1座，用于生活污水处理</w:t>
                  </w:r>
                </w:p>
              </w:tc>
              <w:tc>
                <w:tcPr>
                  <w:tcW w:w="1106" w:type="pct"/>
                  <w:tcBorders>
                    <w:tl2br w:val="nil"/>
                    <w:tr2bl w:val="nil"/>
                  </w:tcBorders>
                  <w:vAlign w:val="center"/>
                </w:tcPr>
                <w:p w14:paraId="110F6E70">
                  <w:pPr>
                    <w:pStyle w:val="4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0"/>
                      <w:sz w:val="18"/>
                      <w:szCs w:val="18"/>
                      <w:lang w:val="zh-CN" w:eastAsia="zh-CN" w:bidi="zh-CN"/>
                    </w:rPr>
                  </w:pPr>
                  <w:r>
                    <w:rPr>
                      <w:rFonts w:hint="eastAsia" w:ascii="Times New Roman" w:hAnsi="Times New Roman" w:cs="Times New Roman"/>
                      <w:color w:val="auto"/>
                      <w:kern w:val="0"/>
                      <w:sz w:val="18"/>
                      <w:szCs w:val="18"/>
                      <w:lang w:val="en-US" w:eastAsia="zh-CN" w:bidi="zh-CN"/>
                    </w:rPr>
                    <w:t>/</w:t>
                  </w:r>
                </w:p>
              </w:tc>
            </w:tr>
            <w:tr w14:paraId="52BCB8FB">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743" w:type="pct"/>
                  <w:vMerge w:val="continue"/>
                  <w:tcBorders>
                    <w:tl2br w:val="nil"/>
                    <w:tr2bl w:val="nil"/>
                  </w:tcBorders>
                  <w:vAlign w:val="center"/>
                </w:tcPr>
                <w:p w14:paraId="0B7EA4B2">
                  <w:pPr>
                    <w:pStyle w:val="4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p>
              </w:tc>
              <w:tc>
                <w:tcPr>
                  <w:tcW w:w="1030" w:type="pct"/>
                  <w:tcBorders>
                    <w:tl2br w:val="nil"/>
                    <w:tr2bl w:val="nil"/>
                  </w:tcBorders>
                  <w:vAlign w:val="center"/>
                </w:tcPr>
                <w:p w14:paraId="25837E6E">
                  <w:pPr>
                    <w:pStyle w:val="4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eastAsia="zh-CN"/>
                    </w:rPr>
                  </w:pPr>
                  <w:r>
                    <w:rPr>
                      <w:rFonts w:hint="default" w:ascii="Times New Roman" w:hAnsi="Times New Roman" w:eastAsia="宋体" w:cs="Times New Roman"/>
                      <w:color w:val="auto"/>
                      <w:sz w:val="18"/>
                      <w:szCs w:val="18"/>
                      <w:lang w:eastAsia="zh-CN"/>
                    </w:rPr>
                    <w:t>废气处理设施</w:t>
                  </w:r>
                </w:p>
              </w:tc>
              <w:tc>
                <w:tcPr>
                  <w:tcW w:w="2120" w:type="pct"/>
                  <w:tcBorders>
                    <w:tl2br w:val="nil"/>
                    <w:tr2bl w:val="nil"/>
                  </w:tcBorders>
                  <w:vAlign w:val="center"/>
                </w:tcPr>
                <w:p w14:paraId="65895B79">
                  <w:pPr>
                    <w:pStyle w:val="4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ascii="Times New Roman" w:hAnsi="Times New Roman" w:cs="Times New Roman"/>
                      <w:color w:val="auto"/>
                      <w:sz w:val="18"/>
                      <w:szCs w:val="18"/>
                      <w:lang w:eastAsia="zh-CN"/>
                    </w:rPr>
                    <w:t>袋式除尘装置</w:t>
                  </w:r>
                  <w:r>
                    <w:rPr>
                      <w:rFonts w:hint="default" w:ascii="Times New Roman" w:hAnsi="Times New Roman" w:eastAsia="宋体" w:cs="Times New Roman"/>
                      <w:color w:val="auto"/>
                      <w:sz w:val="18"/>
                      <w:szCs w:val="18"/>
                    </w:rPr>
                    <w:t>1座</w:t>
                  </w:r>
                  <w:r>
                    <w:rPr>
                      <w:rFonts w:hint="eastAsia" w:ascii="Times New Roman" w:hAnsi="Times New Roman" w:cs="Times New Roman"/>
                      <w:color w:val="auto"/>
                      <w:sz w:val="18"/>
                      <w:szCs w:val="18"/>
                      <w:lang w:val="en-US" w:eastAsia="zh-CN"/>
                    </w:rPr>
                    <w:t>+1根15m排气筒DA001，用于工艺废气颗粒物处理</w:t>
                  </w:r>
                </w:p>
              </w:tc>
              <w:tc>
                <w:tcPr>
                  <w:tcW w:w="1106" w:type="pct"/>
                  <w:tcBorders>
                    <w:tl2br w:val="nil"/>
                    <w:tr2bl w:val="nil"/>
                  </w:tcBorders>
                  <w:vAlign w:val="center"/>
                </w:tcPr>
                <w:p w14:paraId="205BD7E7">
                  <w:pPr>
                    <w:pStyle w:val="4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val="0"/>
                      <w:bCs w:val="0"/>
                      <w:color w:val="auto"/>
                      <w:kern w:val="0"/>
                      <w:sz w:val="18"/>
                      <w:szCs w:val="18"/>
                      <w:vertAlign w:val="baseline"/>
                      <w:lang w:val="en-US" w:eastAsia="zh-CN" w:bidi="zh-CN"/>
                    </w:rPr>
                  </w:pPr>
                  <w:r>
                    <w:rPr>
                      <w:rFonts w:hint="eastAsia" w:ascii="Times New Roman" w:hAnsi="Times New Roman" w:cs="Times New Roman"/>
                      <w:b w:val="0"/>
                      <w:bCs w:val="0"/>
                      <w:color w:val="auto"/>
                      <w:kern w:val="0"/>
                      <w:sz w:val="18"/>
                      <w:szCs w:val="18"/>
                      <w:vertAlign w:val="baseline"/>
                      <w:lang w:val="en-US" w:eastAsia="zh-CN" w:bidi="zh-CN"/>
                    </w:rPr>
                    <w:t>/</w:t>
                  </w:r>
                </w:p>
              </w:tc>
            </w:tr>
            <w:tr w14:paraId="5083613F">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249" w:hRule="atLeast"/>
                <w:jc w:val="center"/>
              </w:trPr>
              <w:tc>
                <w:tcPr>
                  <w:tcW w:w="743" w:type="pct"/>
                  <w:vMerge w:val="continue"/>
                  <w:tcBorders>
                    <w:tl2br w:val="nil"/>
                    <w:tr2bl w:val="nil"/>
                  </w:tcBorders>
                  <w:vAlign w:val="center"/>
                </w:tcPr>
                <w:p w14:paraId="32C506C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p>
              </w:tc>
              <w:tc>
                <w:tcPr>
                  <w:tcW w:w="1030" w:type="pct"/>
                  <w:tcBorders>
                    <w:tl2br w:val="nil"/>
                    <w:tr2bl w:val="nil"/>
                  </w:tcBorders>
                  <w:vAlign w:val="center"/>
                </w:tcPr>
                <w:p w14:paraId="59676CE0">
                  <w:pPr>
                    <w:pStyle w:val="4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噪声治理设施</w:t>
                  </w:r>
                </w:p>
              </w:tc>
              <w:tc>
                <w:tcPr>
                  <w:tcW w:w="2120" w:type="pct"/>
                  <w:tcBorders>
                    <w:tl2br w:val="nil"/>
                    <w:tr2bl w:val="nil"/>
                  </w:tcBorders>
                  <w:vAlign w:val="center"/>
                </w:tcPr>
                <w:p w14:paraId="49B68443">
                  <w:pPr>
                    <w:pStyle w:val="4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eastAsia="zh-CN"/>
                    </w:rPr>
                  </w:pPr>
                  <w:r>
                    <w:rPr>
                      <w:rFonts w:hint="default" w:ascii="Times New Roman" w:hAnsi="Times New Roman" w:eastAsia="宋体" w:cs="Times New Roman"/>
                      <w:color w:val="auto"/>
                      <w:sz w:val="18"/>
                      <w:szCs w:val="18"/>
                    </w:rPr>
                    <w:t>合理布局、隔声、减振</w:t>
                  </w:r>
                </w:p>
              </w:tc>
              <w:tc>
                <w:tcPr>
                  <w:tcW w:w="1106" w:type="pct"/>
                  <w:tcBorders>
                    <w:tl2br w:val="nil"/>
                    <w:tr2bl w:val="nil"/>
                  </w:tcBorders>
                  <w:vAlign w:val="center"/>
                </w:tcPr>
                <w:p w14:paraId="127CE5A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rPr>
                  </w:pPr>
                  <w:r>
                    <w:rPr>
                      <w:rFonts w:hint="eastAsia" w:cs="Times New Roman"/>
                      <w:color w:val="auto"/>
                      <w:kern w:val="0"/>
                      <w:sz w:val="18"/>
                      <w:szCs w:val="18"/>
                      <w:lang w:val="en-US" w:eastAsia="zh-CN" w:bidi="zh-CN"/>
                    </w:rPr>
                    <w:t>/</w:t>
                  </w:r>
                </w:p>
              </w:tc>
            </w:tr>
            <w:tr w14:paraId="4D4289F7">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743" w:type="pct"/>
                  <w:vMerge w:val="continue"/>
                  <w:tcBorders>
                    <w:tl2br w:val="nil"/>
                    <w:tr2bl w:val="nil"/>
                  </w:tcBorders>
                  <w:vAlign w:val="center"/>
                </w:tcPr>
                <w:p w14:paraId="1999ED8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0"/>
                      <w:sz w:val="18"/>
                      <w:szCs w:val="18"/>
                      <w:lang w:val="en-US" w:eastAsia="zh-CN" w:bidi="ar-SA"/>
                    </w:rPr>
                  </w:pPr>
                </w:p>
              </w:tc>
              <w:tc>
                <w:tcPr>
                  <w:tcW w:w="1030" w:type="pct"/>
                  <w:tcBorders>
                    <w:tl2br w:val="nil"/>
                    <w:tr2bl w:val="nil"/>
                  </w:tcBorders>
                  <w:vAlign w:val="center"/>
                </w:tcPr>
                <w:p w14:paraId="0736F9E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0"/>
                      <w:sz w:val="18"/>
                      <w:szCs w:val="18"/>
                      <w:lang w:val="en-US" w:eastAsia="zh-CN" w:bidi="ar-SA"/>
                    </w:rPr>
                  </w:pPr>
                  <w:r>
                    <w:rPr>
                      <w:rFonts w:hint="default" w:ascii="Times New Roman" w:hAnsi="Times New Roman" w:eastAsia="宋体" w:cs="Times New Roman"/>
                      <w:color w:val="auto"/>
                      <w:kern w:val="0"/>
                      <w:sz w:val="18"/>
                      <w:szCs w:val="18"/>
                      <w:lang w:val="en-US" w:eastAsia="zh-CN" w:bidi="zh-CN"/>
                    </w:rPr>
                    <w:t>固废治理设施</w:t>
                  </w:r>
                </w:p>
              </w:tc>
              <w:tc>
                <w:tcPr>
                  <w:tcW w:w="2120" w:type="pct"/>
                  <w:tcBorders>
                    <w:tl2br w:val="nil"/>
                    <w:tr2bl w:val="nil"/>
                  </w:tcBorders>
                  <w:vAlign w:val="center"/>
                </w:tcPr>
                <w:p w14:paraId="2115DD68">
                  <w:pPr>
                    <w:pStyle w:val="4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0"/>
                      <w:sz w:val="18"/>
                      <w:szCs w:val="18"/>
                      <w:vertAlign w:val="baseline"/>
                      <w:lang w:val="en-US" w:eastAsia="zh-CN" w:bidi="zh-CN"/>
                    </w:rPr>
                  </w:pPr>
                  <w:r>
                    <w:rPr>
                      <w:rFonts w:hint="default" w:ascii="Times New Roman" w:hAnsi="Times New Roman" w:eastAsia="宋体" w:cs="Times New Roman"/>
                      <w:color w:val="auto"/>
                      <w:sz w:val="18"/>
                      <w:szCs w:val="18"/>
                    </w:rPr>
                    <w:t>一般工业固废暂存场所</w:t>
                  </w:r>
                  <w:r>
                    <w:rPr>
                      <w:rFonts w:hint="default" w:ascii="Times New Roman" w:hAnsi="Times New Roman" w:eastAsia="宋体" w:cs="Times New Roman"/>
                      <w:color w:val="auto"/>
                      <w:sz w:val="18"/>
                      <w:szCs w:val="18"/>
                      <w:lang w:eastAsia="zh-CN"/>
                    </w:rPr>
                    <w:t>，</w:t>
                  </w:r>
                  <w:r>
                    <w:rPr>
                      <w:rFonts w:hint="eastAsia" w:ascii="Times New Roman" w:hAnsi="Times New Roman" w:cs="Times New Roman"/>
                      <w:color w:val="auto"/>
                      <w:sz w:val="18"/>
                      <w:szCs w:val="18"/>
                      <w:lang w:val="en-US" w:eastAsia="zh-CN"/>
                    </w:rPr>
                    <w:t>1座</w:t>
                  </w:r>
                  <w:r>
                    <w:rPr>
                      <w:rFonts w:hint="eastAsia" w:ascii="Times New Roman" w:hAnsi="Times New Roman" w:cs="Times New Roman"/>
                      <w:b w:val="0"/>
                      <w:bCs w:val="0"/>
                      <w:color w:val="auto"/>
                      <w:kern w:val="0"/>
                      <w:sz w:val="18"/>
                      <w:szCs w:val="18"/>
                      <w:vertAlign w:val="baseline"/>
                      <w:lang w:val="en-US" w:eastAsia="zh-CN" w:bidi="zh-CN"/>
                    </w:rPr>
                    <w:t>5</w:t>
                  </w:r>
                  <w:r>
                    <w:rPr>
                      <w:rFonts w:hint="default" w:ascii="Times New Roman" w:hAnsi="Times New Roman" w:eastAsia="宋体" w:cs="Times New Roman"/>
                      <w:b w:val="0"/>
                      <w:bCs w:val="0"/>
                      <w:color w:val="auto"/>
                      <w:kern w:val="0"/>
                      <w:sz w:val="18"/>
                      <w:szCs w:val="18"/>
                      <w:vertAlign w:val="baseline"/>
                      <w:lang w:val="en-US" w:eastAsia="zh-CN" w:bidi="zh-CN"/>
                    </w:rPr>
                    <w:t>m</w:t>
                  </w:r>
                  <w:r>
                    <w:rPr>
                      <w:rFonts w:hint="default" w:ascii="Times New Roman" w:hAnsi="Times New Roman" w:eastAsia="宋体" w:cs="Times New Roman"/>
                      <w:b w:val="0"/>
                      <w:bCs w:val="0"/>
                      <w:color w:val="auto"/>
                      <w:kern w:val="0"/>
                      <w:sz w:val="18"/>
                      <w:szCs w:val="18"/>
                      <w:vertAlign w:val="superscript"/>
                      <w:lang w:val="en-US" w:eastAsia="zh-CN" w:bidi="zh-CN"/>
                    </w:rPr>
                    <w:t>2</w:t>
                  </w:r>
                  <w:r>
                    <w:rPr>
                      <w:rFonts w:hint="eastAsia" w:ascii="Times New Roman" w:hAnsi="Times New Roman" w:cs="Times New Roman"/>
                      <w:b w:val="0"/>
                      <w:bCs w:val="0"/>
                      <w:color w:val="auto"/>
                      <w:kern w:val="0"/>
                      <w:sz w:val="18"/>
                      <w:szCs w:val="18"/>
                      <w:vertAlign w:val="baseline"/>
                      <w:lang w:val="en-US" w:eastAsia="zh-CN" w:bidi="zh-CN"/>
                    </w:rPr>
                    <w:t>，用于一般工业固废暂存</w:t>
                  </w:r>
                </w:p>
              </w:tc>
              <w:tc>
                <w:tcPr>
                  <w:tcW w:w="1106" w:type="pct"/>
                  <w:tcBorders>
                    <w:tl2br w:val="nil"/>
                    <w:tr2bl w:val="nil"/>
                  </w:tcBorders>
                  <w:vAlign w:val="center"/>
                </w:tcPr>
                <w:p w14:paraId="3B1A860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0"/>
                      <w:sz w:val="18"/>
                      <w:szCs w:val="18"/>
                      <w:lang w:val="en-US" w:eastAsia="zh-CN" w:bidi="zh-CN"/>
                    </w:rPr>
                  </w:pPr>
                  <w:r>
                    <w:rPr>
                      <w:rFonts w:hint="eastAsia" w:cs="Times New Roman"/>
                      <w:color w:val="auto"/>
                      <w:kern w:val="0"/>
                      <w:sz w:val="18"/>
                      <w:szCs w:val="18"/>
                      <w:lang w:val="en-US" w:eastAsia="zh-CN" w:bidi="zh-CN"/>
                    </w:rPr>
                    <w:t>/</w:t>
                  </w:r>
                </w:p>
              </w:tc>
            </w:tr>
          </w:tbl>
          <w:p w14:paraId="3C3C564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textAlignment w:val="auto"/>
              <w:rPr>
                <w:rFonts w:hint="default"/>
                <w:b/>
                <w:bCs/>
                <w:color w:val="auto"/>
                <w:sz w:val="18"/>
                <w:szCs w:val="18"/>
                <w:vertAlign w:val="baseline"/>
                <w:lang w:val="en-US" w:eastAsia="zh-CN"/>
              </w:rPr>
            </w:pPr>
            <w:r>
              <w:rPr>
                <w:rFonts w:hint="eastAsia"/>
                <w:b/>
                <w:bCs/>
                <w:color w:val="auto"/>
                <w:sz w:val="18"/>
                <w:szCs w:val="18"/>
                <w:lang w:val="en-US" w:eastAsia="zh-CN"/>
              </w:rPr>
              <w:t>注：本项目原料总用量435t/a（不包括水），一次购入半个月的使用量，经计算一次购入原料量18.1t/a，即原料仓储区最大贮存量为18.1t/a，即拟建项目原料所需最大贮存面积约为18.1m</w:t>
            </w:r>
            <w:r>
              <w:rPr>
                <w:rFonts w:hint="eastAsia"/>
                <w:b/>
                <w:bCs/>
                <w:color w:val="auto"/>
                <w:sz w:val="18"/>
                <w:szCs w:val="18"/>
                <w:vertAlign w:val="superscript"/>
                <w:lang w:val="en-US" w:eastAsia="zh-CN"/>
              </w:rPr>
              <w:t>2</w:t>
            </w:r>
            <w:r>
              <w:rPr>
                <w:rFonts w:hint="eastAsia"/>
                <w:b/>
                <w:bCs/>
                <w:color w:val="auto"/>
                <w:sz w:val="18"/>
                <w:szCs w:val="18"/>
                <w:vertAlign w:val="baseline"/>
                <w:lang w:val="en-US" w:eastAsia="zh-CN"/>
              </w:rPr>
              <w:t>，因此本项目拟建的一座65平方的原料仓储区可满足项目原材料暂存的需要。本项目产品总设计产能500t/a，按照一个星期转运出厂外售计，</w:t>
            </w:r>
            <w:r>
              <w:rPr>
                <w:rFonts w:hint="eastAsia"/>
                <w:b/>
                <w:bCs/>
                <w:color w:val="auto"/>
                <w:sz w:val="18"/>
                <w:szCs w:val="18"/>
                <w:lang w:val="en-US" w:eastAsia="zh-CN"/>
              </w:rPr>
              <w:t>即成品堆放区最大贮存量为10.4t/a，即拟建项目成品堆放所需最大贮存面积约为10.4m</w:t>
            </w:r>
            <w:r>
              <w:rPr>
                <w:rFonts w:hint="eastAsia"/>
                <w:b/>
                <w:bCs/>
                <w:color w:val="auto"/>
                <w:sz w:val="18"/>
                <w:szCs w:val="18"/>
                <w:vertAlign w:val="superscript"/>
                <w:lang w:val="en-US" w:eastAsia="zh-CN"/>
              </w:rPr>
              <w:t>2</w:t>
            </w:r>
            <w:r>
              <w:rPr>
                <w:rFonts w:hint="eastAsia"/>
                <w:b/>
                <w:bCs/>
                <w:color w:val="auto"/>
                <w:sz w:val="18"/>
                <w:szCs w:val="18"/>
                <w:vertAlign w:val="baseline"/>
                <w:lang w:val="en-US" w:eastAsia="zh-CN"/>
              </w:rPr>
              <w:t>，因此本项目拟建的一座65平方的成品堆放区可满足项目产品暂存的需要。</w:t>
            </w:r>
          </w:p>
          <w:p w14:paraId="335250E7">
            <w:pPr>
              <w:keepNext w:val="0"/>
              <w:keepLines w:val="0"/>
              <w:numPr>
                <w:ilvl w:val="0"/>
                <w:numId w:val="0"/>
              </w:numPr>
              <w:suppressLineNumbers w:val="0"/>
              <w:spacing w:before="156" w:beforeLines="50" w:beforeAutospacing="0" w:after="0" w:afterAutospacing="0"/>
              <w:ind w:left="480" w:leftChars="200" w:right="0" w:rightChars="0"/>
              <w:rPr>
                <w:rFonts w:hint="default" w:ascii="Times New Roman" w:hAnsi="Times New Roman" w:eastAsia="宋体" w:cs="Times New Roman"/>
                <w:b/>
                <w:bCs/>
                <w:color w:val="auto"/>
                <w:lang w:val="en-US" w:eastAsia="zh-CN"/>
              </w:rPr>
            </w:pPr>
            <w:r>
              <w:rPr>
                <w:rFonts w:hint="default" w:ascii="Times New Roman" w:hAnsi="Times New Roman" w:eastAsia="宋体" w:cs="Times New Roman"/>
                <w:b/>
                <w:bCs/>
                <w:color w:val="auto"/>
                <w:lang w:val="en-US" w:eastAsia="zh-CN"/>
              </w:rPr>
              <w:t>6.厂区平面布置</w:t>
            </w:r>
          </w:p>
          <w:p w14:paraId="32558453">
            <w:pPr>
              <w:keepNext w:val="0"/>
              <w:keepLines w:val="0"/>
              <w:suppressLineNumbers w:val="0"/>
              <w:bidi w:val="0"/>
              <w:spacing w:before="0" w:beforeAutospacing="0" w:after="0" w:afterAutospacing="0"/>
              <w:ind w:left="0" w:right="0"/>
              <w:rPr>
                <w:rFonts w:hint="default" w:ascii="Times New Roman" w:hAnsi="Times New Roman" w:eastAsia="宋体" w:cs="Times New Roman"/>
                <w:b w:val="0"/>
                <w:bCs w:val="0"/>
                <w:color w:val="auto"/>
                <w:lang w:val="en-US" w:eastAsia="zh-CN"/>
              </w:rPr>
            </w:pPr>
            <w:r>
              <w:rPr>
                <w:rFonts w:hint="default" w:ascii="Times New Roman" w:hAnsi="Times New Roman" w:eastAsia="宋体" w:cs="Times New Roman"/>
                <w:b w:val="0"/>
                <w:bCs w:val="0"/>
                <w:color w:val="auto"/>
                <w:lang w:val="en-US" w:eastAsia="zh-CN"/>
              </w:rPr>
              <w:t>本着生产工艺流程顺畅、运输合理、分区明确、厂容美观、利于发展的原则进行生产平面布局，并考虑消防、安全、环保等方面的要求对厂区进行优化布置。</w:t>
            </w:r>
          </w:p>
          <w:p w14:paraId="0E3C497C">
            <w:pPr>
              <w:keepNext w:val="0"/>
              <w:keepLines w:val="0"/>
              <w:suppressLineNumbers w:val="0"/>
              <w:bidi w:val="0"/>
              <w:spacing w:before="0" w:beforeAutospacing="0" w:after="0" w:afterAutospacing="0"/>
              <w:ind w:left="0" w:right="0"/>
              <w:rPr>
                <w:rFonts w:hint="default" w:ascii="Times New Roman" w:hAnsi="Times New Roman" w:eastAsia="宋体" w:cs="Times New Roman"/>
                <w:color w:val="auto"/>
                <w:lang w:val="en-US" w:eastAsia="zh-CN"/>
              </w:rPr>
            </w:pPr>
            <w:r>
              <w:rPr>
                <w:rFonts w:hint="default" w:ascii="Times New Roman" w:hAnsi="Times New Roman" w:eastAsia="宋体" w:cs="Times New Roman"/>
                <w:b w:val="0"/>
                <w:bCs w:val="0"/>
                <w:color w:val="auto"/>
                <w:lang w:val="en-US" w:eastAsia="zh-CN"/>
              </w:rPr>
              <w:t>厂区平面布置具体如下：TL990型基料生产区位于</w:t>
            </w:r>
            <w:r>
              <w:rPr>
                <w:rFonts w:hint="eastAsia" w:cs="Times New Roman"/>
                <w:b w:val="0"/>
                <w:bCs w:val="0"/>
                <w:color w:val="auto"/>
                <w:lang w:val="en-US" w:eastAsia="zh-CN"/>
              </w:rPr>
              <w:t>厂房西</w:t>
            </w:r>
            <w:r>
              <w:rPr>
                <w:rFonts w:hint="default" w:ascii="Times New Roman" w:hAnsi="Times New Roman" w:eastAsia="宋体" w:cs="Times New Roman"/>
                <w:b w:val="0"/>
                <w:bCs w:val="0"/>
                <w:color w:val="auto"/>
                <w:lang w:val="en-US" w:eastAsia="zh-CN"/>
              </w:rPr>
              <w:t>侧，TL990型辅助液生产区位于厂房</w:t>
            </w:r>
            <w:r>
              <w:rPr>
                <w:rFonts w:hint="eastAsia" w:cs="Times New Roman"/>
                <w:b w:val="0"/>
                <w:bCs w:val="0"/>
                <w:color w:val="auto"/>
                <w:lang w:val="en-US" w:eastAsia="zh-CN"/>
              </w:rPr>
              <w:t>西北侧</w:t>
            </w:r>
            <w:r>
              <w:rPr>
                <w:rFonts w:hint="default" w:ascii="Times New Roman" w:hAnsi="Times New Roman" w:eastAsia="宋体" w:cs="Times New Roman"/>
                <w:b w:val="0"/>
                <w:bCs w:val="0"/>
                <w:color w:val="auto"/>
                <w:lang w:val="en-US" w:eastAsia="zh-CN"/>
              </w:rPr>
              <w:t>，KP800型产品生产区</w:t>
            </w:r>
            <w:r>
              <w:rPr>
                <w:rFonts w:hint="eastAsia" w:cs="Times New Roman"/>
                <w:b w:val="0"/>
                <w:bCs w:val="0"/>
                <w:color w:val="auto"/>
                <w:lang w:val="en-US" w:eastAsia="zh-CN"/>
              </w:rPr>
              <w:t>位于厂房南侧，原料仓储区位于厂房北侧，成品堆放区位于厂房南侧，办公区位于厂房东侧。拟建项目</w:t>
            </w:r>
            <w:r>
              <w:rPr>
                <w:rFonts w:hint="default" w:ascii="Times New Roman" w:hAnsi="Times New Roman" w:eastAsia="宋体" w:cs="Times New Roman"/>
                <w:b w:val="0"/>
                <w:bCs w:val="0"/>
                <w:color w:val="auto"/>
                <w:lang w:val="en-US" w:eastAsia="zh-CN"/>
              </w:rPr>
              <w:t>总平面布置具体见附图4</w:t>
            </w:r>
            <w:r>
              <w:rPr>
                <w:rFonts w:hint="default" w:ascii="Times New Roman" w:hAnsi="Times New Roman" w:eastAsia="宋体" w:cs="Times New Roman"/>
                <w:color w:val="auto"/>
                <w:lang w:val="en-US" w:eastAsia="zh-CN"/>
              </w:rPr>
              <w:t>。</w:t>
            </w:r>
          </w:p>
          <w:p w14:paraId="60AA7479">
            <w:pPr>
              <w:keepNext w:val="0"/>
              <w:keepLines w:val="0"/>
              <w:numPr>
                <w:ilvl w:val="0"/>
                <w:numId w:val="0"/>
              </w:numPr>
              <w:suppressLineNumbers w:val="0"/>
              <w:bidi w:val="0"/>
              <w:spacing w:before="0" w:beforeAutospacing="0" w:after="0" w:afterAutospacing="0"/>
              <w:ind w:left="480" w:leftChars="200" w:right="0" w:rightChars="0"/>
              <w:rPr>
                <w:rFonts w:hint="default" w:ascii="Times New Roman" w:hAnsi="Times New Roman" w:cs="Times New Roman"/>
                <w:b/>
                <w:bCs/>
                <w:color w:val="auto"/>
                <w:lang w:val="en-US" w:eastAsia="zh-CN"/>
              </w:rPr>
            </w:pPr>
            <w:r>
              <w:rPr>
                <w:rFonts w:hint="eastAsia" w:cs="Times New Roman"/>
                <w:b/>
                <w:bCs/>
                <w:color w:val="auto"/>
                <w:lang w:val="en-US" w:eastAsia="zh-CN"/>
              </w:rPr>
              <w:t>7.</w:t>
            </w:r>
            <w:r>
              <w:rPr>
                <w:rFonts w:hint="eastAsia" w:ascii="Times New Roman" w:hAnsi="Times New Roman" w:cs="Times New Roman"/>
                <w:b/>
                <w:bCs/>
                <w:color w:val="auto"/>
                <w:lang w:val="en-US" w:eastAsia="zh-CN"/>
              </w:rPr>
              <w:t>用水情况</w:t>
            </w:r>
          </w:p>
          <w:p w14:paraId="6D32A829">
            <w:pPr>
              <w:keepNext w:val="0"/>
              <w:keepLines w:val="0"/>
              <w:numPr>
                <w:ilvl w:val="0"/>
                <w:numId w:val="0"/>
              </w:numPr>
              <w:suppressLineNumbers w:val="0"/>
              <w:adjustRightInd w:val="0"/>
              <w:snapToGrid w:val="0"/>
              <w:spacing w:before="0" w:beforeAutospacing="0" w:after="0" w:afterAutospacing="0"/>
              <w:ind w:left="0" w:leftChars="0" w:right="0" w:rightChars="0" w:firstLine="480" w:firstLineChars="200"/>
              <w:rPr>
                <w:rFonts w:hint="default" w:ascii="Times New Roman" w:hAnsi="Times New Roman" w:cs="Times New Roman"/>
                <w:color w:val="auto"/>
                <w:lang w:val="en-US" w:eastAsia="zh-CN"/>
              </w:rPr>
            </w:pPr>
            <w:r>
              <w:rPr>
                <w:rFonts w:hint="default" w:ascii="Times New Roman" w:hAnsi="Times New Roman" w:eastAsia="宋体" w:cs="Times New Roman"/>
                <w:color w:val="auto"/>
                <w:kern w:val="2"/>
                <w:sz w:val="24"/>
                <w:szCs w:val="24"/>
                <w:lang w:val="en-US" w:eastAsia="zh-CN" w:bidi="ar-SA"/>
              </w:rPr>
              <w:t>（1）</w:t>
            </w:r>
            <w:r>
              <w:rPr>
                <w:rFonts w:hint="default" w:ascii="Times New Roman" w:hAnsi="Times New Roman" w:cs="Times New Roman"/>
                <w:color w:val="auto"/>
                <w:lang w:val="en-US" w:eastAsia="zh-CN"/>
              </w:rPr>
              <w:t>生活用水</w:t>
            </w:r>
          </w:p>
          <w:p w14:paraId="7829210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b/>
                <w:bCs/>
                <w:color w:val="auto"/>
                <w:sz w:val="24"/>
                <w:szCs w:val="24"/>
                <w:lang w:val="en-US" w:eastAsia="zh-CN"/>
              </w:rPr>
            </w:pPr>
            <w:r>
              <w:rPr>
                <w:rFonts w:hint="default" w:ascii="Times New Roman" w:hAnsi="Times New Roman" w:eastAsia="宋体" w:cs="Times New Roman"/>
                <w:color w:val="auto"/>
                <w:szCs w:val="22"/>
                <w:lang w:val="en-US" w:eastAsia="zh-CN"/>
              </w:rPr>
              <w:t>项目职工定员</w:t>
            </w:r>
            <w:r>
              <w:rPr>
                <w:rFonts w:hint="eastAsia" w:cs="Times New Roman"/>
                <w:color w:val="auto"/>
                <w:szCs w:val="22"/>
                <w:lang w:val="en-US" w:eastAsia="zh-CN"/>
              </w:rPr>
              <w:t>12</w:t>
            </w:r>
            <w:r>
              <w:rPr>
                <w:rFonts w:hint="default" w:ascii="Times New Roman" w:hAnsi="Times New Roman" w:eastAsia="宋体" w:cs="Times New Roman"/>
                <w:color w:val="auto"/>
                <w:szCs w:val="22"/>
                <w:lang w:val="en-US" w:eastAsia="zh-CN"/>
              </w:rPr>
              <w:t>人，</w:t>
            </w:r>
            <w:r>
              <w:rPr>
                <w:rFonts w:hint="eastAsia" w:cs="Times New Roman"/>
                <w:color w:val="auto"/>
                <w:szCs w:val="22"/>
                <w:lang w:val="en-US" w:eastAsia="zh-CN"/>
              </w:rPr>
              <w:t>项目实行单班制，项目</w:t>
            </w:r>
            <w:r>
              <w:rPr>
                <w:rFonts w:hint="default" w:ascii="Times New Roman" w:hAnsi="Times New Roman" w:eastAsia="宋体" w:cs="Times New Roman"/>
                <w:color w:val="auto"/>
                <w:szCs w:val="22"/>
                <w:lang w:val="en-US" w:eastAsia="zh-CN"/>
              </w:rPr>
              <w:t>年工作3</w:t>
            </w:r>
            <w:r>
              <w:rPr>
                <w:rFonts w:hint="eastAsia" w:ascii="Times New Roman" w:hAnsi="Times New Roman" w:eastAsia="宋体" w:cs="Times New Roman"/>
                <w:color w:val="auto"/>
                <w:szCs w:val="22"/>
                <w:lang w:val="en-US" w:eastAsia="zh-CN"/>
              </w:rPr>
              <w:t>0</w:t>
            </w:r>
            <w:r>
              <w:rPr>
                <w:rFonts w:hint="default" w:ascii="Times New Roman" w:hAnsi="Times New Roman" w:eastAsia="宋体" w:cs="Times New Roman"/>
                <w:color w:val="auto"/>
                <w:szCs w:val="22"/>
                <w:lang w:val="en-US" w:eastAsia="zh-CN"/>
              </w:rPr>
              <w:t>0天，根据《建筑给水排水设计</w:t>
            </w:r>
            <w:r>
              <w:rPr>
                <w:rFonts w:hint="eastAsia" w:cs="Times New Roman"/>
                <w:color w:val="auto"/>
                <w:szCs w:val="22"/>
                <w:lang w:val="en-US" w:eastAsia="zh-CN"/>
              </w:rPr>
              <w:t>标准</w:t>
            </w:r>
            <w:r>
              <w:rPr>
                <w:rFonts w:hint="default" w:ascii="Times New Roman" w:hAnsi="Times New Roman" w:eastAsia="宋体" w:cs="Times New Roman"/>
                <w:color w:val="auto"/>
                <w:szCs w:val="22"/>
                <w:lang w:val="en-US" w:eastAsia="zh-CN"/>
              </w:rPr>
              <w:t>》（GB50015-20</w:t>
            </w:r>
            <w:r>
              <w:rPr>
                <w:rFonts w:hint="eastAsia" w:cs="Times New Roman"/>
                <w:color w:val="auto"/>
                <w:szCs w:val="22"/>
                <w:lang w:val="en-US" w:eastAsia="zh-CN"/>
              </w:rPr>
              <w:t>1</w:t>
            </w:r>
            <w:r>
              <w:rPr>
                <w:rFonts w:hint="default" w:ascii="Times New Roman" w:hAnsi="Times New Roman" w:eastAsia="宋体" w:cs="Times New Roman"/>
                <w:color w:val="auto"/>
                <w:szCs w:val="22"/>
                <w:lang w:val="en-US" w:eastAsia="zh-CN"/>
              </w:rPr>
              <w:t>9），职工生活用水定额以</w:t>
            </w:r>
            <w:r>
              <w:rPr>
                <w:rFonts w:hint="eastAsia" w:cs="Times New Roman"/>
                <w:color w:val="auto"/>
                <w:szCs w:val="22"/>
                <w:lang w:val="en-US" w:eastAsia="zh-CN"/>
              </w:rPr>
              <w:t>50</w:t>
            </w:r>
            <w:r>
              <w:rPr>
                <w:rFonts w:hint="default" w:ascii="Times New Roman" w:hAnsi="Times New Roman" w:eastAsia="宋体" w:cs="Times New Roman"/>
                <w:color w:val="auto"/>
                <w:szCs w:val="22"/>
                <w:lang w:val="en-US" w:eastAsia="zh-CN"/>
              </w:rPr>
              <w:t>L/d·人计算，则年生活用水量为</w:t>
            </w:r>
            <w:r>
              <w:rPr>
                <w:rFonts w:hint="eastAsia" w:cs="Times New Roman"/>
                <w:color w:val="auto"/>
                <w:szCs w:val="22"/>
                <w:lang w:val="en-US" w:eastAsia="zh-CN"/>
              </w:rPr>
              <w:t>180t</w:t>
            </w:r>
            <w:r>
              <w:rPr>
                <w:rFonts w:hint="default" w:ascii="Times New Roman" w:hAnsi="Times New Roman" w:eastAsia="宋体" w:cs="Times New Roman"/>
                <w:color w:val="auto"/>
                <w:szCs w:val="22"/>
                <w:lang w:val="en-US" w:eastAsia="zh-CN"/>
              </w:rPr>
              <w:t>/a，产污系数以0.</w:t>
            </w:r>
            <w:r>
              <w:rPr>
                <w:rFonts w:hint="eastAsia" w:ascii="Times New Roman" w:hAnsi="Times New Roman" w:eastAsia="宋体" w:cs="Times New Roman"/>
                <w:color w:val="auto"/>
                <w:szCs w:val="22"/>
                <w:lang w:val="en-US" w:eastAsia="zh-CN"/>
              </w:rPr>
              <w:t>9</w:t>
            </w:r>
            <w:r>
              <w:rPr>
                <w:rFonts w:hint="default" w:ascii="Times New Roman" w:hAnsi="Times New Roman" w:eastAsia="宋体" w:cs="Times New Roman"/>
                <w:color w:val="auto"/>
                <w:szCs w:val="22"/>
                <w:lang w:val="en-US" w:eastAsia="zh-CN"/>
              </w:rPr>
              <w:t>计，则生活污水产生量为</w:t>
            </w:r>
            <w:r>
              <w:rPr>
                <w:rFonts w:hint="eastAsia" w:cs="Times New Roman"/>
                <w:color w:val="auto"/>
                <w:szCs w:val="22"/>
                <w:lang w:val="en-US" w:eastAsia="zh-CN"/>
              </w:rPr>
              <w:t>162t/a</w:t>
            </w:r>
            <w:r>
              <w:rPr>
                <w:rFonts w:hint="default" w:ascii="Times New Roman" w:hAnsi="Times New Roman" w:cs="Times New Roman"/>
                <w:color w:val="auto"/>
                <w:sz w:val="24"/>
              </w:rPr>
              <w:t>。</w:t>
            </w:r>
          </w:p>
          <w:p w14:paraId="2CA589C9">
            <w:pPr>
              <w:keepNext w:val="0"/>
              <w:keepLines w:val="0"/>
              <w:numPr>
                <w:ilvl w:val="0"/>
                <w:numId w:val="0"/>
              </w:numPr>
              <w:suppressLineNumbers w:val="0"/>
              <w:adjustRightInd w:val="0"/>
              <w:snapToGrid w:val="0"/>
              <w:spacing w:before="0" w:beforeAutospacing="0" w:after="0" w:afterAutospacing="0"/>
              <w:ind w:left="0" w:leftChars="0" w:right="0" w:rightChars="0" w:firstLine="480" w:firstLineChars="200"/>
              <w:rPr>
                <w:rFonts w:hint="default" w:ascii="Times New Roman" w:hAnsi="Times New Roman" w:eastAsia="宋体" w:cs="Times New Roman"/>
                <w:color w:val="auto"/>
                <w:kern w:val="2"/>
                <w:sz w:val="24"/>
                <w:szCs w:val="24"/>
                <w:lang w:val="en-US" w:eastAsia="zh-CN" w:bidi="ar-SA"/>
              </w:rPr>
            </w:pPr>
            <w:r>
              <w:rPr>
                <w:rFonts w:hint="eastAsia" w:cs="Times New Roman"/>
                <w:color w:val="auto"/>
                <w:kern w:val="2"/>
                <w:sz w:val="24"/>
                <w:szCs w:val="24"/>
                <w:lang w:val="en-US" w:eastAsia="zh-CN" w:bidi="ar-SA"/>
              </w:rPr>
              <w:t>（2）生产工艺用水</w:t>
            </w:r>
          </w:p>
          <w:p w14:paraId="6FB0858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b/>
                <w:bCs/>
                <w:color w:val="auto"/>
                <w:sz w:val="24"/>
                <w:szCs w:val="24"/>
                <w:lang w:val="en-US" w:eastAsia="zh-CN"/>
              </w:rPr>
            </w:pPr>
            <w:r>
              <w:rPr>
                <w:rFonts w:hint="eastAsia" w:ascii="Times New Roman" w:hAnsi="Times New Roman" w:eastAsia="宋体" w:cs="Times New Roman"/>
                <w:color w:val="auto"/>
                <w:szCs w:val="22"/>
                <w:lang w:val="en-US" w:eastAsia="zh-CN"/>
              </w:rPr>
              <w:t>项目TL990系列辅助液生产用自来水40t/a、KP800系列膨胀阻燃剂生产用自来水30t/a，</w:t>
            </w:r>
            <w:r>
              <w:rPr>
                <w:rFonts w:hint="eastAsia" w:cs="Times New Roman"/>
                <w:color w:val="auto"/>
                <w:szCs w:val="22"/>
                <w:lang w:val="en-US" w:eastAsia="zh-CN"/>
              </w:rPr>
              <w:t>生产线合计用自来水</w:t>
            </w:r>
            <w:r>
              <w:rPr>
                <w:rFonts w:hint="eastAsia" w:ascii="Times New Roman" w:hAnsi="Times New Roman" w:eastAsia="宋体" w:cs="Times New Roman"/>
                <w:color w:val="auto"/>
                <w:szCs w:val="22"/>
                <w:lang w:val="en-US" w:eastAsia="zh-CN"/>
              </w:rPr>
              <w:t>约</w:t>
            </w:r>
            <w:r>
              <w:rPr>
                <w:rFonts w:hint="eastAsia" w:cs="Times New Roman"/>
                <w:color w:val="auto"/>
                <w:szCs w:val="22"/>
                <w:lang w:val="en-US" w:eastAsia="zh-CN"/>
              </w:rPr>
              <w:t>70t/a，生产用水进入产品，无生产工艺废水产生及排放</w:t>
            </w:r>
            <w:r>
              <w:rPr>
                <w:rFonts w:hint="eastAsia" w:ascii="Times New Roman" w:hAnsi="Times New Roman" w:eastAsia="宋体" w:cs="Times New Roman"/>
                <w:color w:val="auto"/>
                <w:szCs w:val="22"/>
                <w:lang w:val="en-US" w:eastAsia="zh-CN"/>
              </w:rPr>
              <w:t>。</w:t>
            </w:r>
          </w:p>
          <w:p w14:paraId="471287FA">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480" w:leftChars="200" w:right="0" w:rightChars="0"/>
              <w:jc w:val="both"/>
              <w:textAlignment w:val="auto"/>
              <w:rPr>
                <w:rFonts w:hint="default" w:ascii="Times New Roman" w:hAnsi="Times New Roman" w:eastAsia="宋体" w:cs="Times New Roman"/>
                <w:b w:val="0"/>
                <w:bCs w:val="0"/>
                <w:color w:val="auto"/>
                <w:lang w:val="en-US" w:eastAsia="zh-CN"/>
              </w:rPr>
            </w:pPr>
            <w:r>
              <w:rPr>
                <w:rFonts w:hint="eastAsia" w:cs="Times New Roman"/>
                <w:b/>
                <w:bCs/>
                <w:color w:val="auto"/>
                <w:sz w:val="24"/>
                <w:szCs w:val="24"/>
                <w:lang w:val="en-US" w:eastAsia="zh-CN"/>
              </w:rPr>
              <w:t>8</w:t>
            </w:r>
            <w:r>
              <w:rPr>
                <w:rFonts w:hint="default" w:ascii="Times New Roman" w:hAnsi="Times New Roman" w:eastAsia="宋体" w:cs="Times New Roman"/>
                <w:b/>
                <w:bCs/>
                <w:color w:val="auto"/>
                <w:sz w:val="24"/>
                <w:szCs w:val="24"/>
                <w:lang w:val="en-US" w:eastAsia="zh-CN"/>
              </w:rPr>
              <w:t>、物料平衡</w:t>
            </w:r>
          </w:p>
          <w:p w14:paraId="22D65D87">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b w:val="0"/>
                <w:bCs w:val="0"/>
                <w:color w:val="auto"/>
                <w:lang w:val="en-US" w:eastAsia="zh-CN"/>
              </w:rPr>
            </w:pPr>
            <w:r>
              <w:rPr>
                <w:rFonts w:hint="eastAsia" w:cs="Times New Roman"/>
                <w:b w:val="0"/>
                <w:bCs/>
                <w:color w:val="auto"/>
                <w:sz w:val="24"/>
                <w:lang w:val="en-US" w:eastAsia="zh-CN"/>
              </w:rPr>
              <w:t>T</w:t>
            </w:r>
            <w:r>
              <w:rPr>
                <w:rFonts w:hint="default" w:ascii="Times New Roman" w:hAnsi="Times New Roman" w:eastAsia="宋体" w:cs="Times New Roman"/>
                <w:b w:val="0"/>
                <w:bCs/>
                <w:color w:val="auto"/>
                <w:sz w:val="24"/>
                <w:lang w:val="en-US" w:eastAsia="zh-CN"/>
              </w:rPr>
              <w:t>L990型耐火密封填料基料</w:t>
            </w:r>
            <w:r>
              <w:rPr>
                <w:rFonts w:hint="eastAsia" w:cs="Times New Roman"/>
                <w:b w:val="0"/>
                <w:bCs/>
                <w:color w:val="auto"/>
                <w:sz w:val="24"/>
                <w:lang w:val="en-US" w:eastAsia="zh-CN"/>
              </w:rPr>
              <w:t>及辅助液生产线</w:t>
            </w:r>
            <w:r>
              <w:rPr>
                <w:rFonts w:hint="default" w:ascii="Times New Roman" w:hAnsi="Times New Roman" w:eastAsia="宋体" w:cs="Times New Roman"/>
                <w:b w:val="0"/>
                <w:bCs w:val="0"/>
                <w:color w:val="auto"/>
                <w:lang w:val="en-US" w:eastAsia="zh-CN"/>
              </w:rPr>
              <w:t>物料平衡</w:t>
            </w:r>
            <w:r>
              <w:rPr>
                <w:rFonts w:hint="eastAsia" w:cs="Times New Roman"/>
                <w:b w:val="0"/>
                <w:bCs w:val="0"/>
                <w:color w:val="auto"/>
                <w:lang w:val="en-US" w:eastAsia="zh-CN"/>
              </w:rPr>
              <w:t>分别</w:t>
            </w:r>
            <w:r>
              <w:rPr>
                <w:rFonts w:hint="default" w:ascii="Times New Roman" w:hAnsi="Times New Roman" w:eastAsia="宋体" w:cs="Times New Roman"/>
                <w:b w:val="0"/>
                <w:bCs w:val="0"/>
                <w:color w:val="auto"/>
                <w:lang w:val="en-US" w:eastAsia="zh-CN"/>
              </w:rPr>
              <w:t>见表2.1-</w:t>
            </w:r>
            <w:r>
              <w:rPr>
                <w:rFonts w:hint="eastAsia" w:cs="Times New Roman"/>
                <w:b w:val="0"/>
                <w:bCs w:val="0"/>
                <w:color w:val="auto"/>
                <w:lang w:val="en-US" w:eastAsia="zh-CN"/>
              </w:rPr>
              <w:t>10、2.1-11。</w:t>
            </w:r>
            <w:r>
              <w:rPr>
                <w:rFonts w:hint="default" w:ascii="Times New Roman" w:hAnsi="Times New Roman" w:eastAsia="宋体" w:cs="Times New Roman"/>
                <w:b w:val="0"/>
                <w:bCs/>
                <w:color w:val="auto"/>
                <w:sz w:val="24"/>
                <w:lang w:val="en-US" w:eastAsia="zh-CN"/>
              </w:rPr>
              <w:t>KP800型膨胀堵料膨胀条</w:t>
            </w:r>
            <w:r>
              <w:rPr>
                <w:rFonts w:hint="eastAsia" w:cs="Times New Roman"/>
                <w:b w:val="0"/>
                <w:bCs/>
                <w:color w:val="auto"/>
                <w:sz w:val="24"/>
                <w:lang w:val="en-US" w:eastAsia="zh-CN"/>
              </w:rPr>
              <w:t>及阻燃剂生产线物料平衡分别见表2.1-12、2.1-13</w:t>
            </w:r>
            <w:r>
              <w:rPr>
                <w:rFonts w:hint="default" w:ascii="Times New Roman" w:hAnsi="Times New Roman" w:eastAsia="宋体" w:cs="Times New Roman"/>
                <w:b w:val="0"/>
                <w:bCs w:val="0"/>
                <w:color w:val="auto"/>
                <w:lang w:val="en-US" w:eastAsia="zh-CN"/>
              </w:rPr>
              <w:t>。</w:t>
            </w:r>
          </w:p>
          <w:p w14:paraId="46A74CA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lang w:val="en-US" w:eastAsia="zh-CN"/>
              </w:rPr>
            </w:pPr>
            <w:r>
              <w:rPr>
                <w:rFonts w:hint="default" w:ascii="Times New Roman" w:hAnsi="Times New Roman" w:eastAsia="宋体" w:cs="Times New Roman"/>
                <w:b/>
                <w:color w:val="auto"/>
                <w:lang w:val="en-US" w:eastAsia="zh-CN"/>
              </w:rPr>
              <w:t>表2.1-</w:t>
            </w:r>
            <w:r>
              <w:rPr>
                <w:rFonts w:hint="eastAsia" w:cs="Times New Roman"/>
                <w:b/>
                <w:color w:val="auto"/>
                <w:lang w:val="en-US" w:eastAsia="zh-CN"/>
              </w:rPr>
              <w:t>10 T</w:t>
            </w:r>
            <w:r>
              <w:rPr>
                <w:rFonts w:hint="default" w:ascii="Times New Roman" w:hAnsi="Times New Roman" w:eastAsia="宋体" w:cs="Times New Roman"/>
                <w:b/>
                <w:color w:val="auto"/>
                <w:lang w:val="en-US" w:eastAsia="zh-CN"/>
              </w:rPr>
              <w:t>L990型耐火密封填料（基料）</w:t>
            </w:r>
            <w:r>
              <w:rPr>
                <w:rFonts w:hint="eastAsia" w:cs="Times New Roman"/>
                <w:b/>
                <w:color w:val="auto"/>
                <w:lang w:val="en-US" w:eastAsia="zh-CN"/>
              </w:rPr>
              <w:t>生产</w:t>
            </w:r>
            <w:r>
              <w:rPr>
                <w:rFonts w:hint="default" w:ascii="Times New Roman" w:hAnsi="Times New Roman" w:eastAsia="宋体" w:cs="Times New Roman"/>
                <w:b/>
                <w:color w:val="auto"/>
                <w:lang w:val="en-US" w:eastAsia="zh-CN"/>
              </w:rPr>
              <w:t>物料平衡表（单位t/a）</w:t>
            </w:r>
          </w:p>
          <w:tbl>
            <w:tblPr>
              <w:tblStyle w:val="28"/>
              <w:tblW w:w="4998" w:type="pct"/>
              <w:tblInd w:w="5"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693"/>
              <w:gridCol w:w="1685"/>
              <w:gridCol w:w="1064"/>
              <w:gridCol w:w="1899"/>
              <w:gridCol w:w="1503"/>
            </w:tblGrid>
            <w:tr w14:paraId="5E27ABC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153" w:type="pct"/>
                  <w:gridSpan w:val="2"/>
                  <w:tcBorders>
                    <w:tl2br w:val="nil"/>
                    <w:tr2bl w:val="nil"/>
                  </w:tcBorders>
                  <w:vAlign w:val="center"/>
                </w:tcPr>
                <w:p w14:paraId="267AA21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投入</w:t>
                  </w:r>
                </w:p>
              </w:tc>
              <w:tc>
                <w:tcPr>
                  <w:tcW w:w="2846" w:type="pct"/>
                  <w:gridSpan w:val="3"/>
                  <w:tcBorders>
                    <w:tl2br w:val="nil"/>
                    <w:tr2bl w:val="nil"/>
                  </w:tcBorders>
                  <w:vAlign w:val="center"/>
                </w:tcPr>
                <w:p w14:paraId="426881E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产出</w:t>
                  </w:r>
                </w:p>
              </w:tc>
            </w:tr>
            <w:tr w14:paraId="6FED0E4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153" w:type="pct"/>
                  <w:gridSpan w:val="2"/>
                  <w:tcBorders>
                    <w:tl2br w:val="nil"/>
                    <w:tr2bl w:val="nil"/>
                  </w:tcBorders>
                  <w:vAlign w:val="center"/>
                </w:tcPr>
                <w:p w14:paraId="7310A74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物料</w:t>
                  </w:r>
                </w:p>
              </w:tc>
              <w:tc>
                <w:tcPr>
                  <w:tcW w:w="678" w:type="pct"/>
                  <w:tcBorders>
                    <w:tl2br w:val="nil"/>
                    <w:tr2bl w:val="nil"/>
                  </w:tcBorders>
                  <w:vAlign w:val="center"/>
                </w:tcPr>
                <w:p w14:paraId="539640C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类型</w:t>
                  </w:r>
                </w:p>
              </w:tc>
              <w:tc>
                <w:tcPr>
                  <w:tcW w:w="1210" w:type="pct"/>
                  <w:tcBorders>
                    <w:tl2br w:val="nil"/>
                    <w:tr2bl w:val="nil"/>
                  </w:tcBorders>
                  <w:vAlign w:val="center"/>
                </w:tcPr>
                <w:p w14:paraId="64974D0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成分</w:t>
                  </w:r>
                </w:p>
              </w:tc>
              <w:tc>
                <w:tcPr>
                  <w:tcW w:w="958" w:type="pct"/>
                  <w:tcBorders>
                    <w:tl2br w:val="nil"/>
                    <w:tr2bl w:val="nil"/>
                  </w:tcBorders>
                  <w:vAlign w:val="center"/>
                </w:tcPr>
                <w:p w14:paraId="72A33D3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eastAsia" w:cs="Times New Roman"/>
                      <w:b/>
                      <w:bCs/>
                      <w:color w:val="auto"/>
                      <w:sz w:val="18"/>
                      <w:szCs w:val="18"/>
                      <w:lang w:eastAsia="zh-CN"/>
                    </w:rPr>
                    <w:t>产出</w:t>
                  </w:r>
                  <w:r>
                    <w:rPr>
                      <w:rFonts w:hint="default" w:ascii="Times New Roman" w:hAnsi="Times New Roman" w:eastAsia="宋体" w:cs="Times New Roman"/>
                      <w:b/>
                      <w:bCs/>
                      <w:color w:val="auto"/>
                      <w:sz w:val="18"/>
                      <w:szCs w:val="18"/>
                    </w:rPr>
                    <w:t>量（t/a）</w:t>
                  </w:r>
                </w:p>
              </w:tc>
            </w:tr>
            <w:tr w14:paraId="1A4EAD4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079" w:type="pct"/>
                  <w:tcBorders>
                    <w:tl2br w:val="nil"/>
                    <w:tr2bl w:val="nil"/>
                  </w:tcBorders>
                  <w:vAlign w:val="center"/>
                </w:tcPr>
                <w:p w14:paraId="0AD5C6A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名称</w:t>
                  </w:r>
                </w:p>
              </w:tc>
              <w:tc>
                <w:tcPr>
                  <w:tcW w:w="1074" w:type="pct"/>
                  <w:tcBorders>
                    <w:tl2br w:val="nil"/>
                    <w:tr2bl w:val="nil"/>
                  </w:tcBorders>
                  <w:vAlign w:val="center"/>
                </w:tcPr>
                <w:p w14:paraId="65E7C99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投入量（t/a）</w:t>
                  </w:r>
                </w:p>
              </w:tc>
              <w:tc>
                <w:tcPr>
                  <w:tcW w:w="678" w:type="pct"/>
                  <w:tcBorders>
                    <w:tl2br w:val="nil"/>
                    <w:tr2bl w:val="nil"/>
                  </w:tcBorders>
                  <w:vAlign w:val="center"/>
                </w:tcPr>
                <w:p w14:paraId="2FB3642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废气</w:t>
                  </w:r>
                </w:p>
              </w:tc>
              <w:tc>
                <w:tcPr>
                  <w:tcW w:w="1210" w:type="pct"/>
                  <w:tcBorders>
                    <w:tl2br w:val="nil"/>
                    <w:tr2bl w:val="nil"/>
                  </w:tcBorders>
                  <w:vAlign w:val="center"/>
                </w:tcPr>
                <w:p w14:paraId="1D047D2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eastAsia="zh-CN"/>
                    </w:rPr>
                  </w:pPr>
                  <w:r>
                    <w:rPr>
                      <w:rFonts w:hint="default" w:ascii="Times New Roman" w:hAnsi="Times New Roman" w:eastAsia="宋体" w:cs="Times New Roman"/>
                      <w:color w:val="auto"/>
                      <w:sz w:val="18"/>
                      <w:szCs w:val="18"/>
                      <w:lang w:eastAsia="zh-CN"/>
                    </w:rPr>
                    <w:t>颗粒物</w:t>
                  </w:r>
                </w:p>
              </w:tc>
              <w:tc>
                <w:tcPr>
                  <w:tcW w:w="958" w:type="pct"/>
                  <w:tcBorders>
                    <w:tl2br w:val="nil"/>
                    <w:tr2bl w:val="nil"/>
                  </w:tcBorders>
                  <w:vAlign w:val="center"/>
                </w:tcPr>
                <w:p w14:paraId="47313E6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olor w:val="auto"/>
                      <w:sz w:val="18"/>
                      <w:szCs w:val="18"/>
                      <w:lang w:val="en-US" w:eastAsia="zh-CN"/>
                    </w:rPr>
                  </w:pPr>
                  <w:r>
                    <w:rPr>
                      <w:rFonts w:hint="eastAsia" w:cs="Times New Roman"/>
                      <w:color w:val="auto"/>
                      <w:sz w:val="18"/>
                      <w:szCs w:val="18"/>
                      <w:lang w:val="en-US" w:eastAsia="zh-CN"/>
                    </w:rPr>
                    <w:t>0.025</w:t>
                  </w:r>
                </w:p>
              </w:tc>
            </w:tr>
            <w:tr w14:paraId="719351F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079" w:type="pct"/>
                  <w:tcBorders>
                    <w:tl2br w:val="nil"/>
                    <w:tr2bl w:val="nil"/>
                  </w:tcBorders>
                  <w:vAlign w:val="center"/>
                </w:tcPr>
                <w:p w14:paraId="52C509E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lang w:val="en-US" w:eastAsia="zh-CN"/>
                    </w:rPr>
                    <w:t>石膏粉</w:t>
                  </w:r>
                </w:p>
              </w:tc>
              <w:tc>
                <w:tcPr>
                  <w:tcW w:w="1074" w:type="pct"/>
                  <w:tcBorders>
                    <w:tl2br w:val="nil"/>
                    <w:tr2bl w:val="nil"/>
                  </w:tcBorders>
                  <w:vAlign w:val="center"/>
                </w:tcPr>
                <w:p w14:paraId="3EF6B2C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7</w:t>
                  </w:r>
                  <w:r>
                    <w:rPr>
                      <w:rFonts w:hint="eastAsia" w:cs="Times New Roman"/>
                      <w:color w:val="auto"/>
                      <w:sz w:val="18"/>
                      <w:szCs w:val="18"/>
                      <w:lang w:val="en-US" w:eastAsia="zh-CN"/>
                    </w:rPr>
                    <w:t>0</w:t>
                  </w:r>
                </w:p>
              </w:tc>
              <w:tc>
                <w:tcPr>
                  <w:tcW w:w="678" w:type="pct"/>
                  <w:tcBorders>
                    <w:tl2br w:val="nil"/>
                    <w:tr2bl w:val="nil"/>
                  </w:tcBorders>
                  <w:vAlign w:val="center"/>
                </w:tcPr>
                <w:p w14:paraId="224D082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eastAsia="zh-CN"/>
                    </w:rPr>
                  </w:pPr>
                  <w:r>
                    <w:rPr>
                      <w:rFonts w:hint="eastAsia" w:cs="Times New Roman"/>
                      <w:color w:val="auto"/>
                      <w:sz w:val="18"/>
                      <w:szCs w:val="18"/>
                      <w:lang w:eastAsia="zh-CN"/>
                    </w:rPr>
                    <w:t>产品</w:t>
                  </w:r>
                </w:p>
              </w:tc>
              <w:tc>
                <w:tcPr>
                  <w:tcW w:w="1210" w:type="pct"/>
                  <w:tcBorders>
                    <w:tl2br w:val="nil"/>
                    <w:tr2bl w:val="nil"/>
                  </w:tcBorders>
                  <w:vAlign w:val="center"/>
                </w:tcPr>
                <w:p w14:paraId="5933580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s="Times New Roman"/>
                      <w:color w:val="auto"/>
                      <w:sz w:val="18"/>
                      <w:szCs w:val="18"/>
                      <w:lang w:eastAsia="zh-CN"/>
                    </w:rPr>
                  </w:pPr>
                  <w:r>
                    <w:rPr>
                      <w:rFonts w:hint="eastAsia" w:cs="Times New Roman"/>
                      <w:color w:val="auto"/>
                      <w:sz w:val="18"/>
                      <w:szCs w:val="18"/>
                      <w:lang w:eastAsia="zh-CN"/>
                    </w:rPr>
                    <w:t>基料</w:t>
                  </w:r>
                </w:p>
              </w:tc>
              <w:tc>
                <w:tcPr>
                  <w:tcW w:w="958" w:type="pct"/>
                  <w:tcBorders>
                    <w:tl2br w:val="nil"/>
                    <w:tr2bl w:val="nil"/>
                  </w:tcBorders>
                  <w:vAlign w:val="center"/>
                </w:tcPr>
                <w:p w14:paraId="0CACF59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cs="Times New Roman"/>
                      <w:color w:val="auto"/>
                      <w:sz w:val="18"/>
                      <w:szCs w:val="18"/>
                      <w:lang w:val="en-US" w:eastAsia="zh-CN"/>
                    </w:rPr>
                    <w:t>273</w:t>
                  </w:r>
                </w:p>
              </w:tc>
            </w:tr>
            <w:tr w14:paraId="59CFF15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079" w:type="pct"/>
                  <w:tcBorders>
                    <w:tl2br w:val="nil"/>
                    <w:tr2bl w:val="nil"/>
                  </w:tcBorders>
                  <w:vAlign w:val="center"/>
                </w:tcPr>
                <w:p w14:paraId="50D23C7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0"/>
                      <w:sz w:val="18"/>
                      <w:szCs w:val="18"/>
                      <w:lang w:eastAsia="zh-CN"/>
                    </w:rPr>
                  </w:pPr>
                  <w:r>
                    <w:rPr>
                      <w:rFonts w:hint="eastAsia" w:ascii="Times New Roman" w:hAnsi="Times New Roman" w:eastAsia="宋体" w:cs="Times New Roman"/>
                      <w:color w:val="auto"/>
                      <w:sz w:val="18"/>
                      <w:szCs w:val="18"/>
                      <w:lang w:val="en-US" w:eastAsia="zh-CN"/>
                    </w:rPr>
                    <w:t>碳酸钙</w:t>
                  </w:r>
                </w:p>
              </w:tc>
              <w:tc>
                <w:tcPr>
                  <w:tcW w:w="1074" w:type="pct"/>
                  <w:tcBorders>
                    <w:tl2br w:val="nil"/>
                    <w:tr2bl w:val="nil"/>
                  </w:tcBorders>
                  <w:vAlign w:val="center"/>
                </w:tcPr>
                <w:p w14:paraId="6AE6C14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5</w:t>
                  </w:r>
                  <w:r>
                    <w:rPr>
                      <w:rFonts w:hint="eastAsia" w:cs="Times New Roman"/>
                      <w:color w:val="auto"/>
                      <w:sz w:val="18"/>
                      <w:szCs w:val="18"/>
                      <w:lang w:val="en-US" w:eastAsia="zh-CN"/>
                    </w:rPr>
                    <w:t>0</w:t>
                  </w:r>
                </w:p>
              </w:tc>
              <w:tc>
                <w:tcPr>
                  <w:tcW w:w="678" w:type="pct"/>
                  <w:tcBorders>
                    <w:tl2br w:val="nil"/>
                    <w:tr2bl w:val="nil"/>
                  </w:tcBorders>
                  <w:vAlign w:val="center"/>
                </w:tcPr>
                <w:p w14:paraId="0B62D54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eastAsia="zh-CN"/>
                    </w:rPr>
                  </w:pPr>
                  <w:r>
                    <w:rPr>
                      <w:rFonts w:hint="eastAsia" w:cs="Times New Roman"/>
                      <w:color w:val="auto"/>
                      <w:sz w:val="18"/>
                      <w:szCs w:val="18"/>
                      <w:lang w:eastAsia="zh-CN"/>
                    </w:rPr>
                    <w:t>固废</w:t>
                  </w:r>
                </w:p>
              </w:tc>
              <w:tc>
                <w:tcPr>
                  <w:tcW w:w="1210" w:type="pct"/>
                  <w:tcBorders>
                    <w:bottom w:val="single" w:color="000000" w:sz="6" w:space="0"/>
                    <w:tl2br w:val="nil"/>
                    <w:tr2bl w:val="nil"/>
                  </w:tcBorders>
                  <w:vAlign w:val="center"/>
                </w:tcPr>
                <w:p w14:paraId="07CF838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color w:val="auto"/>
                      <w:sz w:val="18"/>
                      <w:szCs w:val="18"/>
                      <w:lang w:val="en-US" w:eastAsia="zh-CN"/>
                    </w:rPr>
                  </w:pPr>
                  <w:r>
                    <w:rPr>
                      <w:rFonts w:hint="eastAsia" w:cs="Times New Roman"/>
                      <w:color w:val="auto"/>
                      <w:sz w:val="18"/>
                      <w:szCs w:val="18"/>
                      <w:lang w:eastAsia="zh-CN"/>
                    </w:rPr>
                    <w:t>不合格品（套用）</w:t>
                  </w:r>
                </w:p>
              </w:tc>
              <w:tc>
                <w:tcPr>
                  <w:tcW w:w="958" w:type="pct"/>
                  <w:tcBorders>
                    <w:tl2br w:val="nil"/>
                    <w:tr2bl w:val="nil"/>
                  </w:tcBorders>
                  <w:vAlign w:val="center"/>
                </w:tcPr>
                <w:p w14:paraId="4864963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cs="Times New Roman"/>
                      <w:color w:val="auto"/>
                      <w:sz w:val="18"/>
                      <w:szCs w:val="18"/>
                      <w:lang w:val="en-US" w:eastAsia="zh-CN"/>
                    </w:rPr>
                    <w:t>2.7</w:t>
                  </w:r>
                </w:p>
              </w:tc>
            </w:tr>
            <w:tr w14:paraId="5F79ED8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079" w:type="pct"/>
                  <w:tcBorders>
                    <w:tl2br w:val="nil"/>
                    <w:tr2bl w:val="nil"/>
                  </w:tcBorders>
                  <w:vAlign w:val="center"/>
                </w:tcPr>
                <w:p w14:paraId="429800D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0"/>
                      <w:sz w:val="18"/>
                      <w:szCs w:val="18"/>
                      <w:lang w:eastAsia="zh-CN"/>
                    </w:rPr>
                  </w:pPr>
                  <w:r>
                    <w:rPr>
                      <w:rFonts w:hint="eastAsia" w:ascii="Times New Roman" w:hAnsi="Times New Roman" w:eastAsia="宋体" w:cs="Times New Roman"/>
                      <w:color w:val="auto"/>
                      <w:sz w:val="18"/>
                      <w:szCs w:val="18"/>
                      <w:lang w:val="en-US" w:eastAsia="zh-CN"/>
                    </w:rPr>
                    <w:t>高岭土</w:t>
                  </w:r>
                </w:p>
              </w:tc>
              <w:tc>
                <w:tcPr>
                  <w:tcW w:w="1074" w:type="pct"/>
                  <w:tcBorders>
                    <w:tl2br w:val="nil"/>
                    <w:tr2bl w:val="nil"/>
                  </w:tcBorders>
                  <w:vAlign w:val="center"/>
                </w:tcPr>
                <w:p w14:paraId="59C731E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2</w:t>
                  </w:r>
                  <w:r>
                    <w:rPr>
                      <w:rFonts w:hint="eastAsia" w:cs="Times New Roman"/>
                      <w:color w:val="auto"/>
                      <w:sz w:val="18"/>
                      <w:szCs w:val="18"/>
                      <w:lang w:val="en-US" w:eastAsia="zh-CN"/>
                    </w:rPr>
                    <w:t>3</w:t>
                  </w:r>
                </w:p>
              </w:tc>
              <w:tc>
                <w:tcPr>
                  <w:tcW w:w="678" w:type="pct"/>
                  <w:tcBorders>
                    <w:bottom w:val="single" w:color="000000" w:sz="6" w:space="0"/>
                    <w:tl2br w:val="nil"/>
                    <w:tr2bl w:val="nil"/>
                  </w:tcBorders>
                  <w:vAlign w:val="center"/>
                </w:tcPr>
                <w:p w14:paraId="0F10A74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eastAsia="zh-CN"/>
                    </w:rPr>
                  </w:pPr>
                </w:p>
              </w:tc>
              <w:tc>
                <w:tcPr>
                  <w:tcW w:w="1210" w:type="pct"/>
                  <w:tcBorders>
                    <w:bottom w:val="single" w:color="000000" w:sz="6" w:space="0"/>
                    <w:tl2br w:val="nil"/>
                    <w:tr2bl w:val="nil"/>
                  </w:tcBorders>
                  <w:vAlign w:val="center"/>
                </w:tcPr>
                <w:p w14:paraId="479BDE7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eastAsia="zh-CN"/>
                    </w:rPr>
                  </w:pPr>
                </w:p>
              </w:tc>
              <w:tc>
                <w:tcPr>
                  <w:tcW w:w="958" w:type="pct"/>
                  <w:tcBorders>
                    <w:tl2br w:val="nil"/>
                    <w:tr2bl w:val="nil"/>
                  </w:tcBorders>
                  <w:vAlign w:val="center"/>
                </w:tcPr>
                <w:p w14:paraId="20A25B8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p>
              </w:tc>
            </w:tr>
            <w:tr w14:paraId="7E795AC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079" w:type="pct"/>
                  <w:tcBorders>
                    <w:tl2br w:val="nil"/>
                    <w:tr2bl w:val="nil"/>
                  </w:tcBorders>
                  <w:vAlign w:val="center"/>
                </w:tcPr>
                <w:p w14:paraId="313E4ED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lang w:val="en-US" w:eastAsia="zh-CN"/>
                    </w:rPr>
                    <w:t>氧化镁</w:t>
                  </w:r>
                </w:p>
              </w:tc>
              <w:tc>
                <w:tcPr>
                  <w:tcW w:w="1074" w:type="pct"/>
                  <w:tcBorders>
                    <w:tl2br w:val="nil"/>
                    <w:tr2bl w:val="nil"/>
                  </w:tcBorders>
                  <w:vAlign w:val="center"/>
                </w:tcPr>
                <w:p w14:paraId="5EB68E4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130</w:t>
                  </w:r>
                </w:p>
              </w:tc>
              <w:tc>
                <w:tcPr>
                  <w:tcW w:w="678" w:type="pct"/>
                  <w:tcBorders>
                    <w:right w:val="single" w:color="000000" w:sz="6" w:space="0"/>
                    <w:tl2br w:val="nil"/>
                    <w:tr2bl w:val="nil"/>
                  </w:tcBorders>
                  <w:vAlign w:val="center"/>
                </w:tcPr>
                <w:p w14:paraId="28AAEA9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eastAsia="zh-CN"/>
                    </w:rPr>
                  </w:pPr>
                </w:p>
              </w:tc>
              <w:tc>
                <w:tcPr>
                  <w:tcW w:w="1210" w:type="pct"/>
                  <w:tcBorders>
                    <w:left w:val="single" w:color="000000" w:sz="6" w:space="0"/>
                    <w:tl2br w:val="nil"/>
                    <w:tr2bl w:val="nil"/>
                  </w:tcBorders>
                  <w:vAlign w:val="center"/>
                </w:tcPr>
                <w:p w14:paraId="7C37FA4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eastAsia="zh-CN"/>
                    </w:rPr>
                  </w:pPr>
                </w:p>
              </w:tc>
              <w:tc>
                <w:tcPr>
                  <w:tcW w:w="958" w:type="pct"/>
                  <w:tcBorders>
                    <w:tl2br w:val="nil"/>
                    <w:tr2bl w:val="nil"/>
                  </w:tcBorders>
                  <w:vAlign w:val="center"/>
                </w:tcPr>
                <w:p w14:paraId="13CE445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p>
              </w:tc>
            </w:tr>
            <w:tr w14:paraId="23E6AC1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079" w:type="pct"/>
                  <w:tcBorders>
                    <w:tl2br w:val="nil"/>
                    <w:tr2bl w:val="nil"/>
                  </w:tcBorders>
                  <w:vAlign w:val="center"/>
                </w:tcPr>
                <w:p w14:paraId="00518FE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不合格品（套用）</w:t>
                  </w:r>
                </w:p>
              </w:tc>
              <w:tc>
                <w:tcPr>
                  <w:tcW w:w="1074" w:type="pct"/>
                  <w:tcBorders>
                    <w:tl2br w:val="nil"/>
                    <w:tr2bl w:val="nil"/>
                  </w:tcBorders>
                  <w:vAlign w:val="center"/>
                </w:tcPr>
                <w:p w14:paraId="38CABB5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2.7</w:t>
                  </w:r>
                </w:p>
              </w:tc>
              <w:tc>
                <w:tcPr>
                  <w:tcW w:w="678" w:type="pct"/>
                  <w:tcBorders>
                    <w:right w:val="single" w:color="000000" w:sz="6" w:space="0"/>
                    <w:tl2br w:val="nil"/>
                    <w:tr2bl w:val="nil"/>
                  </w:tcBorders>
                  <w:vAlign w:val="center"/>
                </w:tcPr>
                <w:p w14:paraId="67F26BB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eastAsia="zh-CN"/>
                    </w:rPr>
                  </w:pPr>
                </w:p>
              </w:tc>
              <w:tc>
                <w:tcPr>
                  <w:tcW w:w="1210" w:type="pct"/>
                  <w:tcBorders>
                    <w:left w:val="single" w:color="000000" w:sz="6" w:space="0"/>
                    <w:tl2br w:val="nil"/>
                    <w:tr2bl w:val="nil"/>
                  </w:tcBorders>
                  <w:vAlign w:val="center"/>
                </w:tcPr>
                <w:p w14:paraId="7232205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eastAsia="zh-CN"/>
                    </w:rPr>
                  </w:pPr>
                </w:p>
              </w:tc>
              <w:tc>
                <w:tcPr>
                  <w:tcW w:w="958" w:type="pct"/>
                  <w:tcBorders>
                    <w:tl2br w:val="nil"/>
                    <w:tr2bl w:val="nil"/>
                  </w:tcBorders>
                  <w:vAlign w:val="center"/>
                </w:tcPr>
                <w:p w14:paraId="0BD5F7C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p>
              </w:tc>
            </w:tr>
            <w:tr w14:paraId="0752FE9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079" w:type="pct"/>
                  <w:tcBorders>
                    <w:tl2br w:val="nil"/>
                    <w:tr2bl w:val="nil"/>
                  </w:tcBorders>
                  <w:vAlign w:val="center"/>
                </w:tcPr>
                <w:p w14:paraId="6E203D8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合计</w:t>
                  </w:r>
                </w:p>
              </w:tc>
              <w:tc>
                <w:tcPr>
                  <w:tcW w:w="1074" w:type="pct"/>
                  <w:tcBorders>
                    <w:tl2br w:val="nil"/>
                    <w:tr2bl w:val="nil"/>
                  </w:tcBorders>
                  <w:shd w:val="clear" w:color="auto" w:fill="auto"/>
                  <w:vAlign w:val="center"/>
                </w:tcPr>
                <w:p w14:paraId="3468DB4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cs="Times New Roman"/>
                      <w:color w:val="auto"/>
                      <w:sz w:val="18"/>
                      <w:szCs w:val="18"/>
                      <w:lang w:val="en-US" w:eastAsia="zh-CN"/>
                    </w:rPr>
                    <w:t>275.7</w:t>
                  </w:r>
                </w:p>
              </w:tc>
              <w:tc>
                <w:tcPr>
                  <w:tcW w:w="1888" w:type="pct"/>
                  <w:gridSpan w:val="2"/>
                  <w:tcBorders>
                    <w:tl2br w:val="nil"/>
                    <w:tr2bl w:val="nil"/>
                  </w:tcBorders>
                  <w:vAlign w:val="center"/>
                </w:tcPr>
                <w:p w14:paraId="65E22A5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color w:val="auto"/>
                      <w:sz w:val="18"/>
                      <w:szCs w:val="18"/>
                      <w:lang w:eastAsia="zh-CN"/>
                    </w:rPr>
                  </w:pPr>
                  <w:r>
                    <w:rPr>
                      <w:rFonts w:hint="eastAsia" w:cs="Times New Roman"/>
                      <w:color w:val="auto"/>
                      <w:sz w:val="18"/>
                      <w:szCs w:val="18"/>
                      <w:lang w:eastAsia="zh-CN"/>
                    </w:rPr>
                    <w:t>合计</w:t>
                  </w:r>
                </w:p>
              </w:tc>
              <w:tc>
                <w:tcPr>
                  <w:tcW w:w="958" w:type="pct"/>
                  <w:tcBorders>
                    <w:tl2br w:val="nil"/>
                    <w:tr2bl w:val="nil"/>
                  </w:tcBorders>
                  <w:vAlign w:val="center"/>
                </w:tcPr>
                <w:p w14:paraId="56A9A79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cs="Times New Roman"/>
                      <w:color w:val="auto"/>
                      <w:sz w:val="18"/>
                      <w:szCs w:val="18"/>
                      <w:lang w:val="en-US" w:eastAsia="zh-CN"/>
                    </w:rPr>
                    <w:t>275.7</w:t>
                  </w:r>
                </w:p>
              </w:tc>
            </w:tr>
          </w:tbl>
          <w:p w14:paraId="76A2C37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lang w:val="en-US" w:eastAsia="zh-CN"/>
              </w:rPr>
            </w:pPr>
            <w:r>
              <w:rPr>
                <w:rFonts w:hint="default" w:ascii="Times New Roman" w:hAnsi="Times New Roman" w:eastAsia="宋体" w:cs="Times New Roman"/>
                <w:b/>
                <w:color w:val="auto"/>
                <w:lang w:val="en-US" w:eastAsia="zh-CN"/>
              </w:rPr>
              <w:t>表2.1-</w:t>
            </w:r>
            <w:r>
              <w:rPr>
                <w:rFonts w:hint="eastAsia" w:cs="Times New Roman"/>
                <w:b/>
                <w:color w:val="auto"/>
                <w:lang w:val="en-US" w:eastAsia="zh-CN"/>
              </w:rPr>
              <w:t>11 T</w:t>
            </w:r>
            <w:r>
              <w:rPr>
                <w:rFonts w:hint="default" w:ascii="Times New Roman" w:hAnsi="Times New Roman" w:eastAsia="宋体" w:cs="Times New Roman"/>
                <w:b/>
                <w:color w:val="auto"/>
                <w:lang w:val="en-US" w:eastAsia="zh-CN"/>
              </w:rPr>
              <w:t>L990型耐火密封填料（</w:t>
            </w:r>
            <w:r>
              <w:rPr>
                <w:rFonts w:hint="eastAsia" w:cs="Times New Roman"/>
                <w:b/>
                <w:color w:val="auto"/>
                <w:lang w:val="en-US" w:eastAsia="zh-CN"/>
              </w:rPr>
              <w:t>辅助液</w:t>
            </w:r>
            <w:r>
              <w:rPr>
                <w:rFonts w:hint="default" w:ascii="Times New Roman" w:hAnsi="Times New Roman" w:eastAsia="宋体" w:cs="Times New Roman"/>
                <w:b/>
                <w:color w:val="auto"/>
                <w:lang w:val="en-US" w:eastAsia="zh-CN"/>
              </w:rPr>
              <w:t>）</w:t>
            </w:r>
            <w:r>
              <w:rPr>
                <w:rFonts w:hint="eastAsia" w:cs="Times New Roman"/>
                <w:b/>
                <w:color w:val="auto"/>
                <w:lang w:val="en-US" w:eastAsia="zh-CN"/>
              </w:rPr>
              <w:t>生产</w:t>
            </w:r>
            <w:r>
              <w:rPr>
                <w:rFonts w:hint="default" w:ascii="Times New Roman" w:hAnsi="Times New Roman" w:eastAsia="宋体" w:cs="Times New Roman"/>
                <w:b/>
                <w:color w:val="auto"/>
                <w:lang w:val="en-US" w:eastAsia="zh-CN"/>
              </w:rPr>
              <w:t>物料平衡表（单位t/a）</w:t>
            </w:r>
          </w:p>
          <w:tbl>
            <w:tblPr>
              <w:tblStyle w:val="28"/>
              <w:tblW w:w="4998" w:type="pct"/>
              <w:tblInd w:w="5"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693"/>
              <w:gridCol w:w="1685"/>
              <w:gridCol w:w="1064"/>
              <w:gridCol w:w="1899"/>
              <w:gridCol w:w="1503"/>
            </w:tblGrid>
            <w:tr w14:paraId="76A40AC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153" w:type="pct"/>
                  <w:gridSpan w:val="2"/>
                  <w:tcBorders>
                    <w:tl2br w:val="nil"/>
                    <w:tr2bl w:val="nil"/>
                  </w:tcBorders>
                  <w:vAlign w:val="center"/>
                </w:tcPr>
                <w:p w14:paraId="371AA3E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投入</w:t>
                  </w:r>
                </w:p>
              </w:tc>
              <w:tc>
                <w:tcPr>
                  <w:tcW w:w="2846" w:type="pct"/>
                  <w:gridSpan w:val="3"/>
                  <w:tcBorders>
                    <w:tl2br w:val="nil"/>
                    <w:tr2bl w:val="nil"/>
                  </w:tcBorders>
                  <w:vAlign w:val="center"/>
                </w:tcPr>
                <w:p w14:paraId="437C692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产出</w:t>
                  </w:r>
                </w:p>
              </w:tc>
            </w:tr>
            <w:tr w14:paraId="419934A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153" w:type="pct"/>
                  <w:gridSpan w:val="2"/>
                  <w:tcBorders>
                    <w:tl2br w:val="nil"/>
                    <w:tr2bl w:val="nil"/>
                  </w:tcBorders>
                  <w:vAlign w:val="center"/>
                </w:tcPr>
                <w:p w14:paraId="310550E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物料</w:t>
                  </w:r>
                </w:p>
              </w:tc>
              <w:tc>
                <w:tcPr>
                  <w:tcW w:w="678" w:type="pct"/>
                  <w:tcBorders>
                    <w:tl2br w:val="nil"/>
                    <w:tr2bl w:val="nil"/>
                  </w:tcBorders>
                  <w:vAlign w:val="center"/>
                </w:tcPr>
                <w:p w14:paraId="549D5C5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类型</w:t>
                  </w:r>
                </w:p>
              </w:tc>
              <w:tc>
                <w:tcPr>
                  <w:tcW w:w="1210" w:type="pct"/>
                  <w:tcBorders>
                    <w:tl2br w:val="nil"/>
                    <w:tr2bl w:val="nil"/>
                  </w:tcBorders>
                  <w:vAlign w:val="center"/>
                </w:tcPr>
                <w:p w14:paraId="6A7CBFC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成分</w:t>
                  </w:r>
                </w:p>
              </w:tc>
              <w:tc>
                <w:tcPr>
                  <w:tcW w:w="958" w:type="pct"/>
                  <w:tcBorders>
                    <w:tl2br w:val="nil"/>
                    <w:tr2bl w:val="nil"/>
                  </w:tcBorders>
                  <w:vAlign w:val="center"/>
                </w:tcPr>
                <w:p w14:paraId="239BB35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eastAsia" w:cs="Times New Roman"/>
                      <w:b/>
                      <w:bCs/>
                      <w:color w:val="auto"/>
                      <w:sz w:val="18"/>
                      <w:szCs w:val="18"/>
                      <w:lang w:eastAsia="zh-CN"/>
                    </w:rPr>
                    <w:t>产出</w:t>
                  </w:r>
                  <w:r>
                    <w:rPr>
                      <w:rFonts w:hint="default" w:ascii="Times New Roman" w:hAnsi="Times New Roman" w:eastAsia="宋体" w:cs="Times New Roman"/>
                      <w:b/>
                      <w:bCs/>
                      <w:color w:val="auto"/>
                      <w:sz w:val="18"/>
                      <w:szCs w:val="18"/>
                    </w:rPr>
                    <w:t>量（t/a）</w:t>
                  </w:r>
                </w:p>
              </w:tc>
            </w:tr>
            <w:tr w14:paraId="66A072E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079" w:type="pct"/>
                  <w:tcBorders>
                    <w:tl2br w:val="nil"/>
                    <w:tr2bl w:val="nil"/>
                  </w:tcBorders>
                  <w:vAlign w:val="center"/>
                </w:tcPr>
                <w:p w14:paraId="138A7A3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名称</w:t>
                  </w:r>
                </w:p>
              </w:tc>
              <w:tc>
                <w:tcPr>
                  <w:tcW w:w="1074" w:type="pct"/>
                  <w:tcBorders>
                    <w:tl2br w:val="nil"/>
                    <w:tr2bl w:val="nil"/>
                  </w:tcBorders>
                  <w:vAlign w:val="center"/>
                </w:tcPr>
                <w:p w14:paraId="29663D5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投入量（t/a）</w:t>
                  </w:r>
                </w:p>
              </w:tc>
              <w:tc>
                <w:tcPr>
                  <w:tcW w:w="678" w:type="pct"/>
                  <w:tcBorders>
                    <w:tl2br w:val="nil"/>
                    <w:tr2bl w:val="nil"/>
                  </w:tcBorders>
                  <w:vAlign w:val="center"/>
                </w:tcPr>
                <w:p w14:paraId="7F5F8C0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color w:val="auto"/>
                      <w:sz w:val="18"/>
                      <w:szCs w:val="18"/>
                      <w:lang w:eastAsia="zh-CN"/>
                    </w:rPr>
                  </w:pPr>
                  <w:r>
                    <w:rPr>
                      <w:rFonts w:hint="eastAsia" w:cs="Times New Roman"/>
                      <w:color w:val="auto"/>
                      <w:sz w:val="18"/>
                      <w:szCs w:val="18"/>
                      <w:lang w:eastAsia="zh-CN"/>
                    </w:rPr>
                    <w:t>产品</w:t>
                  </w:r>
                </w:p>
              </w:tc>
              <w:tc>
                <w:tcPr>
                  <w:tcW w:w="1210" w:type="pct"/>
                  <w:tcBorders>
                    <w:tl2br w:val="nil"/>
                    <w:tr2bl w:val="nil"/>
                  </w:tcBorders>
                  <w:vAlign w:val="center"/>
                </w:tcPr>
                <w:p w14:paraId="156B7CA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eastAsia="zh-CN"/>
                    </w:rPr>
                  </w:pPr>
                  <w:r>
                    <w:rPr>
                      <w:rFonts w:hint="eastAsia" w:cs="Times New Roman"/>
                      <w:color w:val="auto"/>
                      <w:sz w:val="18"/>
                      <w:szCs w:val="18"/>
                      <w:lang w:eastAsia="zh-CN"/>
                    </w:rPr>
                    <w:t>辅助液</w:t>
                  </w:r>
                </w:p>
              </w:tc>
              <w:tc>
                <w:tcPr>
                  <w:tcW w:w="958" w:type="pct"/>
                  <w:tcBorders>
                    <w:tl2br w:val="nil"/>
                    <w:tr2bl w:val="nil"/>
                  </w:tcBorders>
                  <w:vAlign w:val="center"/>
                </w:tcPr>
                <w:p w14:paraId="4056E98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olor w:val="auto"/>
                      <w:sz w:val="18"/>
                      <w:szCs w:val="18"/>
                      <w:lang w:val="en-US" w:eastAsia="zh-CN"/>
                    </w:rPr>
                  </w:pPr>
                  <w:r>
                    <w:rPr>
                      <w:rFonts w:hint="eastAsia" w:cs="Times New Roman"/>
                      <w:color w:val="auto"/>
                      <w:sz w:val="18"/>
                      <w:szCs w:val="18"/>
                      <w:lang w:val="en-US" w:eastAsia="zh-CN"/>
                    </w:rPr>
                    <w:t>127</w:t>
                  </w:r>
                </w:p>
              </w:tc>
            </w:tr>
            <w:tr w14:paraId="7E27EFC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693" w:type="dxa"/>
                  <w:tcBorders>
                    <w:tl2br w:val="nil"/>
                    <w:tr2bl w:val="nil"/>
                  </w:tcBorders>
                  <w:vAlign w:val="center"/>
                </w:tcPr>
                <w:p w14:paraId="5B65172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rPr>
                  </w:pPr>
                  <w:r>
                    <w:rPr>
                      <w:rFonts w:hint="eastAsia" w:ascii="Times New Roman" w:hAnsi="Times New Roman" w:eastAsia="宋体" w:cs="Times New Roman"/>
                      <w:bCs/>
                      <w:color w:val="auto"/>
                      <w:kern w:val="0"/>
                      <w:sz w:val="18"/>
                      <w:szCs w:val="18"/>
                      <w:lang w:val="en-US" w:eastAsia="zh-CN"/>
                    </w:rPr>
                    <w:t>氯化镁</w:t>
                  </w:r>
                </w:p>
              </w:tc>
              <w:tc>
                <w:tcPr>
                  <w:tcW w:w="1685" w:type="dxa"/>
                  <w:tcBorders>
                    <w:tl2br w:val="nil"/>
                    <w:tr2bl w:val="nil"/>
                  </w:tcBorders>
                  <w:vAlign w:val="center"/>
                </w:tcPr>
                <w:p w14:paraId="67AD2E6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bCs/>
                      <w:color w:val="auto"/>
                      <w:kern w:val="0"/>
                      <w:sz w:val="18"/>
                      <w:szCs w:val="18"/>
                      <w:lang w:val="en-US" w:eastAsia="zh-CN"/>
                    </w:rPr>
                    <w:t>9</w:t>
                  </w:r>
                  <w:r>
                    <w:rPr>
                      <w:rFonts w:hint="eastAsia" w:cs="Times New Roman"/>
                      <w:bCs/>
                      <w:color w:val="auto"/>
                      <w:kern w:val="0"/>
                      <w:sz w:val="18"/>
                      <w:szCs w:val="18"/>
                      <w:lang w:val="en-US" w:eastAsia="zh-CN"/>
                    </w:rPr>
                    <w:t>0</w:t>
                  </w:r>
                </w:p>
              </w:tc>
              <w:tc>
                <w:tcPr>
                  <w:tcW w:w="678" w:type="pct"/>
                  <w:tcBorders>
                    <w:tl2br w:val="nil"/>
                    <w:tr2bl w:val="nil"/>
                  </w:tcBorders>
                  <w:vAlign w:val="center"/>
                </w:tcPr>
                <w:p w14:paraId="63B6F21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eastAsia="zh-CN"/>
                    </w:rPr>
                  </w:pPr>
                </w:p>
              </w:tc>
              <w:tc>
                <w:tcPr>
                  <w:tcW w:w="1210" w:type="pct"/>
                  <w:tcBorders>
                    <w:tl2br w:val="nil"/>
                    <w:tr2bl w:val="nil"/>
                  </w:tcBorders>
                  <w:vAlign w:val="center"/>
                </w:tcPr>
                <w:p w14:paraId="735C49B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s="Times New Roman"/>
                      <w:color w:val="auto"/>
                      <w:sz w:val="18"/>
                      <w:szCs w:val="18"/>
                      <w:lang w:eastAsia="zh-CN"/>
                    </w:rPr>
                  </w:pPr>
                </w:p>
              </w:tc>
              <w:tc>
                <w:tcPr>
                  <w:tcW w:w="958" w:type="pct"/>
                  <w:tcBorders>
                    <w:tl2br w:val="nil"/>
                    <w:tr2bl w:val="nil"/>
                  </w:tcBorders>
                  <w:vAlign w:val="center"/>
                </w:tcPr>
                <w:p w14:paraId="063B84C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p>
              </w:tc>
            </w:tr>
            <w:tr w14:paraId="798B123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693" w:type="dxa"/>
                  <w:tcBorders>
                    <w:tl2br w:val="nil"/>
                    <w:tr2bl w:val="nil"/>
                  </w:tcBorders>
                  <w:vAlign w:val="center"/>
                </w:tcPr>
                <w:p w14:paraId="3C01884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0"/>
                      <w:sz w:val="18"/>
                      <w:szCs w:val="18"/>
                      <w:lang w:eastAsia="zh-CN"/>
                    </w:rPr>
                  </w:pPr>
                  <w:r>
                    <w:rPr>
                      <w:rFonts w:hint="eastAsia" w:ascii="Times New Roman" w:hAnsi="Times New Roman" w:eastAsia="宋体" w:cs="Times New Roman"/>
                      <w:bCs/>
                      <w:color w:val="auto"/>
                      <w:kern w:val="0"/>
                      <w:sz w:val="18"/>
                      <w:szCs w:val="18"/>
                      <w:lang w:eastAsia="zh-CN"/>
                    </w:rPr>
                    <w:t>自来水</w:t>
                  </w:r>
                </w:p>
              </w:tc>
              <w:tc>
                <w:tcPr>
                  <w:tcW w:w="1685" w:type="dxa"/>
                  <w:tcBorders>
                    <w:tl2br w:val="nil"/>
                    <w:tr2bl w:val="nil"/>
                  </w:tcBorders>
                  <w:vAlign w:val="center"/>
                </w:tcPr>
                <w:p w14:paraId="581C741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cs="Times New Roman"/>
                      <w:bCs/>
                      <w:color w:val="auto"/>
                      <w:kern w:val="0"/>
                      <w:sz w:val="18"/>
                      <w:szCs w:val="18"/>
                      <w:lang w:val="en-US" w:eastAsia="zh-CN"/>
                    </w:rPr>
                    <w:t>37</w:t>
                  </w:r>
                </w:p>
              </w:tc>
              <w:tc>
                <w:tcPr>
                  <w:tcW w:w="678" w:type="pct"/>
                  <w:tcBorders>
                    <w:tl2br w:val="nil"/>
                    <w:tr2bl w:val="nil"/>
                  </w:tcBorders>
                  <w:vAlign w:val="center"/>
                </w:tcPr>
                <w:p w14:paraId="300B96E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eastAsia="zh-CN"/>
                    </w:rPr>
                  </w:pPr>
                </w:p>
              </w:tc>
              <w:tc>
                <w:tcPr>
                  <w:tcW w:w="1210" w:type="pct"/>
                  <w:tcBorders>
                    <w:bottom w:val="single" w:color="000000" w:sz="6" w:space="0"/>
                    <w:tl2br w:val="nil"/>
                    <w:tr2bl w:val="nil"/>
                  </w:tcBorders>
                  <w:vAlign w:val="center"/>
                </w:tcPr>
                <w:p w14:paraId="215753B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color w:val="auto"/>
                      <w:sz w:val="18"/>
                      <w:szCs w:val="18"/>
                      <w:lang w:val="en-US" w:eastAsia="zh-CN"/>
                    </w:rPr>
                  </w:pPr>
                </w:p>
              </w:tc>
              <w:tc>
                <w:tcPr>
                  <w:tcW w:w="958" w:type="pct"/>
                  <w:tcBorders>
                    <w:tl2br w:val="nil"/>
                    <w:tr2bl w:val="nil"/>
                  </w:tcBorders>
                  <w:vAlign w:val="center"/>
                </w:tcPr>
                <w:p w14:paraId="024A360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p>
              </w:tc>
            </w:tr>
            <w:tr w14:paraId="02B2A46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079" w:type="pct"/>
                  <w:tcBorders>
                    <w:tl2br w:val="nil"/>
                    <w:tr2bl w:val="nil"/>
                  </w:tcBorders>
                  <w:vAlign w:val="center"/>
                </w:tcPr>
                <w:p w14:paraId="531A324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合计</w:t>
                  </w:r>
                </w:p>
              </w:tc>
              <w:tc>
                <w:tcPr>
                  <w:tcW w:w="1074" w:type="pct"/>
                  <w:tcBorders>
                    <w:tl2br w:val="nil"/>
                    <w:tr2bl w:val="nil"/>
                  </w:tcBorders>
                  <w:shd w:val="clear" w:color="auto" w:fill="auto"/>
                  <w:vAlign w:val="center"/>
                </w:tcPr>
                <w:p w14:paraId="0E02AB4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cs="Times New Roman"/>
                      <w:color w:val="auto"/>
                      <w:sz w:val="18"/>
                      <w:szCs w:val="18"/>
                      <w:lang w:val="en-US" w:eastAsia="zh-CN"/>
                    </w:rPr>
                    <w:t>127</w:t>
                  </w:r>
                </w:p>
              </w:tc>
              <w:tc>
                <w:tcPr>
                  <w:tcW w:w="1888" w:type="pct"/>
                  <w:gridSpan w:val="2"/>
                  <w:tcBorders>
                    <w:tl2br w:val="nil"/>
                    <w:tr2bl w:val="nil"/>
                  </w:tcBorders>
                  <w:vAlign w:val="center"/>
                </w:tcPr>
                <w:p w14:paraId="187A24B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color w:val="auto"/>
                      <w:sz w:val="18"/>
                      <w:szCs w:val="18"/>
                      <w:lang w:eastAsia="zh-CN"/>
                    </w:rPr>
                  </w:pPr>
                  <w:r>
                    <w:rPr>
                      <w:rFonts w:hint="eastAsia" w:cs="Times New Roman"/>
                      <w:color w:val="auto"/>
                      <w:sz w:val="18"/>
                      <w:szCs w:val="18"/>
                      <w:lang w:eastAsia="zh-CN"/>
                    </w:rPr>
                    <w:t>合计</w:t>
                  </w:r>
                </w:p>
              </w:tc>
              <w:tc>
                <w:tcPr>
                  <w:tcW w:w="958" w:type="pct"/>
                  <w:tcBorders>
                    <w:tl2br w:val="nil"/>
                    <w:tr2bl w:val="nil"/>
                  </w:tcBorders>
                  <w:vAlign w:val="center"/>
                </w:tcPr>
                <w:p w14:paraId="10337D7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cs="Times New Roman"/>
                      <w:color w:val="auto"/>
                      <w:sz w:val="18"/>
                      <w:szCs w:val="18"/>
                      <w:lang w:val="en-US" w:eastAsia="zh-CN"/>
                    </w:rPr>
                    <w:t>127</w:t>
                  </w:r>
                </w:p>
              </w:tc>
            </w:tr>
          </w:tbl>
          <w:p w14:paraId="49E9503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lang w:val="en-US" w:eastAsia="zh-CN"/>
              </w:rPr>
            </w:pPr>
            <w:r>
              <w:rPr>
                <w:rFonts w:hint="default" w:ascii="Times New Roman" w:hAnsi="Times New Roman" w:eastAsia="宋体" w:cs="Times New Roman"/>
                <w:b/>
                <w:color w:val="auto"/>
                <w:lang w:val="en-US" w:eastAsia="zh-CN"/>
              </w:rPr>
              <w:t>表2.1-</w:t>
            </w:r>
            <w:r>
              <w:rPr>
                <w:rFonts w:hint="eastAsia" w:ascii="Times New Roman" w:hAnsi="Times New Roman" w:eastAsia="宋体" w:cs="Times New Roman"/>
                <w:b/>
                <w:color w:val="auto"/>
                <w:lang w:val="en-US" w:eastAsia="zh-CN"/>
              </w:rPr>
              <w:t>1</w:t>
            </w:r>
            <w:r>
              <w:rPr>
                <w:rFonts w:hint="eastAsia" w:cs="Times New Roman"/>
                <w:b/>
                <w:color w:val="auto"/>
                <w:lang w:val="en-US" w:eastAsia="zh-CN"/>
              </w:rPr>
              <w:t>2</w:t>
            </w:r>
            <w:r>
              <w:rPr>
                <w:rFonts w:hint="eastAsia" w:ascii="Times New Roman" w:hAnsi="Times New Roman" w:eastAsia="宋体" w:cs="Times New Roman"/>
                <w:b/>
                <w:color w:val="auto"/>
                <w:lang w:val="en-US" w:eastAsia="zh-CN"/>
              </w:rPr>
              <w:t xml:space="preserve"> KP800型膨胀堵料膨胀条</w:t>
            </w:r>
            <w:r>
              <w:rPr>
                <w:rFonts w:hint="eastAsia" w:cs="Times New Roman"/>
                <w:b/>
                <w:color w:val="auto"/>
                <w:lang w:val="en-US" w:eastAsia="zh-CN"/>
              </w:rPr>
              <w:t>生产</w:t>
            </w:r>
            <w:r>
              <w:rPr>
                <w:rFonts w:hint="default" w:ascii="Times New Roman" w:hAnsi="Times New Roman" w:eastAsia="宋体" w:cs="Times New Roman"/>
                <w:b/>
                <w:color w:val="auto"/>
                <w:lang w:val="en-US" w:eastAsia="zh-CN"/>
              </w:rPr>
              <w:t>物料平衡表（单位t/a）</w:t>
            </w:r>
          </w:p>
          <w:tbl>
            <w:tblPr>
              <w:tblStyle w:val="28"/>
              <w:tblW w:w="4998" w:type="pct"/>
              <w:tblInd w:w="5"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693"/>
              <w:gridCol w:w="1685"/>
              <w:gridCol w:w="1064"/>
              <w:gridCol w:w="1899"/>
              <w:gridCol w:w="1503"/>
            </w:tblGrid>
            <w:tr w14:paraId="4684909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153" w:type="pct"/>
                  <w:gridSpan w:val="2"/>
                  <w:tcBorders>
                    <w:tl2br w:val="nil"/>
                    <w:tr2bl w:val="nil"/>
                  </w:tcBorders>
                  <w:vAlign w:val="center"/>
                </w:tcPr>
                <w:p w14:paraId="6EDAFEE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投入</w:t>
                  </w:r>
                </w:p>
              </w:tc>
              <w:tc>
                <w:tcPr>
                  <w:tcW w:w="2846" w:type="pct"/>
                  <w:gridSpan w:val="3"/>
                  <w:tcBorders>
                    <w:tl2br w:val="nil"/>
                    <w:tr2bl w:val="nil"/>
                  </w:tcBorders>
                  <w:vAlign w:val="center"/>
                </w:tcPr>
                <w:p w14:paraId="4F079C8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产出</w:t>
                  </w:r>
                </w:p>
              </w:tc>
            </w:tr>
            <w:tr w14:paraId="23AA1BA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153" w:type="pct"/>
                  <w:gridSpan w:val="2"/>
                  <w:tcBorders>
                    <w:tl2br w:val="nil"/>
                    <w:tr2bl w:val="nil"/>
                  </w:tcBorders>
                  <w:vAlign w:val="center"/>
                </w:tcPr>
                <w:p w14:paraId="5ED8586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物料</w:t>
                  </w:r>
                </w:p>
              </w:tc>
              <w:tc>
                <w:tcPr>
                  <w:tcW w:w="678" w:type="pct"/>
                  <w:tcBorders>
                    <w:tl2br w:val="nil"/>
                    <w:tr2bl w:val="nil"/>
                  </w:tcBorders>
                  <w:vAlign w:val="center"/>
                </w:tcPr>
                <w:p w14:paraId="1AFEC5A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类型</w:t>
                  </w:r>
                </w:p>
              </w:tc>
              <w:tc>
                <w:tcPr>
                  <w:tcW w:w="1210" w:type="pct"/>
                  <w:tcBorders>
                    <w:tl2br w:val="nil"/>
                    <w:tr2bl w:val="nil"/>
                  </w:tcBorders>
                  <w:vAlign w:val="center"/>
                </w:tcPr>
                <w:p w14:paraId="7E05F40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成分</w:t>
                  </w:r>
                </w:p>
              </w:tc>
              <w:tc>
                <w:tcPr>
                  <w:tcW w:w="958" w:type="pct"/>
                  <w:tcBorders>
                    <w:tl2br w:val="nil"/>
                    <w:tr2bl w:val="nil"/>
                  </w:tcBorders>
                  <w:vAlign w:val="center"/>
                </w:tcPr>
                <w:p w14:paraId="1BB5C69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eastAsia" w:cs="Times New Roman"/>
                      <w:color w:val="auto"/>
                      <w:sz w:val="18"/>
                      <w:szCs w:val="18"/>
                      <w:lang w:eastAsia="zh-CN"/>
                    </w:rPr>
                    <w:t>产出</w:t>
                  </w:r>
                  <w:r>
                    <w:rPr>
                      <w:rFonts w:hint="default" w:ascii="Times New Roman" w:hAnsi="Times New Roman" w:eastAsia="宋体" w:cs="Times New Roman"/>
                      <w:color w:val="auto"/>
                      <w:sz w:val="18"/>
                      <w:szCs w:val="18"/>
                    </w:rPr>
                    <w:t>量（t/a）</w:t>
                  </w:r>
                </w:p>
              </w:tc>
            </w:tr>
            <w:tr w14:paraId="1E2B325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079" w:type="pct"/>
                  <w:tcBorders>
                    <w:tl2br w:val="nil"/>
                    <w:tr2bl w:val="nil"/>
                  </w:tcBorders>
                  <w:vAlign w:val="center"/>
                </w:tcPr>
                <w:p w14:paraId="5479091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名称</w:t>
                  </w:r>
                </w:p>
              </w:tc>
              <w:tc>
                <w:tcPr>
                  <w:tcW w:w="1074" w:type="pct"/>
                  <w:tcBorders>
                    <w:tl2br w:val="nil"/>
                    <w:tr2bl w:val="nil"/>
                  </w:tcBorders>
                  <w:vAlign w:val="center"/>
                </w:tcPr>
                <w:p w14:paraId="1D06FD8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投入量（t/a）</w:t>
                  </w:r>
                </w:p>
              </w:tc>
              <w:tc>
                <w:tcPr>
                  <w:tcW w:w="678" w:type="pct"/>
                  <w:tcBorders>
                    <w:tl2br w:val="nil"/>
                    <w:tr2bl w:val="nil"/>
                  </w:tcBorders>
                  <w:vAlign w:val="center"/>
                </w:tcPr>
                <w:p w14:paraId="3AC14CA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废气</w:t>
                  </w:r>
                </w:p>
              </w:tc>
              <w:tc>
                <w:tcPr>
                  <w:tcW w:w="1210" w:type="pct"/>
                  <w:tcBorders>
                    <w:tl2br w:val="nil"/>
                    <w:tr2bl w:val="nil"/>
                  </w:tcBorders>
                  <w:vAlign w:val="center"/>
                </w:tcPr>
                <w:p w14:paraId="7F46CA6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eastAsia="zh-CN"/>
                    </w:rPr>
                  </w:pPr>
                  <w:r>
                    <w:rPr>
                      <w:rFonts w:hint="default" w:ascii="Times New Roman" w:hAnsi="Times New Roman" w:eastAsia="宋体" w:cs="Times New Roman"/>
                      <w:color w:val="auto"/>
                      <w:sz w:val="18"/>
                      <w:szCs w:val="18"/>
                      <w:lang w:eastAsia="zh-CN"/>
                    </w:rPr>
                    <w:t>颗粒物</w:t>
                  </w:r>
                </w:p>
              </w:tc>
              <w:tc>
                <w:tcPr>
                  <w:tcW w:w="958" w:type="pct"/>
                  <w:tcBorders>
                    <w:tl2br w:val="nil"/>
                    <w:tr2bl w:val="nil"/>
                  </w:tcBorders>
                  <w:vAlign w:val="center"/>
                </w:tcPr>
                <w:p w14:paraId="06AD5DE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olor w:val="auto"/>
                      <w:sz w:val="18"/>
                      <w:szCs w:val="18"/>
                      <w:lang w:val="en-US" w:eastAsia="zh-CN"/>
                    </w:rPr>
                  </w:pPr>
                  <w:r>
                    <w:rPr>
                      <w:rFonts w:hint="eastAsia" w:cs="Times New Roman"/>
                      <w:color w:val="auto"/>
                      <w:sz w:val="18"/>
                      <w:szCs w:val="18"/>
                      <w:lang w:val="en-US" w:eastAsia="zh-CN"/>
                    </w:rPr>
                    <w:t>0.8</w:t>
                  </w:r>
                </w:p>
              </w:tc>
            </w:tr>
            <w:tr w14:paraId="033A77A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079" w:type="pct"/>
                  <w:tcBorders>
                    <w:tl2br w:val="nil"/>
                    <w:tr2bl w:val="nil"/>
                  </w:tcBorders>
                  <w:vAlign w:val="center"/>
                </w:tcPr>
                <w:p w14:paraId="7175623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rPr>
                  </w:pPr>
                  <w:r>
                    <w:rPr>
                      <w:rFonts w:hint="eastAsia" w:ascii="Times New Roman" w:hAnsi="Times New Roman" w:eastAsia="宋体" w:cs="Times New Roman"/>
                      <w:bCs/>
                      <w:color w:val="auto"/>
                      <w:kern w:val="0"/>
                      <w:sz w:val="18"/>
                      <w:szCs w:val="18"/>
                      <w:lang w:val="en-US" w:eastAsia="zh-CN"/>
                    </w:rPr>
                    <w:t>木浆棉</w:t>
                  </w:r>
                </w:p>
              </w:tc>
              <w:tc>
                <w:tcPr>
                  <w:tcW w:w="1074" w:type="pct"/>
                  <w:tcBorders>
                    <w:tl2br w:val="nil"/>
                    <w:tr2bl w:val="nil"/>
                  </w:tcBorders>
                  <w:vAlign w:val="center"/>
                </w:tcPr>
                <w:p w14:paraId="51D9A53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22</w:t>
                  </w:r>
                </w:p>
              </w:tc>
              <w:tc>
                <w:tcPr>
                  <w:tcW w:w="678" w:type="pct"/>
                  <w:vMerge w:val="restart"/>
                  <w:tcBorders>
                    <w:tl2br w:val="nil"/>
                    <w:tr2bl w:val="nil"/>
                  </w:tcBorders>
                  <w:vAlign w:val="center"/>
                </w:tcPr>
                <w:p w14:paraId="7F38726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eastAsia="zh-CN"/>
                    </w:rPr>
                  </w:pPr>
                  <w:r>
                    <w:rPr>
                      <w:rFonts w:hint="eastAsia" w:cs="Times New Roman"/>
                      <w:color w:val="auto"/>
                      <w:sz w:val="18"/>
                      <w:szCs w:val="18"/>
                      <w:lang w:eastAsia="zh-CN"/>
                    </w:rPr>
                    <w:t>固废</w:t>
                  </w:r>
                </w:p>
              </w:tc>
              <w:tc>
                <w:tcPr>
                  <w:tcW w:w="1210" w:type="pct"/>
                  <w:tcBorders>
                    <w:tl2br w:val="nil"/>
                    <w:tr2bl w:val="nil"/>
                  </w:tcBorders>
                  <w:vAlign w:val="center"/>
                </w:tcPr>
                <w:p w14:paraId="2DD2EE4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s="Times New Roman"/>
                      <w:color w:val="auto"/>
                      <w:sz w:val="18"/>
                      <w:szCs w:val="18"/>
                      <w:lang w:eastAsia="zh-CN"/>
                    </w:rPr>
                  </w:pPr>
                  <w:r>
                    <w:rPr>
                      <w:rFonts w:hint="eastAsia" w:cs="Times New Roman"/>
                      <w:color w:val="auto"/>
                      <w:sz w:val="18"/>
                      <w:szCs w:val="18"/>
                      <w:lang w:eastAsia="zh-CN"/>
                    </w:rPr>
                    <w:t>边角料</w:t>
                  </w:r>
                </w:p>
              </w:tc>
              <w:tc>
                <w:tcPr>
                  <w:tcW w:w="958" w:type="pct"/>
                  <w:tcBorders>
                    <w:tl2br w:val="nil"/>
                    <w:tr2bl w:val="nil"/>
                  </w:tcBorders>
                  <w:vAlign w:val="center"/>
                </w:tcPr>
                <w:p w14:paraId="304257B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cs="Times New Roman"/>
                      <w:color w:val="auto"/>
                      <w:sz w:val="18"/>
                      <w:szCs w:val="18"/>
                      <w:lang w:val="en-US" w:eastAsia="zh-CN"/>
                    </w:rPr>
                    <w:t>1.2</w:t>
                  </w:r>
                </w:p>
              </w:tc>
            </w:tr>
            <w:tr w14:paraId="1343B1B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079" w:type="pct"/>
                  <w:tcBorders>
                    <w:tl2br w:val="nil"/>
                    <w:tr2bl w:val="nil"/>
                  </w:tcBorders>
                  <w:vAlign w:val="center"/>
                </w:tcPr>
                <w:p w14:paraId="67C8B7B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cs="Times New Roman"/>
                      <w:bCs/>
                      <w:color w:val="auto"/>
                      <w:kern w:val="0"/>
                      <w:sz w:val="18"/>
                      <w:szCs w:val="18"/>
                      <w:lang w:val="en-US" w:eastAsia="zh-CN"/>
                    </w:rPr>
                  </w:pPr>
                  <w:r>
                    <w:rPr>
                      <w:rFonts w:hint="eastAsia" w:cs="Times New Roman"/>
                      <w:color w:val="auto"/>
                      <w:sz w:val="18"/>
                      <w:szCs w:val="18"/>
                      <w:lang w:eastAsia="zh-CN"/>
                    </w:rPr>
                    <w:t>不合格品（套用）</w:t>
                  </w:r>
                </w:p>
              </w:tc>
              <w:tc>
                <w:tcPr>
                  <w:tcW w:w="1074" w:type="pct"/>
                  <w:tcBorders>
                    <w:tl2br w:val="nil"/>
                    <w:tr2bl w:val="nil"/>
                  </w:tcBorders>
                  <w:vAlign w:val="center"/>
                </w:tcPr>
                <w:p w14:paraId="233AC78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0.2</w:t>
                  </w:r>
                </w:p>
              </w:tc>
              <w:tc>
                <w:tcPr>
                  <w:tcW w:w="678" w:type="pct"/>
                  <w:vMerge w:val="continue"/>
                  <w:tcBorders>
                    <w:tl2br w:val="nil"/>
                    <w:tr2bl w:val="nil"/>
                  </w:tcBorders>
                  <w:vAlign w:val="center"/>
                </w:tcPr>
                <w:p w14:paraId="40D50E3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s="Times New Roman"/>
                      <w:color w:val="auto"/>
                      <w:sz w:val="18"/>
                      <w:szCs w:val="18"/>
                      <w:lang w:eastAsia="zh-CN"/>
                    </w:rPr>
                  </w:pPr>
                </w:p>
              </w:tc>
              <w:tc>
                <w:tcPr>
                  <w:tcW w:w="1210" w:type="pct"/>
                  <w:tcBorders>
                    <w:tl2br w:val="nil"/>
                    <w:tr2bl w:val="nil"/>
                  </w:tcBorders>
                  <w:vAlign w:val="center"/>
                </w:tcPr>
                <w:p w14:paraId="3F37781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s="Times New Roman"/>
                      <w:color w:val="auto"/>
                      <w:sz w:val="18"/>
                      <w:szCs w:val="18"/>
                      <w:lang w:eastAsia="zh-CN"/>
                    </w:rPr>
                  </w:pPr>
                  <w:r>
                    <w:rPr>
                      <w:rFonts w:hint="eastAsia" w:cs="Times New Roman"/>
                      <w:color w:val="auto"/>
                      <w:sz w:val="18"/>
                      <w:szCs w:val="18"/>
                      <w:lang w:eastAsia="zh-CN"/>
                    </w:rPr>
                    <w:t>不合格品（套用）</w:t>
                  </w:r>
                </w:p>
              </w:tc>
              <w:tc>
                <w:tcPr>
                  <w:tcW w:w="958" w:type="pct"/>
                  <w:tcBorders>
                    <w:tl2br w:val="nil"/>
                    <w:tr2bl w:val="nil"/>
                  </w:tcBorders>
                  <w:vAlign w:val="center"/>
                </w:tcPr>
                <w:p w14:paraId="3CF6B57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cs="Times New Roman"/>
                      <w:color w:val="auto"/>
                      <w:sz w:val="18"/>
                      <w:szCs w:val="18"/>
                      <w:lang w:val="en-US" w:eastAsia="zh-CN"/>
                    </w:rPr>
                  </w:pPr>
                  <w:r>
                    <w:rPr>
                      <w:rFonts w:hint="eastAsia" w:cs="Times New Roman"/>
                      <w:color w:val="auto"/>
                      <w:sz w:val="18"/>
                      <w:szCs w:val="18"/>
                      <w:lang w:val="en-US" w:eastAsia="zh-CN"/>
                    </w:rPr>
                    <w:t>0.2</w:t>
                  </w:r>
                </w:p>
              </w:tc>
            </w:tr>
            <w:tr w14:paraId="7D28EA5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079" w:type="pct"/>
                  <w:tcBorders>
                    <w:tl2br w:val="nil"/>
                    <w:tr2bl w:val="nil"/>
                  </w:tcBorders>
                  <w:vAlign w:val="center"/>
                </w:tcPr>
                <w:p w14:paraId="5DEBCC4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0"/>
                      <w:sz w:val="18"/>
                      <w:szCs w:val="18"/>
                      <w:lang w:eastAsia="zh-CN"/>
                    </w:rPr>
                  </w:pPr>
                </w:p>
              </w:tc>
              <w:tc>
                <w:tcPr>
                  <w:tcW w:w="1074" w:type="pct"/>
                  <w:tcBorders>
                    <w:tl2br w:val="nil"/>
                    <w:tr2bl w:val="nil"/>
                  </w:tcBorders>
                  <w:vAlign w:val="center"/>
                </w:tcPr>
                <w:p w14:paraId="7C9AE98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val="en-US" w:eastAsia="zh-CN"/>
                    </w:rPr>
                  </w:pPr>
                </w:p>
              </w:tc>
              <w:tc>
                <w:tcPr>
                  <w:tcW w:w="678" w:type="pct"/>
                  <w:tcBorders>
                    <w:tl2br w:val="nil"/>
                    <w:tr2bl w:val="nil"/>
                  </w:tcBorders>
                  <w:vAlign w:val="center"/>
                </w:tcPr>
                <w:p w14:paraId="1549516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eastAsia="zh-CN"/>
                    </w:rPr>
                  </w:pPr>
                  <w:r>
                    <w:rPr>
                      <w:rFonts w:hint="eastAsia" w:cs="Times New Roman"/>
                      <w:color w:val="auto"/>
                      <w:sz w:val="18"/>
                      <w:szCs w:val="18"/>
                      <w:lang w:eastAsia="zh-CN"/>
                    </w:rPr>
                    <w:t>产品</w:t>
                  </w:r>
                </w:p>
              </w:tc>
              <w:tc>
                <w:tcPr>
                  <w:tcW w:w="1210" w:type="pct"/>
                  <w:tcBorders>
                    <w:bottom w:val="single" w:color="000000" w:sz="6" w:space="0"/>
                    <w:tl2br w:val="nil"/>
                    <w:tr2bl w:val="nil"/>
                  </w:tcBorders>
                  <w:vAlign w:val="center"/>
                </w:tcPr>
                <w:p w14:paraId="356902A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eastAsia="zh-CN"/>
                    </w:rPr>
                  </w:pPr>
                  <w:r>
                    <w:rPr>
                      <w:rFonts w:hint="eastAsia" w:cs="Times New Roman"/>
                      <w:color w:val="auto"/>
                      <w:sz w:val="18"/>
                      <w:szCs w:val="18"/>
                      <w:lang w:eastAsia="zh-CN"/>
                    </w:rPr>
                    <w:t>膨胀条</w:t>
                  </w:r>
                </w:p>
              </w:tc>
              <w:tc>
                <w:tcPr>
                  <w:tcW w:w="958" w:type="pct"/>
                  <w:tcBorders>
                    <w:tl2br w:val="nil"/>
                    <w:tr2bl w:val="nil"/>
                  </w:tcBorders>
                  <w:vAlign w:val="center"/>
                </w:tcPr>
                <w:p w14:paraId="47397CB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cs="Times New Roman"/>
                      <w:color w:val="auto"/>
                      <w:sz w:val="18"/>
                      <w:szCs w:val="18"/>
                      <w:lang w:val="en-US" w:eastAsia="zh-CN"/>
                    </w:rPr>
                    <w:t>20</w:t>
                  </w:r>
                </w:p>
              </w:tc>
            </w:tr>
            <w:tr w14:paraId="5DAAC23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079" w:type="pct"/>
                  <w:tcBorders>
                    <w:tl2br w:val="nil"/>
                    <w:tr2bl w:val="nil"/>
                  </w:tcBorders>
                  <w:vAlign w:val="center"/>
                </w:tcPr>
                <w:p w14:paraId="6B02A46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合计</w:t>
                  </w:r>
                </w:p>
              </w:tc>
              <w:tc>
                <w:tcPr>
                  <w:tcW w:w="1074" w:type="pct"/>
                  <w:tcBorders>
                    <w:tl2br w:val="nil"/>
                    <w:tr2bl w:val="nil"/>
                  </w:tcBorders>
                  <w:shd w:val="clear" w:color="auto" w:fill="auto"/>
                  <w:vAlign w:val="center"/>
                </w:tcPr>
                <w:p w14:paraId="6652ECC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cs="Times New Roman"/>
                      <w:color w:val="auto"/>
                      <w:sz w:val="18"/>
                      <w:szCs w:val="18"/>
                      <w:lang w:val="en-US" w:eastAsia="zh-CN"/>
                    </w:rPr>
                    <w:t>22.2</w:t>
                  </w:r>
                </w:p>
              </w:tc>
              <w:tc>
                <w:tcPr>
                  <w:tcW w:w="1888" w:type="pct"/>
                  <w:gridSpan w:val="2"/>
                  <w:tcBorders>
                    <w:tl2br w:val="nil"/>
                    <w:tr2bl w:val="nil"/>
                  </w:tcBorders>
                  <w:vAlign w:val="center"/>
                </w:tcPr>
                <w:p w14:paraId="4519AD8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color w:val="auto"/>
                      <w:sz w:val="18"/>
                      <w:szCs w:val="18"/>
                      <w:lang w:eastAsia="zh-CN"/>
                    </w:rPr>
                  </w:pPr>
                  <w:r>
                    <w:rPr>
                      <w:rFonts w:hint="eastAsia" w:cs="Times New Roman"/>
                      <w:color w:val="auto"/>
                      <w:sz w:val="18"/>
                      <w:szCs w:val="18"/>
                      <w:lang w:eastAsia="zh-CN"/>
                    </w:rPr>
                    <w:t>合计</w:t>
                  </w:r>
                </w:p>
              </w:tc>
              <w:tc>
                <w:tcPr>
                  <w:tcW w:w="958" w:type="pct"/>
                  <w:tcBorders>
                    <w:tl2br w:val="nil"/>
                    <w:tr2bl w:val="nil"/>
                  </w:tcBorders>
                  <w:vAlign w:val="center"/>
                </w:tcPr>
                <w:p w14:paraId="1035B12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cs="Times New Roman"/>
                      <w:color w:val="auto"/>
                      <w:sz w:val="18"/>
                      <w:szCs w:val="18"/>
                      <w:lang w:val="en-US" w:eastAsia="zh-CN"/>
                    </w:rPr>
                    <w:t>22.2</w:t>
                  </w:r>
                </w:p>
              </w:tc>
            </w:tr>
          </w:tbl>
          <w:p w14:paraId="21337E5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lang w:val="en-US" w:eastAsia="zh-CN"/>
              </w:rPr>
            </w:pPr>
            <w:r>
              <w:rPr>
                <w:rFonts w:hint="default" w:ascii="Times New Roman" w:hAnsi="Times New Roman" w:eastAsia="宋体" w:cs="Times New Roman"/>
                <w:b/>
                <w:color w:val="auto"/>
                <w:lang w:val="en-US" w:eastAsia="zh-CN"/>
              </w:rPr>
              <w:t>表2.1-</w:t>
            </w:r>
            <w:r>
              <w:rPr>
                <w:rFonts w:hint="eastAsia" w:cs="Times New Roman"/>
                <w:b/>
                <w:color w:val="auto"/>
                <w:lang w:val="en-US" w:eastAsia="zh-CN"/>
              </w:rPr>
              <w:t xml:space="preserve">13 </w:t>
            </w:r>
            <w:r>
              <w:rPr>
                <w:rFonts w:hint="eastAsia" w:ascii="Times New Roman" w:hAnsi="Times New Roman" w:eastAsia="宋体" w:cs="Times New Roman"/>
                <w:b/>
                <w:color w:val="auto"/>
                <w:lang w:val="en-US" w:eastAsia="zh-CN"/>
              </w:rPr>
              <w:t>KP800型膨胀堵料</w:t>
            </w:r>
            <w:r>
              <w:rPr>
                <w:rFonts w:hint="default" w:ascii="Times New Roman" w:hAnsi="Times New Roman" w:eastAsia="宋体" w:cs="Times New Roman"/>
                <w:b/>
                <w:color w:val="auto"/>
                <w:lang w:val="en-US" w:eastAsia="zh-CN"/>
              </w:rPr>
              <w:t>（</w:t>
            </w:r>
            <w:r>
              <w:rPr>
                <w:rFonts w:hint="eastAsia" w:cs="Times New Roman"/>
                <w:b/>
                <w:color w:val="auto"/>
                <w:lang w:val="en-US" w:eastAsia="zh-CN"/>
              </w:rPr>
              <w:t>阻燃剂</w:t>
            </w:r>
            <w:r>
              <w:rPr>
                <w:rFonts w:hint="default" w:ascii="Times New Roman" w:hAnsi="Times New Roman" w:eastAsia="宋体" w:cs="Times New Roman"/>
                <w:b/>
                <w:color w:val="auto"/>
                <w:lang w:val="en-US" w:eastAsia="zh-CN"/>
              </w:rPr>
              <w:t>）</w:t>
            </w:r>
            <w:r>
              <w:rPr>
                <w:rFonts w:hint="eastAsia" w:cs="Times New Roman"/>
                <w:b/>
                <w:color w:val="auto"/>
                <w:lang w:val="en-US" w:eastAsia="zh-CN"/>
              </w:rPr>
              <w:t>生产</w:t>
            </w:r>
            <w:r>
              <w:rPr>
                <w:rFonts w:hint="default" w:ascii="Times New Roman" w:hAnsi="Times New Roman" w:eastAsia="宋体" w:cs="Times New Roman"/>
                <w:b/>
                <w:color w:val="auto"/>
                <w:lang w:val="en-US" w:eastAsia="zh-CN"/>
              </w:rPr>
              <w:t>物料平衡表（单位t/a）</w:t>
            </w:r>
          </w:p>
          <w:tbl>
            <w:tblPr>
              <w:tblStyle w:val="28"/>
              <w:tblW w:w="4998" w:type="pct"/>
              <w:tblInd w:w="5"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693"/>
              <w:gridCol w:w="1685"/>
              <w:gridCol w:w="1064"/>
              <w:gridCol w:w="1899"/>
              <w:gridCol w:w="1503"/>
            </w:tblGrid>
            <w:tr w14:paraId="7956389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153" w:type="pct"/>
                  <w:gridSpan w:val="2"/>
                  <w:tcBorders>
                    <w:tl2br w:val="nil"/>
                    <w:tr2bl w:val="nil"/>
                  </w:tcBorders>
                  <w:vAlign w:val="center"/>
                </w:tcPr>
                <w:p w14:paraId="1B505B8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投入</w:t>
                  </w:r>
                </w:p>
              </w:tc>
              <w:tc>
                <w:tcPr>
                  <w:tcW w:w="2846" w:type="pct"/>
                  <w:gridSpan w:val="3"/>
                  <w:tcBorders>
                    <w:tl2br w:val="nil"/>
                    <w:tr2bl w:val="nil"/>
                  </w:tcBorders>
                  <w:vAlign w:val="center"/>
                </w:tcPr>
                <w:p w14:paraId="4CA49EF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产出</w:t>
                  </w:r>
                </w:p>
              </w:tc>
            </w:tr>
            <w:tr w14:paraId="65CC267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153" w:type="pct"/>
                  <w:gridSpan w:val="2"/>
                  <w:tcBorders>
                    <w:tl2br w:val="nil"/>
                    <w:tr2bl w:val="nil"/>
                  </w:tcBorders>
                  <w:vAlign w:val="center"/>
                </w:tcPr>
                <w:p w14:paraId="0770C7C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物料</w:t>
                  </w:r>
                </w:p>
              </w:tc>
              <w:tc>
                <w:tcPr>
                  <w:tcW w:w="678" w:type="pct"/>
                  <w:tcBorders>
                    <w:tl2br w:val="nil"/>
                    <w:tr2bl w:val="nil"/>
                  </w:tcBorders>
                  <w:vAlign w:val="center"/>
                </w:tcPr>
                <w:p w14:paraId="2BC7C35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类型</w:t>
                  </w:r>
                </w:p>
              </w:tc>
              <w:tc>
                <w:tcPr>
                  <w:tcW w:w="1210" w:type="pct"/>
                  <w:tcBorders>
                    <w:tl2br w:val="nil"/>
                    <w:tr2bl w:val="nil"/>
                  </w:tcBorders>
                  <w:vAlign w:val="center"/>
                </w:tcPr>
                <w:p w14:paraId="0751752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成分</w:t>
                  </w:r>
                </w:p>
              </w:tc>
              <w:tc>
                <w:tcPr>
                  <w:tcW w:w="958" w:type="pct"/>
                  <w:tcBorders>
                    <w:tl2br w:val="nil"/>
                    <w:tr2bl w:val="nil"/>
                  </w:tcBorders>
                  <w:vAlign w:val="center"/>
                </w:tcPr>
                <w:p w14:paraId="75A04FF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eastAsia" w:cs="Times New Roman"/>
                      <w:b/>
                      <w:bCs/>
                      <w:color w:val="auto"/>
                      <w:sz w:val="18"/>
                      <w:szCs w:val="18"/>
                      <w:lang w:eastAsia="zh-CN"/>
                    </w:rPr>
                    <w:t>产出</w:t>
                  </w:r>
                  <w:r>
                    <w:rPr>
                      <w:rFonts w:hint="default" w:ascii="Times New Roman" w:hAnsi="Times New Roman" w:eastAsia="宋体" w:cs="Times New Roman"/>
                      <w:b/>
                      <w:bCs/>
                      <w:color w:val="auto"/>
                      <w:sz w:val="18"/>
                      <w:szCs w:val="18"/>
                    </w:rPr>
                    <w:t>量（t/a）</w:t>
                  </w:r>
                </w:p>
              </w:tc>
            </w:tr>
            <w:tr w14:paraId="1B82142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079" w:type="pct"/>
                  <w:tcBorders>
                    <w:tl2br w:val="nil"/>
                    <w:tr2bl w:val="nil"/>
                  </w:tcBorders>
                  <w:vAlign w:val="center"/>
                </w:tcPr>
                <w:p w14:paraId="4414778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名称</w:t>
                  </w:r>
                </w:p>
              </w:tc>
              <w:tc>
                <w:tcPr>
                  <w:tcW w:w="1074" w:type="pct"/>
                  <w:tcBorders>
                    <w:tl2br w:val="nil"/>
                    <w:tr2bl w:val="nil"/>
                  </w:tcBorders>
                  <w:vAlign w:val="center"/>
                </w:tcPr>
                <w:p w14:paraId="1AFEF21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投入量（t/a）</w:t>
                  </w:r>
                </w:p>
              </w:tc>
              <w:tc>
                <w:tcPr>
                  <w:tcW w:w="678" w:type="pct"/>
                  <w:tcBorders>
                    <w:tl2br w:val="nil"/>
                    <w:tr2bl w:val="nil"/>
                  </w:tcBorders>
                  <w:vAlign w:val="center"/>
                </w:tcPr>
                <w:p w14:paraId="21D173C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color w:val="auto"/>
                      <w:sz w:val="18"/>
                      <w:szCs w:val="18"/>
                      <w:lang w:eastAsia="zh-CN"/>
                    </w:rPr>
                  </w:pPr>
                  <w:r>
                    <w:rPr>
                      <w:rFonts w:hint="eastAsia" w:cs="Times New Roman"/>
                      <w:color w:val="auto"/>
                      <w:sz w:val="18"/>
                      <w:szCs w:val="18"/>
                      <w:lang w:eastAsia="zh-CN"/>
                    </w:rPr>
                    <w:t>产品</w:t>
                  </w:r>
                </w:p>
              </w:tc>
              <w:tc>
                <w:tcPr>
                  <w:tcW w:w="1210" w:type="pct"/>
                  <w:tcBorders>
                    <w:tl2br w:val="nil"/>
                    <w:tr2bl w:val="nil"/>
                  </w:tcBorders>
                  <w:vAlign w:val="center"/>
                </w:tcPr>
                <w:p w14:paraId="496EDB8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eastAsia="zh-CN"/>
                    </w:rPr>
                  </w:pPr>
                  <w:r>
                    <w:rPr>
                      <w:rFonts w:hint="default" w:ascii="Times New Roman" w:hAnsi="Times New Roman" w:eastAsia="宋体" w:cs="Times New Roman"/>
                      <w:color w:val="auto"/>
                      <w:sz w:val="18"/>
                      <w:szCs w:val="18"/>
                      <w:lang w:val="en-US" w:eastAsia="zh-CN"/>
                    </w:rPr>
                    <w:t>阻燃剂</w:t>
                  </w:r>
                </w:p>
              </w:tc>
              <w:tc>
                <w:tcPr>
                  <w:tcW w:w="958" w:type="pct"/>
                  <w:tcBorders>
                    <w:tl2br w:val="nil"/>
                    <w:tr2bl w:val="nil"/>
                  </w:tcBorders>
                  <w:vAlign w:val="center"/>
                </w:tcPr>
                <w:p w14:paraId="7AEA694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olor w:val="auto"/>
                      <w:sz w:val="18"/>
                      <w:szCs w:val="18"/>
                      <w:lang w:val="en-US" w:eastAsia="zh-CN"/>
                    </w:rPr>
                  </w:pPr>
                  <w:r>
                    <w:rPr>
                      <w:rFonts w:hint="eastAsia" w:cs="Times New Roman"/>
                      <w:color w:val="auto"/>
                      <w:sz w:val="18"/>
                      <w:szCs w:val="18"/>
                      <w:lang w:val="en-US" w:eastAsia="zh-CN"/>
                    </w:rPr>
                    <w:t>80</w:t>
                  </w:r>
                </w:p>
              </w:tc>
            </w:tr>
            <w:tr w14:paraId="314F72E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693" w:type="dxa"/>
                  <w:tcBorders>
                    <w:tl2br w:val="nil"/>
                    <w:tr2bl w:val="nil"/>
                  </w:tcBorders>
                  <w:vAlign w:val="center"/>
                </w:tcPr>
                <w:p w14:paraId="4C1CD88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rPr>
                  </w:pPr>
                  <w:r>
                    <w:rPr>
                      <w:rFonts w:hint="eastAsia" w:ascii="Times New Roman" w:hAnsi="Times New Roman" w:eastAsia="宋体" w:cs="Times New Roman"/>
                      <w:bCs/>
                      <w:color w:val="auto"/>
                      <w:kern w:val="0"/>
                      <w:sz w:val="18"/>
                      <w:szCs w:val="18"/>
                      <w:lang w:val="en-US" w:eastAsia="zh-CN"/>
                    </w:rPr>
                    <w:t>氯化镁</w:t>
                  </w:r>
                </w:p>
              </w:tc>
              <w:tc>
                <w:tcPr>
                  <w:tcW w:w="1685" w:type="dxa"/>
                  <w:tcBorders>
                    <w:tl2br w:val="nil"/>
                    <w:tr2bl w:val="nil"/>
                  </w:tcBorders>
                  <w:vAlign w:val="center"/>
                </w:tcPr>
                <w:p w14:paraId="4B0344A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cs="Times New Roman"/>
                      <w:bCs/>
                      <w:color w:val="auto"/>
                      <w:kern w:val="0"/>
                      <w:sz w:val="18"/>
                      <w:szCs w:val="18"/>
                      <w:lang w:val="en-US" w:eastAsia="zh-CN"/>
                    </w:rPr>
                    <w:t>5</w:t>
                  </w:r>
                  <w:r>
                    <w:rPr>
                      <w:rFonts w:hint="eastAsia" w:ascii="Times New Roman" w:hAnsi="Times New Roman" w:eastAsia="宋体" w:cs="Times New Roman"/>
                      <w:bCs/>
                      <w:color w:val="auto"/>
                      <w:kern w:val="0"/>
                      <w:sz w:val="18"/>
                      <w:szCs w:val="18"/>
                      <w:lang w:val="en-US" w:eastAsia="zh-CN"/>
                    </w:rPr>
                    <w:t>0</w:t>
                  </w:r>
                </w:p>
              </w:tc>
              <w:tc>
                <w:tcPr>
                  <w:tcW w:w="678" w:type="pct"/>
                  <w:tcBorders>
                    <w:tl2br w:val="nil"/>
                    <w:tr2bl w:val="nil"/>
                  </w:tcBorders>
                  <w:vAlign w:val="center"/>
                </w:tcPr>
                <w:p w14:paraId="493BE9B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eastAsia="zh-CN"/>
                    </w:rPr>
                  </w:pPr>
                </w:p>
              </w:tc>
              <w:tc>
                <w:tcPr>
                  <w:tcW w:w="1210" w:type="pct"/>
                  <w:tcBorders>
                    <w:tl2br w:val="nil"/>
                    <w:tr2bl w:val="nil"/>
                  </w:tcBorders>
                  <w:vAlign w:val="center"/>
                </w:tcPr>
                <w:p w14:paraId="373A899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s="Times New Roman"/>
                      <w:color w:val="auto"/>
                      <w:sz w:val="18"/>
                      <w:szCs w:val="18"/>
                      <w:lang w:eastAsia="zh-CN"/>
                    </w:rPr>
                  </w:pPr>
                </w:p>
              </w:tc>
              <w:tc>
                <w:tcPr>
                  <w:tcW w:w="958" w:type="pct"/>
                  <w:tcBorders>
                    <w:tl2br w:val="nil"/>
                    <w:tr2bl w:val="nil"/>
                  </w:tcBorders>
                  <w:vAlign w:val="center"/>
                </w:tcPr>
                <w:p w14:paraId="2C20122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p>
              </w:tc>
            </w:tr>
            <w:tr w14:paraId="122481F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693" w:type="dxa"/>
                  <w:tcBorders>
                    <w:tl2br w:val="nil"/>
                    <w:tr2bl w:val="nil"/>
                  </w:tcBorders>
                  <w:vAlign w:val="center"/>
                </w:tcPr>
                <w:p w14:paraId="5EFF6B1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0"/>
                      <w:sz w:val="18"/>
                      <w:szCs w:val="18"/>
                      <w:lang w:eastAsia="zh-CN"/>
                    </w:rPr>
                  </w:pPr>
                  <w:r>
                    <w:rPr>
                      <w:rFonts w:hint="eastAsia" w:ascii="Times New Roman" w:hAnsi="Times New Roman" w:eastAsia="宋体" w:cs="Times New Roman"/>
                      <w:bCs/>
                      <w:color w:val="auto"/>
                      <w:kern w:val="0"/>
                      <w:sz w:val="18"/>
                      <w:szCs w:val="18"/>
                      <w:lang w:eastAsia="zh-CN"/>
                    </w:rPr>
                    <w:t>自来水</w:t>
                  </w:r>
                </w:p>
              </w:tc>
              <w:tc>
                <w:tcPr>
                  <w:tcW w:w="1685" w:type="dxa"/>
                  <w:tcBorders>
                    <w:tl2br w:val="nil"/>
                    <w:tr2bl w:val="nil"/>
                  </w:tcBorders>
                  <w:vAlign w:val="center"/>
                </w:tcPr>
                <w:p w14:paraId="6752988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cs="Times New Roman"/>
                      <w:bCs/>
                      <w:color w:val="auto"/>
                      <w:kern w:val="0"/>
                      <w:sz w:val="18"/>
                      <w:szCs w:val="18"/>
                      <w:lang w:val="en-US" w:eastAsia="zh-CN"/>
                    </w:rPr>
                    <w:t>30</w:t>
                  </w:r>
                </w:p>
              </w:tc>
              <w:tc>
                <w:tcPr>
                  <w:tcW w:w="678" w:type="pct"/>
                  <w:tcBorders>
                    <w:tl2br w:val="nil"/>
                    <w:tr2bl w:val="nil"/>
                  </w:tcBorders>
                  <w:vAlign w:val="center"/>
                </w:tcPr>
                <w:p w14:paraId="2F1A087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eastAsia="zh-CN"/>
                    </w:rPr>
                  </w:pPr>
                </w:p>
              </w:tc>
              <w:tc>
                <w:tcPr>
                  <w:tcW w:w="1210" w:type="pct"/>
                  <w:tcBorders>
                    <w:bottom w:val="single" w:color="000000" w:sz="6" w:space="0"/>
                    <w:tl2br w:val="nil"/>
                    <w:tr2bl w:val="nil"/>
                  </w:tcBorders>
                  <w:vAlign w:val="center"/>
                </w:tcPr>
                <w:p w14:paraId="2AAF13F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color w:val="auto"/>
                      <w:sz w:val="18"/>
                      <w:szCs w:val="18"/>
                      <w:lang w:val="en-US" w:eastAsia="zh-CN"/>
                    </w:rPr>
                  </w:pPr>
                </w:p>
              </w:tc>
              <w:tc>
                <w:tcPr>
                  <w:tcW w:w="958" w:type="pct"/>
                  <w:tcBorders>
                    <w:tl2br w:val="nil"/>
                    <w:tr2bl w:val="nil"/>
                  </w:tcBorders>
                  <w:vAlign w:val="center"/>
                </w:tcPr>
                <w:p w14:paraId="4868247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p>
              </w:tc>
            </w:tr>
            <w:tr w14:paraId="52F5D28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079" w:type="pct"/>
                  <w:tcBorders>
                    <w:tl2br w:val="nil"/>
                    <w:tr2bl w:val="nil"/>
                  </w:tcBorders>
                  <w:vAlign w:val="center"/>
                </w:tcPr>
                <w:p w14:paraId="24912EB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合计</w:t>
                  </w:r>
                </w:p>
              </w:tc>
              <w:tc>
                <w:tcPr>
                  <w:tcW w:w="1074" w:type="pct"/>
                  <w:tcBorders>
                    <w:tl2br w:val="nil"/>
                    <w:tr2bl w:val="nil"/>
                  </w:tcBorders>
                  <w:shd w:val="clear" w:color="auto" w:fill="auto"/>
                  <w:vAlign w:val="center"/>
                </w:tcPr>
                <w:p w14:paraId="219D70A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cs="Times New Roman"/>
                      <w:color w:val="auto"/>
                      <w:sz w:val="18"/>
                      <w:szCs w:val="18"/>
                      <w:lang w:val="en-US" w:eastAsia="zh-CN"/>
                    </w:rPr>
                    <w:t>80</w:t>
                  </w:r>
                </w:p>
              </w:tc>
              <w:tc>
                <w:tcPr>
                  <w:tcW w:w="1888" w:type="pct"/>
                  <w:gridSpan w:val="2"/>
                  <w:tcBorders>
                    <w:tl2br w:val="nil"/>
                    <w:tr2bl w:val="nil"/>
                  </w:tcBorders>
                  <w:vAlign w:val="center"/>
                </w:tcPr>
                <w:p w14:paraId="34E2B3F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color w:val="auto"/>
                      <w:sz w:val="18"/>
                      <w:szCs w:val="18"/>
                      <w:lang w:eastAsia="zh-CN"/>
                    </w:rPr>
                  </w:pPr>
                  <w:r>
                    <w:rPr>
                      <w:rFonts w:hint="eastAsia" w:cs="Times New Roman"/>
                      <w:color w:val="auto"/>
                      <w:sz w:val="18"/>
                      <w:szCs w:val="18"/>
                      <w:lang w:eastAsia="zh-CN"/>
                    </w:rPr>
                    <w:t>合计</w:t>
                  </w:r>
                </w:p>
              </w:tc>
              <w:tc>
                <w:tcPr>
                  <w:tcW w:w="958" w:type="pct"/>
                  <w:tcBorders>
                    <w:tl2br w:val="nil"/>
                    <w:tr2bl w:val="nil"/>
                  </w:tcBorders>
                  <w:vAlign w:val="center"/>
                </w:tcPr>
                <w:p w14:paraId="67ED37E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cs="Times New Roman"/>
                      <w:color w:val="auto"/>
                      <w:sz w:val="18"/>
                      <w:szCs w:val="18"/>
                      <w:lang w:val="en-US" w:eastAsia="zh-CN"/>
                    </w:rPr>
                    <w:t>80</w:t>
                  </w:r>
                </w:p>
              </w:tc>
            </w:tr>
          </w:tbl>
          <w:p w14:paraId="6DD477F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color w:val="auto"/>
                <w:lang w:val="en-US" w:eastAsia="zh-CN"/>
              </w:rPr>
            </w:pPr>
          </w:p>
        </w:tc>
      </w:tr>
      <w:tr w14:paraId="5CCA4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57" w:hRule="atLeast"/>
        </w:trPr>
        <w:tc>
          <w:tcPr>
            <w:tcW w:w="177" w:type="pct"/>
            <w:vAlign w:val="center"/>
          </w:tcPr>
          <w:p w14:paraId="0711ECD5">
            <w:pPr>
              <w:keepNext w:val="0"/>
              <w:keepLines w:val="0"/>
              <w:suppressLineNumbers w:val="0"/>
              <w:spacing w:before="156" w:beforeAutospacing="0" w:after="0" w:afterAutospacing="0"/>
              <w:ind w:left="0" w:right="0" w:firstLine="0" w:firstLineChars="0"/>
              <w:jc w:val="center"/>
              <w:rPr>
                <w:rFonts w:hint="default" w:ascii="Times New Roman" w:hAnsi="Times New Roman" w:eastAsia="宋体" w:cs="Times New Roman"/>
                <w:b/>
                <w:bCs/>
                <w:color w:val="auto"/>
              </w:rPr>
            </w:pPr>
            <w:r>
              <w:rPr>
                <w:rFonts w:hint="default" w:ascii="Times New Roman" w:hAnsi="Times New Roman" w:eastAsia="宋体" w:cs="Times New Roman"/>
                <w:b/>
                <w:bCs/>
                <w:color w:val="auto"/>
              </w:rPr>
              <w:t>工艺流程和产排污环节</w:t>
            </w:r>
          </w:p>
        </w:tc>
        <w:tc>
          <w:tcPr>
            <w:tcW w:w="4822" w:type="pct"/>
          </w:tcPr>
          <w:p w14:paraId="4B228801">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ind w:left="0" w:right="0" w:firstLine="480"/>
              <w:textAlignment w:val="auto"/>
              <w:rPr>
                <w:rFonts w:hint="default" w:ascii="Times New Roman" w:hAnsi="Times New Roman" w:eastAsia="宋体" w:cs="Times New Roman"/>
                <w:b/>
                <w:bCs/>
                <w:color w:val="auto"/>
                <w:lang w:val="en-US" w:eastAsia="zh-CN"/>
              </w:rPr>
            </w:pPr>
            <w:r>
              <w:rPr>
                <w:rFonts w:hint="default" w:ascii="Times New Roman" w:hAnsi="Times New Roman" w:eastAsia="宋体" w:cs="Times New Roman"/>
                <w:b/>
                <w:bCs/>
                <w:color w:val="auto"/>
                <w:lang w:val="en-US" w:eastAsia="zh-CN"/>
              </w:rPr>
              <w:t>工艺流程和产排污环节</w:t>
            </w:r>
          </w:p>
          <w:p w14:paraId="4B3D4F19">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ind w:left="0" w:right="0" w:firstLine="480"/>
              <w:textAlignment w:val="auto"/>
              <w:rPr>
                <w:rFonts w:hint="default" w:ascii="Times New Roman" w:hAnsi="Times New Roman" w:eastAsia="宋体" w:cs="Times New Roman"/>
                <w:b/>
                <w:bCs/>
                <w:color w:val="auto"/>
                <w:lang w:val="en-US" w:eastAsia="zh-CN"/>
              </w:rPr>
            </w:pPr>
            <w:r>
              <w:rPr>
                <w:rFonts w:hint="eastAsia" w:cs="Times New Roman"/>
                <w:b/>
                <w:bCs/>
                <w:color w:val="auto"/>
                <w:lang w:val="en-US" w:eastAsia="zh-CN"/>
              </w:rPr>
              <w:t>1、TL990型耐火密封填料（基料）生产工艺流程及产污环节</w:t>
            </w:r>
          </w:p>
          <w:p w14:paraId="0687531C">
            <w:pPr>
              <w:keepNext w:val="0"/>
              <w:keepLines w:val="0"/>
              <w:suppressLineNumbers w:val="0"/>
              <w:spacing w:before="0" w:beforeAutospacing="0" w:after="0" w:afterAutospacing="0"/>
              <w:ind w:left="0" w:leftChars="0" w:right="0" w:firstLine="0" w:firstLineChars="0"/>
              <w:jc w:val="center"/>
              <w:rPr>
                <w:rFonts w:hint="default" w:ascii="Times New Roman" w:hAnsi="Times New Roman" w:eastAsia="宋体" w:cs="Times New Roman"/>
                <w:color w:val="auto"/>
                <w:lang w:eastAsia="zh-CN"/>
              </w:rPr>
            </w:pPr>
            <w:r>
              <w:rPr>
                <w:rFonts w:hint="eastAsia" w:eastAsiaTheme="minorEastAsia"/>
                <w:color w:val="auto"/>
                <w:lang w:eastAsia="zh-CN"/>
              </w:rPr>
              <w:object>
                <v:shape id="_x0000_i1025" o:spt="75" type="#_x0000_t75" style="height:257.95pt;width:264.05pt;" o:ole="t" filled="f" o:preferrelative="t" stroked="f" coordsize="21600,21600">
                  <v:path/>
                  <v:fill on="f" focussize="0,0"/>
                  <v:stroke on="f"/>
                  <v:imagedata r:id="rId10" cropleft="4156f" croptop="16611f" cropright="47543f" cropbottom="19460f" o:title=""/>
                  <o:lock v:ext="edit" aspectratio="t"/>
                  <w10:wrap type="none"/>
                  <w10:anchorlock/>
                </v:shape>
                <o:OLEObject Type="Embed" ProgID="AutoCAD.Drawing.17" ShapeID="_x0000_i1025" DrawAspect="Content" ObjectID="_1468075725" r:id="rId9">
                  <o:LockedField>false</o:LockedField>
                </o:OLEObject>
              </w:object>
            </w:r>
          </w:p>
          <w:p w14:paraId="5829815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lang w:val="en-US" w:eastAsia="zh-CN"/>
              </w:rPr>
            </w:pPr>
            <w:r>
              <w:rPr>
                <w:rFonts w:hint="default" w:ascii="Times New Roman" w:hAnsi="Times New Roman" w:eastAsia="宋体" w:cs="Times New Roman"/>
                <w:b/>
                <w:bCs/>
                <w:color w:val="auto"/>
                <w:lang w:val="en-US" w:eastAsia="zh-CN"/>
              </w:rPr>
              <w:t xml:space="preserve">图2.2-1  </w:t>
            </w:r>
            <w:r>
              <w:rPr>
                <w:rFonts w:hint="eastAsia" w:cs="Times New Roman"/>
                <w:b/>
                <w:bCs/>
                <w:color w:val="auto"/>
                <w:lang w:val="en-US" w:eastAsia="zh-CN"/>
              </w:rPr>
              <w:t>TL990型耐火密封填料（基料）</w:t>
            </w:r>
            <w:r>
              <w:rPr>
                <w:rFonts w:hint="default" w:ascii="Times New Roman" w:hAnsi="Times New Roman" w:eastAsia="宋体" w:cs="Times New Roman"/>
                <w:b/>
                <w:bCs/>
                <w:color w:val="auto"/>
                <w:lang w:val="en-US" w:eastAsia="zh-CN"/>
              </w:rPr>
              <w:t>生产工艺及产污环节图</w:t>
            </w:r>
          </w:p>
          <w:p w14:paraId="62679BF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textAlignment w:val="auto"/>
              <w:rPr>
                <w:rFonts w:hint="default" w:ascii="Times New Roman" w:hAnsi="Times New Roman" w:cs="Times New Roman"/>
                <w:b/>
                <w:bCs/>
                <w:color w:val="auto"/>
                <w:lang w:val="en-US" w:eastAsia="zh-CN"/>
              </w:rPr>
            </w:pPr>
            <w:r>
              <w:rPr>
                <w:rFonts w:hint="default" w:ascii="Times New Roman" w:hAnsi="Times New Roman" w:cs="Times New Roman"/>
                <w:b/>
                <w:bCs/>
                <w:color w:val="auto"/>
                <w:lang w:val="en-US" w:eastAsia="zh-CN"/>
              </w:rPr>
              <w:t>工艺流程简述：</w:t>
            </w:r>
          </w:p>
          <w:p w14:paraId="5F8141E5">
            <w:pPr>
              <w:keepNext w:val="0"/>
              <w:keepLines w:val="0"/>
              <w:suppressLineNumbers w:val="0"/>
              <w:spacing w:before="0" w:beforeAutospacing="0" w:after="0" w:afterAutospacing="0"/>
              <w:ind w:left="0" w:right="0"/>
              <w:rPr>
                <w:rFonts w:hint="default" w:ascii="Times New Roman" w:hAnsi="Times New Roman" w:eastAsia="宋体" w:cs="Times New Roman"/>
                <w:b/>
                <w:bCs/>
                <w:color w:val="auto"/>
                <w:sz w:val="24"/>
                <w:lang w:val="en-US" w:eastAsia="zh-CN"/>
              </w:rPr>
            </w:pPr>
            <w:r>
              <w:rPr>
                <w:rFonts w:hint="default" w:ascii="Times New Roman" w:hAnsi="Times New Roman" w:eastAsia="宋体" w:cs="Times New Roman"/>
                <w:b/>
                <w:bCs/>
                <w:color w:val="auto"/>
                <w:sz w:val="24"/>
                <w:lang w:val="en-US" w:eastAsia="zh-CN"/>
              </w:rPr>
              <w:t>一、领料工艺</w:t>
            </w:r>
          </w:p>
          <w:p w14:paraId="45ADB639">
            <w:pPr>
              <w:keepNext w:val="0"/>
              <w:keepLines w:val="0"/>
              <w:suppressLineNumbers w:val="0"/>
              <w:spacing w:before="0" w:beforeAutospacing="0" w:after="0" w:afterAutospacing="0"/>
              <w:ind w:left="0" w:right="0"/>
              <w:rPr>
                <w:rFonts w:hint="default" w:ascii="Times New Roman" w:hAnsi="Times New Roman" w:eastAsia="宋体" w:cs="Times New Roman"/>
                <w:b w:val="0"/>
                <w:bCs w:val="0"/>
                <w:color w:val="auto"/>
                <w:sz w:val="24"/>
                <w:lang w:val="en-US" w:eastAsia="zh-CN"/>
              </w:rPr>
            </w:pPr>
            <w:r>
              <w:rPr>
                <w:rFonts w:hint="default" w:ascii="Times New Roman" w:hAnsi="Times New Roman" w:eastAsia="宋体" w:cs="Times New Roman"/>
                <w:b w:val="0"/>
                <w:bCs w:val="0"/>
                <w:color w:val="auto"/>
                <w:sz w:val="24"/>
                <w:lang w:val="en-US" w:eastAsia="zh-CN"/>
              </w:rPr>
              <w:t>1、领用公司质检部门检验合格的</w:t>
            </w:r>
            <w:r>
              <w:rPr>
                <w:rFonts w:hint="eastAsia" w:cs="Times New Roman"/>
                <w:b w:val="0"/>
                <w:bCs w:val="0"/>
                <w:color w:val="auto"/>
                <w:sz w:val="24"/>
                <w:lang w:val="en-US" w:eastAsia="zh-CN"/>
              </w:rPr>
              <w:t>石膏粉、碳酸钙、高岭土、氧化镁</w:t>
            </w:r>
            <w:r>
              <w:rPr>
                <w:rFonts w:hint="default" w:ascii="Times New Roman" w:hAnsi="Times New Roman" w:eastAsia="宋体" w:cs="Times New Roman"/>
                <w:b w:val="0"/>
                <w:bCs w:val="0"/>
                <w:color w:val="auto"/>
                <w:sz w:val="24"/>
                <w:lang w:val="en-US" w:eastAsia="zh-CN"/>
              </w:rPr>
              <w:t>原材料，车间不允许堆放任何外来原、辅材料；</w:t>
            </w:r>
          </w:p>
          <w:p w14:paraId="7AC31C51">
            <w:pPr>
              <w:keepNext w:val="0"/>
              <w:keepLines w:val="0"/>
              <w:suppressLineNumbers w:val="0"/>
              <w:spacing w:before="0" w:beforeAutospacing="0" w:after="0" w:afterAutospacing="0"/>
              <w:ind w:left="0" w:right="0"/>
              <w:rPr>
                <w:rFonts w:hint="default" w:ascii="Times New Roman" w:hAnsi="Times New Roman" w:eastAsia="宋体" w:cs="Times New Roman"/>
                <w:b w:val="0"/>
                <w:bCs w:val="0"/>
                <w:color w:val="auto"/>
                <w:sz w:val="24"/>
                <w:lang w:val="en-US" w:eastAsia="zh-CN"/>
              </w:rPr>
            </w:pPr>
            <w:r>
              <w:rPr>
                <w:rFonts w:hint="default" w:ascii="Times New Roman" w:hAnsi="Times New Roman" w:eastAsia="宋体" w:cs="Times New Roman"/>
                <w:b w:val="0"/>
                <w:bCs w:val="0"/>
                <w:color w:val="auto"/>
                <w:sz w:val="24"/>
                <w:lang w:val="en-US" w:eastAsia="zh-CN"/>
              </w:rPr>
              <w:t>2、积极配合配料工注意原料的质量反馈，发现原材料有受潮、结块、结团及杂质等现象时禁止使用，报相关部门处置；</w:t>
            </w:r>
          </w:p>
          <w:p w14:paraId="5DD43AA4">
            <w:pPr>
              <w:keepNext w:val="0"/>
              <w:keepLines w:val="0"/>
              <w:suppressLineNumbers w:val="0"/>
              <w:spacing w:before="0" w:beforeAutospacing="0" w:after="0" w:afterAutospacing="0"/>
              <w:ind w:left="0" w:right="0"/>
              <w:rPr>
                <w:rFonts w:hint="default" w:ascii="Times New Roman" w:hAnsi="Times New Roman" w:eastAsia="宋体" w:cs="Times New Roman"/>
                <w:b w:val="0"/>
                <w:bCs w:val="0"/>
                <w:color w:val="auto"/>
                <w:sz w:val="24"/>
                <w:lang w:val="en-US" w:eastAsia="zh-CN"/>
              </w:rPr>
            </w:pPr>
            <w:r>
              <w:rPr>
                <w:rFonts w:hint="default" w:ascii="Times New Roman" w:hAnsi="Times New Roman" w:eastAsia="宋体" w:cs="Times New Roman"/>
                <w:b w:val="0"/>
                <w:bCs w:val="0"/>
                <w:color w:val="auto"/>
                <w:sz w:val="24"/>
                <w:lang w:val="en-US" w:eastAsia="zh-CN"/>
              </w:rPr>
              <w:t>3、定量领料，领料工应当掌握配方的基本份数，尽量做到少积压；</w:t>
            </w:r>
          </w:p>
          <w:p w14:paraId="3FFCE784">
            <w:pPr>
              <w:keepNext w:val="0"/>
              <w:keepLines w:val="0"/>
              <w:suppressLineNumbers w:val="0"/>
              <w:spacing w:before="0" w:beforeAutospacing="0" w:after="0" w:afterAutospacing="0"/>
              <w:ind w:left="0" w:right="0"/>
              <w:rPr>
                <w:rFonts w:hint="default" w:ascii="Times New Roman" w:hAnsi="Times New Roman" w:eastAsia="宋体" w:cs="Times New Roman"/>
                <w:b w:val="0"/>
                <w:bCs w:val="0"/>
                <w:color w:val="auto"/>
                <w:sz w:val="24"/>
                <w:lang w:val="en-US" w:eastAsia="zh-CN"/>
              </w:rPr>
            </w:pPr>
            <w:r>
              <w:rPr>
                <w:rFonts w:hint="default" w:ascii="Times New Roman" w:hAnsi="Times New Roman" w:eastAsia="宋体" w:cs="Times New Roman"/>
                <w:b w:val="0"/>
                <w:bCs w:val="0"/>
                <w:color w:val="auto"/>
                <w:sz w:val="24"/>
                <w:lang w:val="en-US" w:eastAsia="zh-CN"/>
              </w:rPr>
              <w:t>4、领料时，应当领用同一批次的原材料，不同批次的同种原材料禁止混合使用；</w:t>
            </w:r>
          </w:p>
          <w:p w14:paraId="39C93AA7">
            <w:pPr>
              <w:keepNext w:val="0"/>
              <w:keepLines w:val="0"/>
              <w:suppressLineNumbers w:val="0"/>
              <w:spacing w:before="0" w:beforeAutospacing="0" w:after="0" w:afterAutospacing="0"/>
              <w:ind w:left="0" w:right="0"/>
              <w:rPr>
                <w:rFonts w:hint="default" w:ascii="Times New Roman" w:hAnsi="Times New Roman" w:eastAsia="宋体" w:cs="Times New Roman"/>
                <w:b w:val="0"/>
                <w:bCs w:val="0"/>
                <w:color w:val="auto"/>
                <w:sz w:val="24"/>
                <w:lang w:val="en-US" w:eastAsia="zh-CN"/>
              </w:rPr>
            </w:pPr>
            <w:r>
              <w:rPr>
                <w:rFonts w:hint="default" w:ascii="Times New Roman" w:hAnsi="Times New Roman" w:eastAsia="宋体" w:cs="Times New Roman"/>
                <w:b w:val="0"/>
                <w:bCs w:val="0"/>
                <w:color w:val="auto"/>
                <w:sz w:val="24"/>
                <w:lang w:val="en-US" w:eastAsia="zh-CN"/>
              </w:rPr>
              <w:t>5、所有领用的原材料都要分开堆放，标识清楚，堆放整齐。</w:t>
            </w:r>
          </w:p>
          <w:p w14:paraId="3EAECF7A">
            <w:pPr>
              <w:keepNext w:val="0"/>
              <w:keepLines w:val="0"/>
              <w:suppressLineNumbers w:val="0"/>
              <w:spacing w:before="0" w:beforeAutospacing="0" w:after="0" w:afterAutospacing="0"/>
              <w:ind w:left="0" w:right="0"/>
              <w:rPr>
                <w:rFonts w:hint="default" w:ascii="Times New Roman" w:hAnsi="Times New Roman" w:eastAsia="宋体" w:cs="Times New Roman"/>
                <w:b/>
                <w:bCs/>
                <w:color w:val="auto"/>
                <w:sz w:val="24"/>
                <w:lang w:val="en-US" w:eastAsia="zh-CN"/>
              </w:rPr>
            </w:pPr>
            <w:r>
              <w:rPr>
                <w:rFonts w:hint="default" w:ascii="Times New Roman" w:hAnsi="Times New Roman" w:eastAsia="宋体" w:cs="Times New Roman"/>
                <w:b/>
                <w:bCs/>
                <w:color w:val="auto"/>
                <w:sz w:val="24"/>
                <w:lang w:val="en-US" w:eastAsia="zh-CN"/>
              </w:rPr>
              <w:t>二、配料</w:t>
            </w:r>
            <w:r>
              <w:rPr>
                <w:rFonts w:hint="eastAsia" w:cs="Times New Roman"/>
                <w:b/>
                <w:bCs/>
                <w:color w:val="auto"/>
                <w:sz w:val="24"/>
                <w:lang w:val="en-US" w:eastAsia="zh-CN"/>
              </w:rPr>
              <w:t>、搅拌</w:t>
            </w:r>
            <w:r>
              <w:rPr>
                <w:rFonts w:hint="default" w:ascii="Times New Roman" w:hAnsi="Times New Roman" w:eastAsia="宋体" w:cs="Times New Roman"/>
                <w:b/>
                <w:bCs/>
                <w:color w:val="auto"/>
                <w:sz w:val="24"/>
                <w:lang w:val="en-US" w:eastAsia="zh-CN"/>
              </w:rPr>
              <w:t>工艺</w:t>
            </w:r>
          </w:p>
          <w:p w14:paraId="6205EEA6">
            <w:pPr>
              <w:keepNext w:val="0"/>
              <w:keepLines w:val="0"/>
              <w:suppressLineNumbers w:val="0"/>
              <w:spacing w:before="0" w:beforeAutospacing="0" w:after="0" w:afterAutospacing="0"/>
              <w:ind w:left="0" w:right="0"/>
              <w:rPr>
                <w:rFonts w:hint="default" w:ascii="Times New Roman" w:hAnsi="Times New Roman" w:eastAsia="宋体" w:cs="Times New Roman"/>
                <w:b w:val="0"/>
                <w:bCs w:val="0"/>
                <w:color w:val="auto"/>
                <w:sz w:val="24"/>
                <w:lang w:val="en-US" w:eastAsia="zh-CN"/>
              </w:rPr>
            </w:pPr>
            <w:r>
              <w:rPr>
                <w:rFonts w:hint="eastAsia" w:cs="Times New Roman"/>
                <w:b w:val="0"/>
                <w:bCs w:val="0"/>
                <w:color w:val="auto"/>
                <w:sz w:val="24"/>
                <w:lang w:val="en-US" w:eastAsia="zh-CN"/>
              </w:rPr>
              <w:t>检验</w:t>
            </w:r>
            <w:r>
              <w:rPr>
                <w:rFonts w:hint="default" w:ascii="Times New Roman" w:hAnsi="Times New Roman" w:eastAsia="宋体" w:cs="Times New Roman"/>
                <w:b w:val="0"/>
                <w:bCs w:val="0"/>
                <w:color w:val="auto"/>
                <w:sz w:val="24"/>
                <w:lang w:val="en-US" w:eastAsia="zh-CN"/>
              </w:rPr>
              <w:t>合格的</w:t>
            </w:r>
            <w:r>
              <w:rPr>
                <w:rFonts w:hint="eastAsia" w:cs="Times New Roman"/>
                <w:b w:val="0"/>
                <w:bCs w:val="0"/>
                <w:color w:val="auto"/>
                <w:sz w:val="24"/>
                <w:lang w:val="en-US" w:eastAsia="zh-CN"/>
              </w:rPr>
              <w:t>石膏粉、碳酸钙、高岭土、氧化镁，按照设定的配比进行配料，配料在专用配料桶进行，配料过程</w:t>
            </w:r>
            <w:r>
              <w:rPr>
                <w:rFonts w:hint="default" w:ascii="Times New Roman" w:hAnsi="Times New Roman" w:eastAsia="宋体" w:cs="Times New Roman"/>
                <w:b w:val="0"/>
                <w:bCs w:val="0"/>
                <w:color w:val="auto"/>
                <w:sz w:val="24"/>
                <w:lang w:val="en-US" w:eastAsia="zh-CN"/>
              </w:rPr>
              <w:t>认真核对计量器具，计量要准确。原材料的</w:t>
            </w:r>
            <w:r>
              <w:rPr>
                <w:rFonts w:hint="eastAsia" w:cs="Times New Roman"/>
                <w:b w:val="0"/>
                <w:bCs w:val="0"/>
                <w:color w:val="auto"/>
                <w:sz w:val="24"/>
                <w:lang w:val="en-US" w:eastAsia="zh-CN"/>
              </w:rPr>
              <w:t>配比</w:t>
            </w:r>
            <w:r>
              <w:rPr>
                <w:rFonts w:hint="default" w:ascii="Times New Roman" w:hAnsi="Times New Roman" w:eastAsia="宋体" w:cs="Times New Roman"/>
                <w:b w:val="0"/>
                <w:bCs w:val="0"/>
                <w:color w:val="auto"/>
                <w:sz w:val="24"/>
                <w:lang w:val="en-US" w:eastAsia="zh-CN"/>
              </w:rPr>
              <w:t>误差应≤10g</w:t>
            </w:r>
            <w:r>
              <w:rPr>
                <w:rFonts w:hint="eastAsia" w:cs="Times New Roman"/>
                <w:b w:val="0"/>
                <w:bCs w:val="0"/>
                <w:color w:val="auto"/>
                <w:sz w:val="24"/>
                <w:lang w:val="en-US" w:eastAsia="zh-CN"/>
              </w:rPr>
              <w:t>，</w:t>
            </w:r>
            <w:r>
              <w:rPr>
                <w:rFonts w:hint="default" w:ascii="Times New Roman" w:hAnsi="Times New Roman" w:eastAsia="宋体" w:cs="Times New Roman"/>
                <w:b w:val="0"/>
                <w:bCs w:val="0"/>
                <w:color w:val="auto"/>
                <w:sz w:val="24"/>
                <w:lang w:val="en-US" w:eastAsia="zh-CN"/>
              </w:rPr>
              <w:t>损耗不得超过当天配料量总和的0.5%</w:t>
            </w:r>
            <w:r>
              <w:rPr>
                <w:rFonts w:hint="eastAsia" w:cs="Times New Roman"/>
                <w:b w:val="0"/>
                <w:bCs w:val="0"/>
                <w:color w:val="auto"/>
                <w:sz w:val="24"/>
                <w:lang w:val="en-US" w:eastAsia="zh-CN"/>
              </w:rPr>
              <w:t>。</w:t>
            </w:r>
          </w:p>
          <w:p w14:paraId="432B79C1">
            <w:pPr>
              <w:keepNext w:val="0"/>
              <w:keepLines w:val="0"/>
              <w:suppressLineNumbers w:val="0"/>
              <w:spacing w:before="0" w:beforeAutospacing="0" w:after="0" w:afterAutospacing="0"/>
              <w:ind w:left="0" w:right="0"/>
              <w:rPr>
                <w:rFonts w:hint="default" w:ascii="Times New Roman" w:hAnsi="Times New Roman" w:eastAsia="宋体" w:cs="Times New Roman"/>
                <w:b w:val="0"/>
                <w:bCs w:val="0"/>
                <w:color w:val="auto"/>
                <w:sz w:val="24"/>
                <w:lang w:val="en-US" w:eastAsia="zh-CN"/>
              </w:rPr>
            </w:pPr>
            <w:r>
              <w:rPr>
                <w:rFonts w:hint="default" w:ascii="Times New Roman" w:hAnsi="Times New Roman" w:eastAsia="宋体" w:cs="Times New Roman"/>
                <w:b w:val="0"/>
                <w:bCs w:val="0"/>
                <w:color w:val="auto"/>
                <w:sz w:val="24"/>
                <w:lang w:val="en-US" w:eastAsia="zh-CN"/>
              </w:rPr>
              <w:t>1、将配好的原料倒入搅拌机，注意应当缓慢从搅拌机上部倒入，以免造成原料溅出机外；</w:t>
            </w:r>
          </w:p>
          <w:p w14:paraId="4AE6504E">
            <w:pPr>
              <w:keepNext w:val="0"/>
              <w:keepLines w:val="0"/>
              <w:suppressLineNumbers w:val="0"/>
              <w:spacing w:before="0" w:beforeAutospacing="0" w:after="0" w:afterAutospacing="0"/>
              <w:ind w:left="0" w:right="0"/>
              <w:rPr>
                <w:rFonts w:hint="default" w:ascii="Times New Roman" w:hAnsi="Times New Roman" w:eastAsia="宋体" w:cs="Times New Roman"/>
                <w:b w:val="0"/>
                <w:bCs w:val="0"/>
                <w:color w:val="auto"/>
                <w:sz w:val="24"/>
                <w:lang w:val="en-US" w:eastAsia="zh-CN"/>
              </w:rPr>
            </w:pPr>
            <w:r>
              <w:rPr>
                <w:rFonts w:hint="default" w:ascii="Times New Roman" w:hAnsi="Times New Roman" w:eastAsia="宋体" w:cs="Times New Roman"/>
                <w:b w:val="0"/>
                <w:bCs w:val="0"/>
                <w:color w:val="auto"/>
                <w:sz w:val="24"/>
                <w:lang w:val="en-US" w:eastAsia="zh-CN"/>
              </w:rPr>
              <w:t>2、原料倒入搅拌机后加盖</w:t>
            </w:r>
            <w:r>
              <w:rPr>
                <w:rFonts w:hint="eastAsia" w:cs="Times New Roman"/>
                <w:b w:val="0"/>
                <w:bCs w:val="0"/>
                <w:color w:val="auto"/>
                <w:sz w:val="24"/>
                <w:lang w:val="en-US" w:eastAsia="zh-CN"/>
              </w:rPr>
              <w:t>封口</w:t>
            </w:r>
            <w:r>
              <w:rPr>
                <w:rFonts w:hint="default" w:ascii="Times New Roman" w:hAnsi="Times New Roman" w:eastAsia="宋体" w:cs="Times New Roman"/>
                <w:b w:val="0"/>
                <w:bCs w:val="0"/>
                <w:color w:val="auto"/>
                <w:sz w:val="24"/>
                <w:lang w:val="en-US" w:eastAsia="zh-CN"/>
              </w:rPr>
              <w:t>，以免搅拌时原料、粉尘飞出；</w:t>
            </w:r>
          </w:p>
          <w:p w14:paraId="29A772A1">
            <w:pPr>
              <w:keepNext w:val="0"/>
              <w:keepLines w:val="0"/>
              <w:suppressLineNumbers w:val="0"/>
              <w:spacing w:before="0" w:beforeAutospacing="0" w:after="0" w:afterAutospacing="0"/>
              <w:ind w:left="0" w:right="0"/>
              <w:rPr>
                <w:rFonts w:hint="default" w:ascii="Times New Roman" w:hAnsi="Times New Roman" w:eastAsia="宋体" w:cs="Times New Roman"/>
                <w:b w:val="0"/>
                <w:bCs w:val="0"/>
                <w:color w:val="auto"/>
                <w:sz w:val="24"/>
                <w:lang w:val="en-US" w:eastAsia="zh-CN"/>
              </w:rPr>
            </w:pPr>
            <w:r>
              <w:rPr>
                <w:rFonts w:hint="default" w:ascii="Times New Roman" w:hAnsi="Times New Roman" w:eastAsia="宋体" w:cs="Times New Roman"/>
                <w:b w:val="0"/>
                <w:bCs w:val="0"/>
                <w:color w:val="auto"/>
                <w:sz w:val="24"/>
                <w:lang w:val="en-US" w:eastAsia="zh-CN"/>
              </w:rPr>
              <w:t>3、先将搅拌机打至正转（顺时针转动），将转动时间调至10min，10min后搅拌机停止转动；</w:t>
            </w:r>
          </w:p>
          <w:p w14:paraId="18ED7914">
            <w:pPr>
              <w:keepNext w:val="0"/>
              <w:keepLines w:val="0"/>
              <w:suppressLineNumbers w:val="0"/>
              <w:spacing w:before="0" w:beforeAutospacing="0" w:after="0" w:afterAutospacing="0"/>
              <w:ind w:left="0" w:right="0"/>
              <w:rPr>
                <w:rFonts w:hint="default" w:ascii="Times New Roman" w:hAnsi="Times New Roman" w:eastAsia="宋体" w:cs="Times New Roman"/>
                <w:b w:val="0"/>
                <w:bCs w:val="0"/>
                <w:color w:val="auto"/>
                <w:sz w:val="24"/>
                <w:lang w:val="en-US" w:eastAsia="zh-CN"/>
              </w:rPr>
            </w:pPr>
            <w:r>
              <w:rPr>
                <w:rFonts w:hint="default" w:ascii="Times New Roman" w:hAnsi="Times New Roman" w:eastAsia="宋体" w:cs="Times New Roman"/>
                <w:b w:val="0"/>
                <w:bCs w:val="0"/>
                <w:color w:val="auto"/>
                <w:sz w:val="24"/>
                <w:lang w:val="en-US" w:eastAsia="zh-CN"/>
              </w:rPr>
              <w:t>4、再将搅拌机打至反转（逆时针转动），将转动时间调至10min，10min后搅拌机停止转动；</w:t>
            </w:r>
          </w:p>
          <w:p w14:paraId="4BF95E91">
            <w:pPr>
              <w:keepNext w:val="0"/>
              <w:keepLines w:val="0"/>
              <w:suppressLineNumbers w:val="0"/>
              <w:spacing w:before="0" w:beforeAutospacing="0" w:after="0" w:afterAutospacing="0"/>
              <w:ind w:left="0" w:right="0"/>
              <w:rPr>
                <w:rFonts w:hint="default" w:ascii="Times New Roman" w:hAnsi="Times New Roman" w:eastAsia="宋体" w:cs="Times New Roman"/>
                <w:b/>
                <w:bCs/>
                <w:color w:val="auto"/>
                <w:sz w:val="24"/>
                <w:lang w:val="en-US" w:eastAsia="zh-CN"/>
              </w:rPr>
            </w:pPr>
            <w:r>
              <w:rPr>
                <w:rFonts w:hint="default" w:ascii="Times New Roman" w:hAnsi="Times New Roman" w:eastAsia="宋体" w:cs="Times New Roman"/>
                <w:b w:val="0"/>
                <w:bCs w:val="0"/>
                <w:color w:val="auto"/>
                <w:sz w:val="24"/>
                <w:lang w:val="en-US" w:eastAsia="zh-CN"/>
              </w:rPr>
              <w:t>5、待搅拌停止后等待30s左右，然后打开搅拌机盖</w:t>
            </w:r>
            <w:r>
              <w:rPr>
                <w:rFonts w:hint="eastAsia" w:cs="Times New Roman"/>
                <w:b w:val="0"/>
                <w:bCs w:val="0"/>
                <w:color w:val="auto"/>
                <w:sz w:val="24"/>
                <w:lang w:val="en-US" w:eastAsia="zh-CN"/>
              </w:rPr>
              <w:t>待装桶</w:t>
            </w:r>
            <w:r>
              <w:rPr>
                <w:rFonts w:hint="default" w:ascii="Times New Roman" w:hAnsi="Times New Roman" w:eastAsia="宋体" w:cs="Times New Roman"/>
                <w:b w:val="0"/>
                <w:bCs w:val="0"/>
                <w:color w:val="auto"/>
                <w:sz w:val="24"/>
                <w:lang w:val="en-US" w:eastAsia="zh-CN"/>
              </w:rPr>
              <w:t>。</w:t>
            </w:r>
          </w:p>
          <w:p w14:paraId="59684EA5">
            <w:pPr>
              <w:keepNext w:val="0"/>
              <w:keepLines w:val="0"/>
              <w:suppressLineNumbers w:val="0"/>
              <w:spacing w:before="0" w:beforeAutospacing="0" w:after="0" w:afterAutospacing="0"/>
              <w:ind w:left="0" w:right="0"/>
              <w:rPr>
                <w:rFonts w:hint="eastAsia" w:cs="Times New Roman"/>
                <w:b/>
                <w:bCs/>
                <w:color w:val="auto"/>
                <w:sz w:val="24"/>
                <w:lang w:val="en-US" w:eastAsia="zh-CN"/>
              </w:rPr>
            </w:pPr>
            <w:r>
              <w:rPr>
                <w:rFonts w:hint="eastAsia" w:cs="Times New Roman"/>
                <w:b w:val="0"/>
                <w:bCs w:val="0"/>
                <w:color w:val="auto"/>
                <w:sz w:val="24"/>
                <w:lang w:val="en-US" w:eastAsia="zh-CN"/>
              </w:rPr>
              <w:t>配料、搅拌过程中产生颗粒物（G1）</w:t>
            </w:r>
          </w:p>
          <w:p w14:paraId="22D25801">
            <w:pPr>
              <w:keepNext w:val="0"/>
              <w:keepLines w:val="0"/>
              <w:suppressLineNumbers w:val="0"/>
              <w:spacing w:before="0" w:beforeAutospacing="0" w:after="0" w:afterAutospacing="0"/>
              <w:ind w:left="0" w:right="0"/>
              <w:rPr>
                <w:rFonts w:hint="default" w:ascii="Times New Roman" w:hAnsi="Times New Roman" w:eastAsia="宋体" w:cs="Times New Roman"/>
                <w:b/>
                <w:bCs/>
                <w:color w:val="auto"/>
                <w:sz w:val="24"/>
                <w:lang w:val="en-US" w:eastAsia="zh-CN"/>
              </w:rPr>
            </w:pPr>
            <w:r>
              <w:rPr>
                <w:rFonts w:hint="eastAsia" w:cs="Times New Roman"/>
                <w:b/>
                <w:bCs/>
                <w:color w:val="auto"/>
                <w:sz w:val="24"/>
                <w:lang w:val="en-US" w:eastAsia="zh-CN"/>
              </w:rPr>
              <w:t>四、称量、装桶</w:t>
            </w:r>
          </w:p>
          <w:p w14:paraId="1C573E3B">
            <w:pPr>
              <w:keepNext w:val="0"/>
              <w:keepLines w:val="0"/>
              <w:suppressLineNumbers w:val="0"/>
              <w:spacing w:before="0" w:beforeAutospacing="0" w:after="0" w:afterAutospacing="0"/>
              <w:ind w:left="0" w:right="0"/>
              <w:rPr>
                <w:rFonts w:hint="default" w:ascii="Times New Roman" w:hAnsi="Times New Roman" w:eastAsia="宋体" w:cs="Times New Roman"/>
                <w:b w:val="0"/>
                <w:bCs w:val="0"/>
                <w:color w:val="auto"/>
                <w:sz w:val="24"/>
                <w:lang w:val="en-US" w:eastAsia="zh-CN"/>
              </w:rPr>
            </w:pPr>
            <w:r>
              <w:rPr>
                <w:rFonts w:hint="eastAsia" w:cs="Times New Roman"/>
                <w:b w:val="0"/>
                <w:bCs w:val="0"/>
                <w:color w:val="auto"/>
                <w:sz w:val="24"/>
                <w:lang w:val="en-US" w:eastAsia="zh-CN"/>
              </w:rPr>
              <w:t>混料搅拌后的混合料经二次称量后装桶，项目通过密闭搅拌机自卸料至成品桶，卸料口通过捆扎卸料袋与桶口无缝连接，基本不产生无组织粉尘。</w:t>
            </w:r>
          </w:p>
          <w:p w14:paraId="65CE9798">
            <w:pPr>
              <w:keepNext w:val="0"/>
              <w:keepLines w:val="0"/>
              <w:suppressLineNumbers w:val="0"/>
              <w:spacing w:before="0" w:beforeAutospacing="0" w:after="0" w:afterAutospacing="0"/>
              <w:ind w:left="0" w:right="0"/>
              <w:rPr>
                <w:rFonts w:hint="default" w:ascii="Times New Roman" w:hAnsi="Times New Roman" w:eastAsia="宋体" w:cs="Times New Roman"/>
                <w:b/>
                <w:bCs/>
                <w:color w:val="auto"/>
                <w:sz w:val="24"/>
                <w:lang w:val="en-US" w:eastAsia="zh-CN"/>
              </w:rPr>
            </w:pPr>
            <w:r>
              <w:rPr>
                <w:rFonts w:hint="eastAsia" w:cs="Times New Roman"/>
                <w:b/>
                <w:bCs/>
                <w:color w:val="auto"/>
                <w:sz w:val="24"/>
                <w:lang w:val="en-US" w:eastAsia="zh-CN"/>
              </w:rPr>
              <w:t>五、检验</w:t>
            </w:r>
          </w:p>
          <w:p w14:paraId="588CA7F3">
            <w:pPr>
              <w:keepNext w:val="0"/>
              <w:keepLines w:val="0"/>
              <w:suppressLineNumbers w:val="0"/>
              <w:spacing w:before="0" w:beforeAutospacing="0" w:after="0" w:afterAutospacing="0"/>
              <w:ind w:left="0" w:right="0"/>
              <w:rPr>
                <w:rFonts w:hint="default" w:ascii="Times New Roman" w:hAnsi="Times New Roman" w:cs="Times New Roman"/>
                <w:b w:val="0"/>
                <w:bCs w:val="0"/>
                <w:color w:val="auto"/>
                <w:sz w:val="24"/>
                <w:lang w:val="en-US" w:eastAsia="zh-CN"/>
              </w:rPr>
            </w:pPr>
            <w:r>
              <w:rPr>
                <w:rFonts w:hint="eastAsia" w:ascii="Times New Roman" w:hAnsi="Times New Roman" w:cs="Times New Roman"/>
                <w:b w:val="0"/>
                <w:bCs w:val="0"/>
                <w:color w:val="auto"/>
                <w:sz w:val="24"/>
                <w:lang w:val="en-US" w:eastAsia="zh-CN"/>
              </w:rPr>
              <w:t>抽取部分桶装物料进行检验，不合格的直接返回搅拌机与其他物料再次混料搅拌，直至检验合格后重新包装入库。</w:t>
            </w:r>
          </w:p>
          <w:p w14:paraId="3DDC3FD9">
            <w:pPr>
              <w:keepNext w:val="0"/>
              <w:keepLines w:val="0"/>
              <w:suppressLineNumbers w:val="0"/>
              <w:spacing w:before="0" w:beforeAutospacing="0" w:after="0" w:afterAutospacing="0"/>
              <w:ind w:left="0" w:right="0"/>
              <w:rPr>
                <w:rFonts w:hint="default" w:ascii="Times New Roman" w:hAnsi="Times New Roman" w:eastAsia="宋体" w:cs="Times New Roman"/>
                <w:b/>
                <w:bCs/>
                <w:color w:val="auto"/>
                <w:sz w:val="24"/>
                <w:lang w:val="en-US" w:eastAsia="zh-CN"/>
              </w:rPr>
            </w:pPr>
            <w:r>
              <w:rPr>
                <w:rFonts w:hint="eastAsia" w:cs="Times New Roman"/>
                <w:b/>
                <w:bCs/>
                <w:color w:val="auto"/>
                <w:sz w:val="24"/>
                <w:lang w:val="en-US" w:eastAsia="zh-CN"/>
              </w:rPr>
              <w:t>六、成品入库</w:t>
            </w:r>
          </w:p>
          <w:p w14:paraId="01E28C04">
            <w:pPr>
              <w:keepNext w:val="0"/>
              <w:keepLines w:val="0"/>
              <w:suppressLineNumbers w:val="0"/>
              <w:spacing w:before="0" w:beforeAutospacing="0" w:after="0" w:afterAutospacing="0"/>
              <w:ind w:left="0" w:right="0"/>
              <w:rPr>
                <w:rFonts w:hint="default" w:ascii="Times New Roman" w:hAnsi="Times New Roman" w:eastAsia="宋体" w:cs="Times New Roman"/>
                <w:b/>
                <w:bCs/>
                <w:color w:val="auto"/>
                <w:sz w:val="24"/>
                <w:lang w:val="en-US" w:eastAsia="zh-CN"/>
              </w:rPr>
            </w:pPr>
            <w:r>
              <w:rPr>
                <w:rFonts w:hint="eastAsia" w:ascii="Times New Roman" w:hAnsi="Times New Roman" w:cs="Times New Roman"/>
                <w:b w:val="0"/>
                <w:bCs w:val="0"/>
                <w:color w:val="auto"/>
                <w:sz w:val="24"/>
                <w:lang w:val="en-US" w:eastAsia="zh-CN"/>
              </w:rPr>
              <w:t>检验合格的成品最终打包入库。</w:t>
            </w:r>
          </w:p>
          <w:p w14:paraId="0CA84926">
            <w:pPr>
              <w:keepNext w:val="0"/>
              <w:keepLines w:val="0"/>
              <w:suppressLineNumbers w:val="0"/>
              <w:spacing w:before="0" w:beforeAutospacing="0" w:after="0" w:afterAutospacing="0"/>
              <w:ind w:left="0" w:right="0"/>
              <w:rPr>
                <w:rFonts w:hint="default" w:ascii="Times New Roman" w:hAnsi="Times New Roman" w:eastAsia="宋体" w:cs="Times New Roman"/>
                <w:b/>
                <w:bCs/>
                <w:color w:val="auto"/>
                <w:sz w:val="24"/>
                <w:lang w:val="en-US" w:eastAsia="zh-CN"/>
              </w:rPr>
            </w:pPr>
            <w:r>
              <w:rPr>
                <w:rFonts w:hint="eastAsia" w:cs="Times New Roman"/>
                <w:b/>
                <w:bCs/>
                <w:color w:val="auto"/>
                <w:sz w:val="24"/>
                <w:lang w:val="en-US" w:eastAsia="zh-CN"/>
              </w:rPr>
              <w:t>2</w:t>
            </w:r>
            <w:r>
              <w:rPr>
                <w:rFonts w:hint="default" w:ascii="Times New Roman" w:hAnsi="Times New Roman" w:eastAsia="宋体" w:cs="Times New Roman"/>
                <w:b/>
                <w:bCs/>
                <w:color w:val="auto"/>
                <w:sz w:val="24"/>
                <w:lang w:val="en-US" w:eastAsia="zh-CN"/>
              </w:rPr>
              <w:t>、</w:t>
            </w:r>
            <w:r>
              <w:rPr>
                <w:rFonts w:hint="eastAsia" w:cs="Times New Roman"/>
                <w:b/>
                <w:bCs/>
                <w:color w:val="auto"/>
                <w:lang w:val="en-US" w:eastAsia="zh-CN"/>
              </w:rPr>
              <w:t>TL990型耐火密封填料（辅助液）及KP800型阻燃剂生产工艺流程及产污环节</w:t>
            </w:r>
          </w:p>
          <w:p w14:paraId="6AB7F02B">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4"/>
                <w:lang w:val="en-US" w:eastAsia="zh-CN"/>
              </w:rPr>
            </w:pPr>
            <w:r>
              <w:rPr>
                <w:rFonts w:hint="eastAsia" w:eastAsiaTheme="minorEastAsia"/>
                <w:color w:val="auto"/>
                <w:lang w:eastAsia="zh-CN"/>
              </w:rPr>
              <w:object>
                <v:shape id="_x0000_i1026" o:spt="75" type="#_x0000_t75" style="height:278.45pt;width:231.25pt;" o:ole="t" filled="f" o:preferrelative="t" stroked="f" coordsize="21600,21600">
                  <v:path/>
                  <v:fill on="f" focussize="0,0"/>
                  <v:stroke on="f"/>
                  <v:imagedata r:id="rId10" cropleft="26771f" croptop="13990f" cropright="27751f" cropbottom="19858f" o:title=""/>
                  <o:lock v:ext="edit" aspectratio="t"/>
                  <w10:wrap type="none"/>
                  <w10:anchorlock/>
                </v:shape>
                <o:OLEObject Type="Embed" ProgID="AutoCAD.Drawing.17" ShapeID="_x0000_i1026" DrawAspect="Content" ObjectID="_1468075726" r:id="rId11">
                  <o:LockedField>false</o:LockedField>
                </o:OLEObject>
              </w:object>
            </w:r>
          </w:p>
          <w:p w14:paraId="2F3DB065">
            <w:pPr>
              <w:keepNext w:val="0"/>
              <w:keepLines w:val="0"/>
              <w:suppressLineNumbers w:val="0"/>
              <w:spacing w:before="0" w:beforeAutospacing="0" w:after="0" w:afterAutospacing="0"/>
              <w:ind w:left="0" w:leftChars="0" w:right="0" w:firstLine="0" w:firstLineChars="0"/>
              <w:jc w:val="center"/>
              <w:rPr>
                <w:rFonts w:hint="default" w:ascii="Times New Roman" w:hAnsi="Times New Roman" w:eastAsia="宋体" w:cs="Times New Roman"/>
                <w:color w:val="auto"/>
                <w:sz w:val="24"/>
                <w:lang w:val="en-US" w:eastAsia="zh-CN"/>
              </w:rPr>
            </w:pPr>
            <w:r>
              <w:rPr>
                <w:rFonts w:hint="default" w:ascii="Times New Roman" w:hAnsi="Times New Roman" w:eastAsia="宋体" w:cs="Times New Roman"/>
                <w:b/>
                <w:bCs/>
                <w:color w:val="auto"/>
                <w:lang w:val="en-US" w:eastAsia="zh-CN"/>
              </w:rPr>
              <w:t>图2.2-</w:t>
            </w:r>
            <w:r>
              <w:rPr>
                <w:rFonts w:hint="eastAsia" w:ascii="Times New Roman" w:hAnsi="Times New Roman" w:cs="Times New Roman"/>
                <w:b/>
                <w:bCs/>
                <w:color w:val="auto"/>
                <w:lang w:val="en-US" w:eastAsia="zh-CN"/>
              </w:rPr>
              <w:t xml:space="preserve">2  </w:t>
            </w:r>
            <w:r>
              <w:rPr>
                <w:rFonts w:hint="eastAsia" w:cs="Times New Roman"/>
                <w:b/>
                <w:bCs/>
                <w:color w:val="auto"/>
                <w:lang w:val="en-US" w:eastAsia="zh-CN"/>
              </w:rPr>
              <w:t>TL990型辅助液及KP800型阻燃剂</w:t>
            </w:r>
            <w:r>
              <w:rPr>
                <w:rFonts w:hint="default" w:ascii="Times New Roman" w:hAnsi="Times New Roman" w:eastAsia="宋体" w:cs="Times New Roman"/>
                <w:b/>
                <w:bCs/>
                <w:color w:val="auto"/>
                <w:lang w:val="en-US" w:eastAsia="zh-CN"/>
              </w:rPr>
              <w:t>生产工艺及产污环节图</w:t>
            </w:r>
          </w:p>
          <w:p w14:paraId="39BB230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textAlignment w:val="auto"/>
              <w:rPr>
                <w:rFonts w:hint="default" w:ascii="Times New Roman" w:hAnsi="Times New Roman" w:cs="Times New Roman"/>
                <w:b/>
                <w:bCs/>
                <w:color w:val="auto"/>
                <w:lang w:val="en-US" w:eastAsia="zh-CN"/>
              </w:rPr>
            </w:pPr>
            <w:r>
              <w:rPr>
                <w:rFonts w:hint="default" w:ascii="Times New Roman" w:hAnsi="Times New Roman" w:cs="Times New Roman"/>
                <w:b/>
                <w:bCs/>
                <w:color w:val="auto"/>
                <w:lang w:val="en-US" w:eastAsia="zh-CN"/>
              </w:rPr>
              <w:t>工艺流程简述：</w:t>
            </w:r>
          </w:p>
          <w:p w14:paraId="304A6F0F">
            <w:pPr>
              <w:keepNext w:val="0"/>
              <w:keepLines w:val="0"/>
              <w:suppressLineNumbers w:val="0"/>
              <w:spacing w:before="0" w:beforeAutospacing="0" w:after="0" w:afterAutospacing="0"/>
              <w:ind w:left="0" w:right="0"/>
              <w:rPr>
                <w:rFonts w:hint="default" w:ascii="Times New Roman" w:hAnsi="Times New Roman" w:eastAsia="宋体" w:cs="Times New Roman"/>
                <w:color w:val="auto"/>
                <w:sz w:val="24"/>
                <w:lang w:val="en-US" w:eastAsia="zh-CN"/>
              </w:rPr>
            </w:pPr>
            <w:r>
              <w:rPr>
                <w:rFonts w:hint="eastAsia" w:cs="Times New Roman"/>
                <w:b/>
                <w:bCs/>
                <w:color w:val="auto"/>
                <w:sz w:val="24"/>
                <w:lang w:val="en-US" w:eastAsia="zh-CN"/>
              </w:rPr>
              <w:t>一、</w:t>
            </w:r>
            <w:r>
              <w:rPr>
                <w:rFonts w:hint="default" w:ascii="Times New Roman" w:hAnsi="Times New Roman" w:eastAsia="宋体" w:cs="Times New Roman"/>
                <w:b/>
                <w:bCs/>
                <w:color w:val="auto"/>
                <w:sz w:val="24"/>
                <w:lang w:val="en-US" w:eastAsia="zh-CN"/>
              </w:rPr>
              <w:t>领料工艺</w:t>
            </w:r>
            <w:r>
              <w:rPr>
                <w:rFonts w:hint="default" w:ascii="Times New Roman" w:hAnsi="Times New Roman" w:eastAsia="宋体" w:cs="Times New Roman"/>
                <w:color w:val="auto"/>
                <w:sz w:val="24"/>
                <w:lang w:val="en-US" w:eastAsia="zh-CN"/>
              </w:rPr>
              <w:t xml:space="preserve">  </w:t>
            </w:r>
          </w:p>
          <w:p w14:paraId="07EB019D">
            <w:pPr>
              <w:keepNext w:val="0"/>
              <w:keepLines w:val="0"/>
              <w:suppressLineNumbers w:val="0"/>
              <w:spacing w:before="0" w:beforeAutospacing="0" w:after="0" w:afterAutospacing="0"/>
              <w:ind w:left="0" w:right="0"/>
              <w:rPr>
                <w:rFonts w:hint="default" w:ascii="Times New Roman" w:hAnsi="Times New Roman" w:eastAsia="宋体" w:cs="Times New Roman"/>
                <w:color w:val="auto"/>
                <w:sz w:val="24"/>
                <w:lang w:val="en-US" w:eastAsia="zh-CN"/>
              </w:rPr>
            </w:pPr>
            <w:r>
              <w:rPr>
                <w:rFonts w:hint="default" w:ascii="Times New Roman" w:hAnsi="Times New Roman" w:eastAsia="宋体" w:cs="Times New Roman"/>
                <w:color w:val="auto"/>
                <w:sz w:val="24"/>
                <w:lang w:val="en-US" w:eastAsia="zh-CN"/>
              </w:rPr>
              <w:t>1、领用公司质检部门检验合格的原材料</w:t>
            </w:r>
            <w:r>
              <w:rPr>
                <w:rFonts w:hint="eastAsia" w:cs="Times New Roman"/>
                <w:color w:val="auto"/>
                <w:sz w:val="24"/>
                <w:lang w:val="en-US" w:eastAsia="zh-CN"/>
              </w:rPr>
              <w:t>氯化镁</w:t>
            </w:r>
            <w:r>
              <w:rPr>
                <w:rFonts w:hint="default" w:ascii="Times New Roman" w:hAnsi="Times New Roman" w:eastAsia="宋体" w:cs="Times New Roman"/>
                <w:color w:val="auto"/>
                <w:sz w:val="24"/>
                <w:lang w:val="en-US" w:eastAsia="zh-CN"/>
              </w:rPr>
              <w:t>，车间不允许堆放任何外来原、辅材料；</w:t>
            </w:r>
          </w:p>
          <w:p w14:paraId="74C8EC0A">
            <w:pPr>
              <w:keepNext w:val="0"/>
              <w:keepLines w:val="0"/>
              <w:suppressLineNumbers w:val="0"/>
              <w:spacing w:before="0" w:beforeAutospacing="0" w:after="0" w:afterAutospacing="0"/>
              <w:ind w:left="0" w:right="0"/>
              <w:rPr>
                <w:rFonts w:hint="default" w:ascii="Times New Roman" w:hAnsi="Times New Roman" w:eastAsia="宋体" w:cs="Times New Roman"/>
                <w:color w:val="auto"/>
                <w:sz w:val="24"/>
                <w:lang w:val="en-US" w:eastAsia="zh-CN"/>
              </w:rPr>
            </w:pPr>
            <w:r>
              <w:rPr>
                <w:rFonts w:hint="default" w:ascii="Times New Roman" w:hAnsi="Times New Roman" w:eastAsia="宋体" w:cs="Times New Roman"/>
                <w:color w:val="auto"/>
                <w:sz w:val="24"/>
                <w:lang w:val="en-US" w:eastAsia="zh-CN"/>
              </w:rPr>
              <w:t>2、积极配合配料工注意原料的质量反馈，发现原材料有受潮、结块、结团及杂质等现象时禁止使用，报相关部门处置；</w:t>
            </w:r>
          </w:p>
          <w:p w14:paraId="4AFA5F74">
            <w:pPr>
              <w:keepNext w:val="0"/>
              <w:keepLines w:val="0"/>
              <w:suppressLineNumbers w:val="0"/>
              <w:spacing w:before="0" w:beforeAutospacing="0" w:after="0" w:afterAutospacing="0"/>
              <w:ind w:left="0" w:right="0"/>
              <w:rPr>
                <w:rFonts w:hint="default" w:ascii="Times New Roman" w:hAnsi="Times New Roman" w:eastAsia="宋体" w:cs="Times New Roman"/>
                <w:color w:val="auto"/>
                <w:sz w:val="24"/>
                <w:lang w:val="en-US" w:eastAsia="zh-CN"/>
              </w:rPr>
            </w:pPr>
            <w:r>
              <w:rPr>
                <w:rFonts w:hint="default" w:ascii="Times New Roman" w:hAnsi="Times New Roman" w:eastAsia="宋体" w:cs="Times New Roman"/>
                <w:color w:val="auto"/>
                <w:sz w:val="24"/>
                <w:lang w:val="en-US" w:eastAsia="zh-CN"/>
              </w:rPr>
              <w:t>3、定量领料，领料工应当掌握配方的基本份数，尽量做到少积压；</w:t>
            </w:r>
          </w:p>
          <w:p w14:paraId="7FEE4D5B">
            <w:pPr>
              <w:keepNext w:val="0"/>
              <w:keepLines w:val="0"/>
              <w:suppressLineNumbers w:val="0"/>
              <w:spacing w:before="0" w:beforeAutospacing="0" w:after="0" w:afterAutospacing="0"/>
              <w:ind w:left="0" w:right="0"/>
              <w:rPr>
                <w:rFonts w:hint="default" w:ascii="Times New Roman" w:hAnsi="Times New Roman" w:eastAsia="宋体" w:cs="Times New Roman"/>
                <w:color w:val="auto"/>
                <w:sz w:val="24"/>
                <w:lang w:val="en-US" w:eastAsia="zh-CN"/>
              </w:rPr>
            </w:pPr>
            <w:r>
              <w:rPr>
                <w:rFonts w:hint="default" w:ascii="Times New Roman" w:hAnsi="Times New Roman" w:eastAsia="宋体" w:cs="Times New Roman"/>
                <w:color w:val="auto"/>
                <w:sz w:val="24"/>
                <w:lang w:val="en-US" w:eastAsia="zh-CN"/>
              </w:rPr>
              <w:t>4、领料工在领料时要检查原材料的单包重量，发现缺斤少两及时反馈给有关部门；</w:t>
            </w:r>
          </w:p>
          <w:p w14:paraId="37A9DCBB">
            <w:pPr>
              <w:keepNext w:val="0"/>
              <w:keepLines w:val="0"/>
              <w:suppressLineNumbers w:val="0"/>
              <w:spacing w:before="0" w:beforeAutospacing="0" w:after="0" w:afterAutospacing="0"/>
              <w:ind w:left="0" w:right="0"/>
              <w:rPr>
                <w:rFonts w:hint="default" w:ascii="Times New Roman" w:hAnsi="Times New Roman" w:eastAsia="宋体" w:cs="Times New Roman"/>
                <w:color w:val="auto"/>
                <w:sz w:val="24"/>
                <w:lang w:val="en-US" w:eastAsia="zh-CN"/>
              </w:rPr>
            </w:pPr>
            <w:r>
              <w:rPr>
                <w:rFonts w:hint="default" w:ascii="Times New Roman" w:hAnsi="Times New Roman" w:eastAsia="宋体" w:cs="Times New Roman"/>
                <w:color w:val="auto"/>
                <w:sz w:val="24"/>
                <w:lang w:val="en-US" w:eastAsia="zh-CN"/>
              </w:rPr>
              <w:t>5、领料时，应当领用同一批次的原材料，不同批次的同种原材料禁止混合使用；</w:t>
            </w:r>
          </w:p>
          <w:p w14:paraId="2150FADD">
            <w:pPr>
              <w:keepNext w:val="0"/>
              <w:keepLines w:val="0"/>
              <w:suppressLineNumbers w:val="0"/>
              <w:spacing w:before="0" w:beforeAutospacing="0" w:after="0" w:afterAutospacing="0"/>
              <w:ind w:left="0" w:right="0"/>
              <w:rPr>
                <w:rFonts w:hint="default" w:ascii="Times New Roman" w:hAnsi="Times New Roman" w:eastAsia="宋体" w:cs="Times New Roman"/>
                <w:color w:val="auto"/>
                <w:sz w:val="24"/>
                <w:lang w:val="en-US" w:eastAsia="zh-CN"/>
              </w:rPr>
            </w:pPr>
            <w:r>
              <w:rPr>
                <w:rFonts w:hint="default" w:ascii="Times New Roman" w:hAnsi="Times New Roman" w:eastAsia="宋体" w:cs="Times New Roman"/>
                <w:color w:val="auto"/>
                <w:sz w:val="24"/>
                <w:lang w:val="en-US" w:eastAsia="zh-CN"/>
              </w:rPr>
              <w:t>6、所有领用的原材料都要分开堆放，标识清楚，堆放整齐。</w:t>
            </w:r>
          </w:p>
          <w:p w14:paraId="2EB41181">
            <w:pPr>
              <w:keepNext w:val="0"/>
              <w:keepLines w:val="0"/>
              <w:suppressLineNumbers w:val="0"/>
              <w:spacing w:before="0" w:beforeAutospacing="0" w:after="0" w:afterAutospacing="0"/>
              <w:ind w:left="0" w:right="0"/>
              <w:rPr>
                <w:rFonts w:hint="default" w:ascii="Times New Roman" w:hAnsi="Times New Roman" w:eastAsia="宋体" w:cs="Times New Roman"/>
                <w:color w:val="auto"/>
                <w:sz w:val="24"/>
                <w:lang w:val="en-US" w:eastAsia="zh-CN"/>
              </w:rPr>
            </w:pPr>
            <w:r>
              <w:rPr>
                <w:rFonts w:hint="eastAsia" w:cs="Times New Roman"/>
                <w:b/>
                <w:bCs/>
                <w:color w:val="auto"/>
                <w:sz w:val="24"/>
                <w:lang w:val="en-US" w:eastAsia="zh-CN"/>
              </w:rPr>
              <w:t>二、</w:t>
            </w:r>
            <w:r>
              <w:rPr>
                <w:rFonts w:hint="default" w:ascii="Times New Roman" w:hAnsi="Times New Roman" w:eastAsia="宋体" w:cs="Times New Roman"/>
                <w:b/>
                <w:bCs/>
                <w:color w:val="auto"/>
                <w:sz w:val="24"/>
                <w:lang w:val="en-US" w:eastAsia="zh-CN"/>
              </w:rPr>
              <w:t>配料工艺</w:t>
            </w:r>
            <w:r>
              <w:rPr>
                <w:rFonts w:hint="default" w:ascii="Times New Roman" w:hAnsi="Times New Roman" w:eastAsia="宋体" w:cs="Times New Roman"/>
                <w:color w:val="auto"/>
                <w:sz w:val="24"/>
                <w:lang w:val="en-US" w:eastAsia="zh-CN"/>
              </w:rPr>
              <w:t xml:space="preserve">  </w:t>
            </w:r>
          </w:p>
          <w:p w14:paraId="7C85AB90">
            <w:pPr>
              <w:keepNext w:val="0"/>
              <w:keepLines w:val="0"/>
              <w:suppressLineNumbers w:val="0"/>
              <w:spacing w:before="0" w:beforeAutospacing="0" w:after="0" w:afterAutospacing="0"/>
              <w:ind w:left="0" w:right="0"/>
              <w:rPr>
                <w:rFonts w:hint="default" w:ascii="Times New Roman" w:hAnsi="Times New Roman" w:eastAsia="宋体" w:cs="Times New Roman"/>
                <w:color w:val="auto"/>
                <w:sz w:val="24"/>
                <w:lang w:val="en-US" w:eastAsia="zh-CN"/>
              </w:rPr>
            </w:pPr>
            <w:r>
              <w:rPr>
                <w:rFonts w:hint="eastAsia" w:cs="Times New Roman"/>
                <w:b w:val="0"/>
                <w:bCs w:val="0"/>
                <w:color w:val="auto"/>
                <w:sz w:val="24"/>
                <w:lang w:val="en-US" w:eastAsia="zh-CN"/>
              </w:rPr>
              <w:t>检验</w:t>
            </w:r>
            <w:r>
              <w:rPr>
                <w:rFonts w:hint="default" w:ascii="Times New Roman" w:hAnsi="Times New Roman" w:eastAsia="宋体" w:cs="Times New Roman"/>
                <w:b w:val="0"/>
                <w:bCs w:val="0"/>
                <w:color w:val="auto"/>
                <w:sz w:val="24"/>
                <w:lang w:val="en-US" w:eastAsia="zh-CN"/>
              </w:rPr>
              <w:t>合格的</w:t>
            </w:r>
            <w:r>
              <w:rPr>
                <w:rFonts w:hint="eastAsia" w:cs="Times New Roman"/>
                <w:b w:val="0"/>
                <w:bCs w:val="0"/>
                <w:color w:val="auto"/>
                <w:sz w:val="24"/>
                <w:lang w:val="en-US" w:eastAsia="zh-CN"/>
              </w:rPr>
              <w:t>氯化镁与自来水，按照设定的配比进行配料，配料过程</w:t>
            </w:r>
            <w:r>
              <w:rPr>
                <w:rFonts w:hint="default" w:ascii="Times New Roman" w:hAnsi="Times New Roman" w:eastAsia="宋体" w:cs="Times New Roman"/>
                <w:b w:val="0"/>
                <w:bCs w:val="0"/>
                <w:color w:val="auto"/>
                <w:sz w:val="24"/>
                <w:lang w:val="en-US" w:eastAsia="zh-CN"/>
              </w:rPr>
              <w:t>认真核对计量器具，计量要准确。原材料的</w:t>
            </w:r>
            <w:r>
              <w:rPr>
                <w:rFonts w:hint="eastAsia" w:cs="Times New Roman"/>
                <w:b w:val="0"/>
                <w:bCs w:val="0"/>
                <w:color w:val="auto"/>
                <w:sz w:val="24"/>
                <w:lang w:val="en-US" w:eastAsia="zh-CN"/>
              </w:rPr>
              <w:t>配比</w:t>
            </w:r>
            <w:r>
              <w:rPr>
                <w:rFonts w:hint="default" w:ascii="Times New Roman" w:hAnsi="Times New Roman" w:eastAsia="宋体" w:cs="Times New Roman"/>
                <w:b w:val="0"/>
                <w:bCs w:val="0"/>
                <w:color w:val="auto"/>
                <w:sz w:val="24"/>
                <w:lang w:val="en-US" w:eastAsia="zh-CN"/>
              </w:rPr>
              <w:t>误差应≤10g</w:t>
            </w:r>
            <w:r>
              <w:rPr>
                <w:rFonts w:hint="eastAsia" w:cs="Times New Roman"/>
                <w:b w:val="0"/>
                <w:bCs w:val="0"/>
                <w:color w:val="auto"/>
                <w:sz w:val="24"/>
                <w:lang w:val="en-US" w:eastAsia="zh-CN"/>
              </w:rPr>
              <w:t>，</w:t>
            </w:r>
            <w:r>
              <w:rPr>
                <w:rFonts w:hint="default" w:ascii="Times New Roman" w:hAnsi="Times New Roman" w:eastAsia="宋体" w:cs="Times New Roman"/>
                <w:b w:val="0"/>
                <w:bCs w:val="0"/>
                <w:color w:val="auto"/>
                <w:sz w:val="24"/>
                <w:lang w:val="en-US" w:eastAsia="zh-CN"/>
              </w:rPr>
              <w:t>损耗不得超过当天配料量总和的0.5%</w:t>
            </w:r>
            <w:r>
              <w:rPr>
                <w:rFonts w:hint="default" w:ascii="Times New Roman" w:hAnsi="Times New Roman" w:eastAsia="宋体" w:cs="Times New Roman"/>
                <w:color w:val="auto"/>
                <w:sz w:val="24"/>
                <w:lang w:val="en-US" w:eastAsia="zh-CN"/>
              </w:rPr>
              <w:t>。</w:t>
            </w:r>
          </w:p>
          <w:p w14:paraId="03D20BD5">
            <w:pPr>
              <w:keepNext w:val="0"/>
              <w:keepLines w:val="0"/>
              <w:suppressLineNumbers w:val="0"/>
              <w:spacing w:before="0" w:beforeAutospacing="0" w:after="0" w:afterAutospacing="0"/>
              <w:ind w:left="0" w:right="0"/>
              <w:rPr>
                <w:rFonts w:hint="default" w:ascii="Times New Roman" w:hAnsi="Times New Roman" w:eastAsia="宋体" w:cs="Times New Roman"/>
                <w:b/>
                <w:bCs/>
                <w:color w:val="auto"/>
                <w:sz w:val="24"/>
                <w:lang w:val="en-US" w:eastAsia="zh-CN"/>
              </w:rPr>
            </w:pPr>
            <w:r>
              <w:rPr>
                <w:rFonts w:hint="eastAsia" w:cs="Times New Roman"/>
                <w:b/>
                <w:bCs/>
                <w:color w:val="auto"/>
                <w:sz w:val="24"/>
                <w:lang w:val="en-US" w:eastAsia="zh-CN"/>
              </w:rPr>
              <w:t>三．</w:t>
            </w:r>
            <w:r>
              <w:rPr>
                <w:rFonts w:hint="default" w:ascii="Times New Roman" w:hAnsi="Times New Roman" w:eastAsia="宋体" w:cs="Times New Roman"/>
                <w:b/>
                <w:bCs/>
                <w:color w:val="auto"/>
                <w:sz w:val="24"/>
                <w:lang w:val="en-US" w:eastAsia="zh-CN"/>
              </w:rPr>
              <w:t>加料、</w:t>
            </w:r>
            <w:r>
              <w:rPr>
                <w:rFonts w:hint="eastAsia" w:cs="Times New Roman"/>
                <w:b/>
                <w:bCs/>
                <w:color w:val="auto"/>
                <w:sz w:val="24"/>
                <w:lang w:val="en-US" w:eastAsia="zh-CN"/>
              </w:rPr>
              <w:t>沉淀</w:t>
            </w:r>
            <w:r>
              <w:rPr>
                <w:rFonts w:hint="default" w:ascii="Times New Roman" w:hAnsi="Times New Roman" w:eastAsia="宋体" w:cs="Times New Roman"/>
                <w:b/>
                <w:bCs/>
                <w:color w:val="auto"/>
                <w:sz w:val="24"/>
                <w:lang w:val="en-US" w:eastAsia="zh-CN"/>
              </w:rPr>
              <w:t>工艺</w:t>
            </w:r>
          </w:p>
          <w:p w14:paraId="498CD6B1">
            <w:pPr>
              <w:keepNext w:val="0"/>
              <w:keepLines w:val="0"/>
              <w:suppressLineNumbers w:val="0"/>
              <w:spacing w:before="0" w:beforeAutospacing="0" w:after="0" w:afterAutospacing="0"/>
              <w:ind w:left="0" w:right="0"/>
              <w:rPr>
                <w:rFonts w:hint="default" w:ascii="Times New Roman" w:hAnsi="Times New Roman" w:eastAsia="宋体" w:cs="Times New Roman"/>
                <w:color w:val="auto"/>
                <w:sz w:val="24"/>
                <w:lang w:val="en-US" w:eastAsia="zh-CN"/>
              </w:rPr>
            </w:pPr>
            <w:r>
              <w:rPr>
                <w:rFonts w:hint="default" w:ascii="Times New Roman" w:hAnsi="Times New Roman" w:eastAsia="宋体" w:cs="Times New Roman"/>
                <w:color w:val="auto"/>
                <w:sz w:val="24"/>
                <w:lang w:val="en-US" w:eastAsia="zh-CN"/>
              </w:rPr>
              <w:t>1、将配好的原料倒入搅拌桶，注意应当缓慢从搅拌机上部倒入，以免造成原料溅出机外；</w:t>
            </w:r>
          </w:p>
          <w:p w14:paraId="61038DFC">
            <w:pPr>
              <w:keepNext w:val="0"/>
              <w:keepLines w:val="0"/>
              <w:suppressLineNumbers w:val="0"/>
              <w:spacing w:before="0" w:beforeAutospacing="0" w:after="0" w:afterAutospacing="0"/>
              <w:ind w:left="0" w:right="0"/>
              <w:rPr>
                <w:rFonts w:hint="default" w:ascii="Times New Roman" w:hAnsi="Times New Roman" w:eastAsia="宋体" w:cs="Times New Roman"/>
                <w:color w:val="auto"/>
                <w:sz w:val="24"/>
                <w:lang w:val="en-US" w:eastAsia="zh-CN"/>
              </w:rPr>
            </w:pPr>
            <w:r>
              <w:rPr>
                <w:rFonts w:hint="default" w:ascii="Times New Roman" w:hAnsi="Times New Roman" w:eastAsia="宋体" w:cs="Times New Roman"/>
                <w:color w:val="auto"/>
                <w:sz w:val="24"/>
                <w:lang w:val="en-US" w:eastAsia="zh-CN"/>
              </w:rPr>
              <w:t>2、原料倒入搅拌桶后用机械搅拌器进行搅拌，顺时针搅拌与逆时针搅拌混合进行，使原料充分溶解；</w:t>
            </w:r>
          </w:p>
          <w:p w14:paraId="38AE91DC">
            <w:pPr>
              <w:keepNext w:val="0"/>
              <w:keepLines w:val="0"/>
              <w:suppressLineNumbers w:val="0"/>
              <w:spacing w:before="0" w:beforeAutospacing="0" w:after="0" w:afterAutospacing="0"/>
              <w:ind w:left="0" w:right="0"/>
              <w:rPr>
                <w:rFonts w:hint="default" w:ascii="Times New Roman" w:hAnsi="Times New Roman" w:eastAsia="宋体" w:cs="Times New Roman"/>
                <w:color w:val="auto"/>
                <w:sz w:val="24"/>
                <w:lang w:val="en-US" w:eastAsia="zh-CN"/>
              </w:rPr>
            </w:pPr>
            <w:r>
              <w:rPr>
                <w:rFonts w:hint="default" w:ascii="Times New Roman" w:hAnsi="Times New Roman" w:eastAsia="宋体" w:cs="Times New Roman"/>
                <w:color w:val="auto"/>
                <w:sz w:val="24"/>
                <w:lang w:val="en-US" w:eastAsia="zh-CN"/>
              </w:rPr>
              <w:t>3、观察搅拌桶底部有无未溶解的原料，如果有应当再进行搅拌，直到无沉淀为止；</w:t>
            </w:r>
          </w:p>
          <w:p w14:paraId="35183E34">
            <w:pPr>
              <w:keepNext w:val="0"/>
              <w:keepLines w:val="0"/>
              <w:suppressLineNumbers w:val="0"/>
              <w:spacing w:before="0" w:beforeAutospacing="0" w:after="0" w:afterAutospacing="0"/>
              <w:ind w:left="0" w:right="0"/>
              <w:rPr>
                <w:rFonts w:hint="default" w:ascii="Times New Roman" w:hAnsi="Times New Roman" w:eastAsia="宋体" w:cs="Times New Roman"/>
                <w:color w:val="auto"/>
                <w:sz w:val="24"/>
                <w:lang w:val="en-US" w:eastAsia="zh-CN"/>
              </w:rPr>
            </w:pPr>
            <w:r>
              <w:rPr>
                <w:rFonts w:hint="default" w:ascii="Times New Roman" w:hAnsi="Times New Roman" w:eastAsia="宋体" w:cs="Times New Roman"/>
                <w:color w:val="auto"/>
                <w:sz w:val="24"/>
                <w:lang w:val="en-US" w:eastAsia="zh-CN"/>
              </w:rPr>
              <w:t>4、待搅拌停止后，加盖，以防灰尘进入搅拌桶。</w:t>
            </w:r>
          </w:p>
          <w:p w14:paraId="76878DDD">
            <w:pPr>
              <w:keepNext w:val="0"/>
              <w:keepLines w:val="0"/>
              <w:suppressLineNumbers w:val="0"/>
              <w:spacing w:before="0" w:beforeAutospacing="0" w:after="0" w:afterAutospacing="0"/>
              <w:ind w:left="0" w:right="0"/>
              <w:rPr>
                <w:rFonts w:hint="default" w:ascii="Times New Roman" w:hAnsi="Times New Roman" w:eastAsia="宋体" w:cs="Times New Roman"/>
                <w:color w:val="auto"/>
                <w:sz w:val="24"/>
                <w:lang w:val="en-US" w:eastAsia="zh-CN"/>
              </w:rPr>
            </w:pPr>
            <w:r>
              <w:rPr>
                <w:rFonts w:hint="default" w:ascii="Times New Roman" w:hAnsi="Times New Roman" w:eastAsia="宋体" w:cs="Times New Roman"/>
                <w:color w:val="auto"/>
                <w:sz w:val="24"/>
                <w:lang w:val="en-US" w:eastAsia="zh-CN"/>
              </w:rPr>
              <w:t>5、加盖封存后应当静止沉淀72小时，</w:t>
            </w:r>
          </w:p>
          <w:p w14:paraId="21F3EA3B">
            <w:pPr>
              <w:keepNext w:val="0"/>
              <w:keepLines w:val="0"/>
              <w:suppressLineNumbers w:val="0"/>
              <w:spacing w:before="0" w:beforeAutospacing="0" w:after="0" w:afterAutospacing="0"/>
              <w:ind w:left="0" w:right="0"/>
              <w:rPr>
                <w:rFonts w:hint="default" w:ascii="Times New Roman" w:hAnsi="Times New Roman" w:eastAsia="宋体" w:cs="Times New Roman"/>
                <w:b/>
                <w:bCs/>
                <w:color w:val="auto"/>
                <w:sz w:val="24"/>
                <w:lang w:val="en-US" w:eastAsia="zh-CN"/>
              </w:rPr>
            </w:pPr>
            <w:r>
              <w:rPr>
                <w:rFonts w:hint="default" w:ascii="Times New Roman" w:hAnsi="Times New Roman" w:eastAsia="宋体" w:cs="Times New Roman"/>
                <w:b/>
                <w:bCs/>
                <w:color w:val="auto"/>
                <w:sz w:val="24"/>
                <w:lang w:val="en-US" w:eastAsia="zh-CN"/>
              </w:rPr>
              <w:t>四</w:t>
            </w:r>
            <w:r>
              <w:rPr>
                <w:rFonts w:hint="eastAsia" w:cs="Times New Roman"/>
                <w:b/>
                <w:bCs/>
                <w:color w:val="auto"/>
                <w:sz w:val="24"/>
                <w:lang w:val="en-US" w:eastAsia="zh-CN"/>
              </w:rPr>
              <w:t>、</w:t>
            </w:r>
            <w:r>
              <w:rPr>
                <w:rFonts w:hint="default" w:ascii="Times New Roman" w:hAnsi="Times New Roman" w:eastAsia="宋体" w:cs="Times New Roman"/>
                <w:b/>
                <w:bCs/>
                <w:color w:val="auto"/>
                <w:sz w:val="24"/>
                <w:lang w:val="en-US" w:eastAsia="zh-CN"/>
              </w:rPr>
              <w:t>配比</w:t>
            </w:r>
            <w:r>
              <w:rPr>
                <w:rFonts w:hint="eastAsia" w:cs="Times New Roman"/>
                <w:b/>
                <w:bCs/>
                <w:color w:val="auto"/>
                <w:sz w:val="24"/>
                <w:lang w:val="en-US" w:eastAsia="zh-CN"/>
              </w:rPr>
              <w:t>、称重工艺</w:t>
            </w:r>
          </w:p>
          <w:p w14:paraId="1CC61AF2">
            <w:pPr>
              <w:keepNext w:val="0"/>
              <w:keepLines w:val="0"/>
              <w:suppressLineNumbers w:val="0"/>
              <w:spacing w:before="0" w:beforeAutospacing="0" w:after="0" w:afterAutospacing="0"/>
              <w:ind w:left="0" w:right="0"/>
              <w:rPr>
                <w:rFonts w:hint="default" w:ascii="Times New Roman" w:hAnsi="Times New Roman" w:eastAsia="宋体" w:cs="Times New Roman"/>
                <w:color w:val="auto"/>
                <w:sz w:val="24"/>
                <w:lang w:val="en-US" w:eastAsia="zh-CN"/>
              </w:rPr>
            </w:pPr>
            <w:r>
              <w:rPr>
                <w:rFonts w:hint="default" w:ascii="Times New Roman" w:hAnsi="Times New Roman" w:eastAsia="宋体" w:cs="Times New Roman"/>
                <w:color w:val="auto"/>
                <w:sz w:val="24"/>
                <w:lang w:val="en-US" w:eastAsia="zh-CN"/>
              </w:rPr>
              <w:t>1、观察搅拌桶内原液是否澄清，如有浑浊现象则再进行沉淀，直到放出澄清原液方可进行配比；</w:t>
            </w:r>
          </w:p>
          <w:p w14:paraId="4107E528">
            <w:pPr>
              <w:keepNext w:val="0"/>
              <w:keepLines w:val="0"/>
              <w:suppressLineNumbers w:val="0"/>
              <w:spacing w:before="0" w:beforeAutospacing="0" w:after="0" w:afterAutospacing="0"/>
              <w:ind w:left="0" w:right="0"/>
              <w:rPr>
                <w:rFonts w:hint="default" w:ascii="Times New Roman" w:hAnsi="Times New Roman" w:eastAsia="宋体" w:cs="Times New Roman"/>
                <w:color w:val="auto"/>
                <w:sz w:val="24"/>
                <w:lang w:val="en-US" w:eastAsia="zh-CN"/>
              </w:rPr>
            </w:pPr>
            <w:r>
              <w:rPr>
                <w:rFonts w:hint="default" w:ascii="Times New Roman" w:hAnsi="Times New Roman" w:eastAsia="宋体" w:cs="Times New Roman"/>
                <w:color w:val="auto"/>
                <w:sz w:val="24"/>
                <w:lang w:val="en-US" w:eastAsia="zh-CN"/>
              </w:rPr>
              <w:t>2、将经过沉淀澄清的原液放入配比桶内，然后加入清洁自来水进行配比</w:t>
            </w:r>
            <w:r>
              <w:rPr>
                <w:rFonts w:hint="eastAsia" w:cs="Times New Roman"/>
                <w:color w:val="auto"/>
                <w:sz w:val="24"/>
                <w:lang w:val="en-US" w:eastAsia="zh-CN"/>
              </w:rPr>
              <w:t>并进行称重</w:t>
            </w:r>
            <w:r>
              <w:rPr>
                <w:rFonts w:hint="default" w:ascii="Times New Roman" w:hAnsi="Times New Roman" w:eastAsia="宋体" w:cs="Times New Roman"/>
                <w:color w:val="auto"/>
                <w:sz w:val="24"/>
                <w:lang w:val="en-US" w:eastAsia="zh-CN"/>
              </w:rPr>
              <w:t>；</w:t>
            </w:r>
          </w:p>
          <w:p w14:paraId="0F3E45E7">
            <w:pPr>
              <w:keepNext w:val="0"/>
              <w:keepLines w:val="0"/>
              <w:suppressLineNumbers w:val="0"/>
              <w:spacing w:before="0" w:beforeAutospacing="0" w:after="0" w:afterAutospacing="0"/>
              <w:ind w:left="0" w:right="0"/>
              <w:rPr>
                <w:rFonts w:hint="default" w:ascii="Times New Roman" w:hAnsi="Times New Roman" w:eastAsia="宋体" w:cs="Times New Roman"/>
                <w:color w:val="auto"/>
                <w:sz w:val="24"/>
                <w:lang w:val="en-US" w:eastAsia="zh-CN"/>
              </w:rPr>
            </w:pPr>
            <w:r>
              <w:rPr>
                <w:rFonts w:hint="default" w:ascii="Times New Roman" w:hAnsi="Times New Roman" w:eastAsia="宋体" w:cs="Times New Roman"/>
                <w:color w:val="auto"/>
                <w:sz w:val="24"/>
                <w:lang w:val="en-US" w:eastAsia="zh-CN"/>
              </w:rPr>
              <w:t>3、在配比的过程中要不断在配比桶内搅拌，放到预计值后进行密度测量，如密度偏高则再加入自来水，如密度偏低则再加入原液；</w:t>
            </w:r>
          </w:p>
          <w:p w14:paraId="134C13FF">
            <w:pPr>
              <w:keepNext w:val="0"/>
              <w:keepLines w:val="0"/>
              <w:suppressLineNumbers w:val="0"/>
              <w:spacing w:before="0" w:beforeAutospacing="0" w:after="0" w:afterAutospacing="0"/>
              <w:ind w:left="0" w:right="0"/>
              <w:rPr>
                <w:rFonts w:hint="default" w:ascii="Times New Roman" w:hAnsi="Times New Roman" w:eastAsia="宋体" w:cs="Times New Roman"/>
                <w:color w:val="auto"/>
                <w:sz w:val="24"/>
                <w:lang w:val="en-US" w:eastAsia="zh-CN"/>
              </w:rPr>
            </w:pPr>
            <w:r>
              <w:rPr>
                <w:rFonts w:hint="default" w:ascii="Times New Roman" w:hAnsi="Times New Roman" w:eastAsia="宋体" w:cs="Times New Roman"/>
                <w:color w:val="auto"/>
                <w:sz w:val="24"/>
                <w:lang w:val="en-US" w:eastAsia="zh-CN"/>
              </w:rPr>
              <w:t>4、测量辅助液的配比时，应当从配比桶内分3次取出的辅助液，当3次测得的密度均为所需要配比的密度时，方可装桶。</w:t>
            </w:r>
          </w:p>
          <w:p w14:paraId="337C888C">
            <w:pPr>
              <w:keepNext w:val="0"/>
              <w:keepLines w:val="0"/>
              <w:suppressLineNumbers w:val="0"/>
              <w:spacing w:before="0" w:beforeAutospacing="0" w:after="0" w:afterAutospacing="0"/>
              <w:ind w:left="0" w:right="0"/>
              <w:rPr>
                <w:rFonts w:hint="default" w:ascii="Times New Roman" w:hAnsi="Times New Roman" w:eastAsia="宋体" w:cs="Times New Roman"/>
                <w:b/>
                <w:bCs/>
                <w:color w:val="auto"/>
                <w:sz w:val="24"/>
                <w:lang w:val="en-US" w:eastAsia="zh-CN"/>
              </w:rPr>
            </w:pPr>
            <w:r>
              <w:rPr>
                <w:rFonts w:hint="eastAsia" w:cs="Times New Roman"/>
                <w:b/>
                <w:bCs/>
                <w:color w:val="auto"/>
                <w:sz w:val="24"/>
                <w:lang w:val="en-US" w:eastAsia="zh-CN"/>
              </w:rPr>
              <w:t>五、装桶、检验</w:t>
            </w:r>
          </w:p>
          <w:p w14:paraId="62764CE1">
            <w:pPr>
              <w:keepNext w:val="0"/>
              <w:keepLines w:val="0"/>
              <w:suppressLineNumbers w:val="0"/>
              <w:spacing w:before="0" w:beforeAutospacing="0" w:after="0" w:afterAutospacing="0"/>
              <w:ind w:left="0" w:right="0"/>
              <w:rPr>
                <w:rFonts w:hint="default" w:ascii="Times New Roman" w:hAnsi="Times New Roman" w:eastAsia="宋体" w:cs="Times New Roman"/>
                <w:b/>
                <w:bCs/>
                <w:color w:val="auto"/>
                <w:sz w:val="24"/>
                <w:lang w:val="en-US" w:eastAsia="zh-CN"/>
              </w:rPr>
            </w:pPr>
            <w:r>
              <w:rPr>
                <w:rFonts w:hint="eastAsia" w:cs="Times New Roman"/>
                <w:b w:val="0"/>
                <w:bCs w:val="0"/>
                <w:color w:val="auto"/>
                <w:sz w:val="24"/>
                <w:lang w:val="en-US" w:eastAsia="zh-CN"/>
              </w:rPr>
              <w:t>混料搅拌后的混合料装桶后</w:t>
            </w:r>
            <w:r>
              <w:rPr>
                <w:rFonts w:hint="eastAsia" w:ascii="Times New Roman" w:hAnsi="Times New Roman" w:cs="Times New Roman"/>
                <w:b w:val="0"/>
                <w:bCs w:val="0"/>
                <w:color w:val="auto"/>
                <w:sz w:val="24"/>
                <w:lang w:val="en-US" w:eastAsia="zh-CN"/>
              </w:rPr>
              <w:t>抽取部分桶装物料进行检验，不合格的直接返工生产，直至检验合格后包装入库。</w:t>
            </w:r>
          </w:p>
          <w:p w14:paraId="7816FE88">
            <w:pPr>
              <w:keepNext w:val="0"/>
              <w:keepLines w:val="0"/>
              <w:suppressLineNumbers w:val="0"/>
              <w:spacing w:before="0" w:beforeAutospacing="0" w:after="0" w:afterAutospacing="0"/>
              <w:ind w:left="0" w:right="0"/>
              <w:rPr>
                <w:rFonts w:hint="default" w:ascii="Times New Roman" w:hAnsi="Times New Roman" w:eastAsia="宋体" w:cs="Times New Roman"/>
                <w:b/>
                <w:bCs/>
                <w:color w:val="auto"/>
                <w:sz w:val="24"/>
                <w:lang w:val="en-US" w:eastAsia="zh-CN"/>
              </w:rPr>
            </w:pPr>
            <w:r>
              <w:rPr>
                <w:rFonts w:hint="eastAsia" w:cs="Times New Roman"/>
                <w:b/>
                <w:bCs/>
                <w:color w:val="auto"/>
                <w:sz w:val="24"/>
                <w:lang w:val="en-US" w:eastAsia="zh-CN"/>
              </w:rPr>
              <w:t>六、包装入库</w:t>
            </w:r>
          </w:p>
          <w:p w14:paraId="731E3308">
            <w:pPr>
              <w:keepNext w:val="0"/>
              <w:keepLines w:val="0"/>
              <w:suppressLineNumbers w:val="0"/>
              <w:spacing w:before="0" w:beforeAutospacing="0" w:after="0" w:afterAutospacing="0"/>
              <w:ind w:left="0" w:right="0"/>
              <w:rPr>
                <w:rFonts w:hint="default" w:ascii="Times New Roman" w:hAnsi="Times New Roman" w:eastAsia="宋体" w:cs="Times New Roman"/>
                <w:b/>
                <w:bCs/>
                <w:color w:val="auto"/>
                <w:sz w:val="24"/>
                <w:lang w:val="en-US" w:eastAsia="zh-CN"/>
              </w:rPr>
            </w:pPr>
            <w:r>
              <w:rPr>
                <w:rFonts w:hint="eastAsia" w:ascii="Times New Roman" w:hAnsi="Times New Roman" w:cs="Times New Roman"/>
                <w:b w:val="0"/>
                <w:bCs w:val="0"/>
                <w:color w:val="auto"/>
                <w:sz w:val="24"/>
                <w:lang w:val="en-US" w:eastAsia="zh-CN"/>
              </w:rPr>
              <w:t>检验合格的产品最终经桶装入库。</w:t>
            </w:r>
          </w:p>
          <w:p w14:paraId="22784073">
            <w:pPr>
              <w:keepNext w:val="0"/>
              <w:keepLines w:val="0"/>
              <w:suppressLineNumbers w:val="0"/>
              <w:spacing w:before="0" w:beforeAutospacing="0" w:after="0" w:afterAutospacing="0"/>
              <w:ind w:left="0" w:right="0"/>
              <w:rPr>
                <w:rFonts w:hint="eastAsia" w:cs="Times New Roman"/>
                <w:b/>
                <w:bCs/>
                <w:color w:val="auto"/>
                <w:sz w:val="24"/>
                <w:lang w:val="en-US" w:eastAsia="zh-CN"/>
              </w:rPr>
            </w:pPr>
            <w:r>
              <w:rPr>
                <w:rFonts w:hint="eastAsia" w:cs="Times New Roman"/>
                <w:b/>
                <w:bCs/>
                <w:color w:val="auto"/>
                <w:lang w:val="en-US" w:eastAsia="zh-CN"/>
              </w:rPr>
              <w:t>3、KP800型膨胀堵料膨胀条生产工艺流程及产污环节</w:t>
            </w:r>
          </w:p>
          <w:p w14:paraId="7284538C">
            <w:pPr>
              <w:keepNext w:val="0"/>
              <w:keepLines w:val="0"/>
              <w:suppressLineNumbers w:val="0"/>
              <w:spacing w:before="0" w:beforeAutospacing="0" w:after="0" w:afterAutospacing="0"/>
              <w:ind w:left="0" w:right="0"/>
              <w:jc w:val="center"/>
              <w:rPr>
                <w:rFonts w:hint="eastAsia" w:cs="Times New Roman"/>
                <w:b/>
                <w:bCs/>
                <w:color w:val="auto"/>
                <w:sz w:val="24"/>
                <w:lang w:val="en-US" w:eastAsia="zh-CN"/>
              </w:rPr>
            </w:pPr>
            <w:r>
              <w:rPr>
                <w:rFonts w:hint="eastAsia" w:eastAsiaTheme="minorEastAsia"/>
                <w:color w:val="auto"/>
                <w:lang w:eastAsia="zh-CN"/>
              </w:rPr>
              <w:object>
                <v:shape id="_x0000_i1027" o:spt="75" type="#_x0000_t75" style="height:370.2pt;width:212pt;" o:ole="t" filled="f" o:preferrelative="t" stroked="f" coordsize="21600,21600">
                  <v:path/>
                  <v:fill on="f" focussize="0,0"/>
                  <v:stroke on="f"/>
                  <v:imagedata r:id="rId13" cropleft="31686f" croptop="11066f" cropright="24281f" cropbottom="7163f" o:title=""/>
                  <o:lock v:ext="edit" aspectratio="t"/>
                  <w10:wrap type="none"/>
                  <w10:anchorlock/>
                </v:shape>
                <o:OLEObject Type="Embed" ProgID="AutoCAD.Drawing.17" ShapeID="_x0000_i1027" DrawAspect="Content" ObjectID="_1468075727" r:id="rId12">
                  <o:LockedField>false</o:LockedField>
                </o:OLEObject>
              </w:object>
            </w:r>
          </w:p>
          <w:p w14:paraId="0AEB97E4">
            <w:pPr>
              <w:keepNext w:val="0"/>
              <w:keepLines w:val="0"/>
              <w:suppressLineNumbers w:val="0"/>
              <w:spacing w:before="0" w:beforeAutospacing="0" w:after="0" w:afterAutospacing="0"/>
              <w:ind w:left="0" w:leftChars="0" w:right="0" w:firstLine="0" w:firstLineChars="0"/>
              <w:jc w:val="center"/>
              <w:rPr>
                <w:rFonts w:hint="eastAsia" w:cs="Times New Roman"/>
                <w:b/>
                <w:bCs/>
                <w:color w:val="auto"/>
                <w:sz w:val="24"/>
                <w:lang w:val="en-US" w:eastAsia="zh-CN"/>
              </w:rPr>
            </w:pPr>
            <w:r>
              <w:rPr>
                <w:rFonts w:hint="default" w:ascii="Times New Roman" w:hAnsi="Times New Roman" w:eastAsia="宋体" w:cs="Times New Roman"/>
                <w:b/>
                <w:bCs/>
                <w:color w:val="auto"/>
                <w:lang w:val="en-US" w:eastAsia="zh-CN"/>
              </w:rPr>
              <w:t>图2.2-</w:t>
            </w:r>
            <w:r>
              <w:rPr>
                <w:rFonts w:hint="eastAsia" w:ascii="Times New Roman" w:hAnsi="Times New Roman" w:cs="Times New Roman"/>
                <w:b/>
                <w:bCs/>
                <w:color w:val="auto"/>
                <w:lang w:val="en-US" w:eastAsia="zh-CN"/>
              </w:rPr>
              <w:t xml:space="preserve">3 </w:t>
            </w:r>
            <w:r>
              <w:rPr>
                <w:rFonts w:hint="eastAsia" w:cs="Times New Roman"/>
                <w:b/>
                <w:bCs/>
                <w:color w:val="auto"/>
                <w:lang w:val="en-US" w:eastAsia="zh-CN"/>
              </w:rPr>
              <w:t>KP800型膨胀堵料膨胀条</w:t>
            </w:r>
            <w:r>
              <w:rPr>
                <w:rFonts w:hint="default" w:ascii="Times New Roman" w:hAnsi="Times New Roman" w:eastAsia="宋体" w:cs="Times New Roman"/>
                <w:b/>
                <w:bCs/>
                <w:color w:val="auto"/>
                <w:lang w:val="en-US" w:eastAsia="zh-CN"/>
              </w:rPr>
              <w:t>生产工艺及产污环节图</w:t>
            </w:r>
          </w:p>
          <w:p w14:paraId="74D04A9D">
            <w:pPr>
              <w:keepNext w:val="0"/>
              <w:keepLines w:val="0"/>
              <w:suppressLineNumbers w:val="0"/>
              <w:spacing w:before="0" w:beforeAutospacing="0" w:after="0" w:afterAutospacing="0"/>
              <w:ind w:left="0" w:right="0"/>
              <w:rPr>
                <w:rFonts w:hint="eastAsia" w:cs="Times New Roman"/>
                <w:b/>
                <w:bCs/>
                <w:color w:val="auto"/>
                <w:sz w:val="24"/>
                <w:lang w:val="en-US" w:eastAsia="zh-CN"/>
              </w:rPr>
            </w:pPr>
            <w:r>
              <w:rPr>
                <w:rFonts w:hint="default" w:ascii="Times New Roman" w:hAnsi="Times New Roman" w:cs="Times New Roman"/>
                <w:b/>
                <w:bCs/>
                <w:color w:val="auto"/>
                <w:lang w:val="en-US" w:eastAsia="zh-CN"/>
              </w:rPr>
              <w:t>工艺流程简述：</w:t>
            </w:r>
          </w:p>
          <w:p w14:paraId="7A7B7883">
            <w:pPr>
              <w:keepNext w:val="0"/>
              <w:keepLines w:val="0"/>
              <w:suppressLineNumbers w:val="0"/>
              <w:spacing w:before="0" w:beforeAutospacing="0" w:after="0" w:afterAutospacing="0"/>
              <w:ind w:left="0" w:right="0"/>
              <w:rPr>
                <w:rFonts w:hint="eastAsia" w:cs="Times New Roman"/>
                <w:b w:val="0"/>
                <w:bCs w:val="0"/>
                <w:color w:val="auto"/>
                <w:sz w:val="24"/>
                <w:lang w:val="en-US" w:eastAsia="zh-CN"/>
              </w:rPr>
            </w:pPr>
            <w:r>
              <w:rPr>
                <w:rFonts w:hint="eastAsia" w:cs="Times New Roman"/>
                <w:b w:val="0"/>
                <w:bCs w:val="0"/>
                <w:color w:val="auto"/>
                <w:sz w:val="24"/>
                <w:lang w:val="en-US" w:eastAsia="zh-CN"/>
              </w:rPr>
              <w:t>一、领料工艺</w:t>
            </w:r>
          </w:p>
          <w:p w14:paraId="6E144676">
            <w:pPr>
              <w:keepNext w:val="0"/>
              <w:keepLines w:val="0"/>
              <w:suppressLineNumbers w:val="0"/>
              <w:spacing w:before="0" w:beforeAutospacing="0" w:after="0" w:afterAutospacing="0"/>
              <w:ind w:left="0" w:right="0"/>
              <w:rPr>
                <w:rFonts w:hint="eastAsia" w:cs="Times New Roman"/>
                <w:b w:val="0"/>
                <w:bCs w:val="0"/>
                <w:color w:val="auto"/>
                <w:sz w:val="24"/>
                <w:lang w:val="en-US" w:eastAsia="zh-CN"/>
              </w:rPr>
            </w:pPr>
            <w:r>
              <w:rPr>
                <w:rFonts w:hint="eastAsia" w:cs="Times New Roman"/>
                <w:b w:val="0"/>
                <w:bCs w:val="0"/>
                <w:color w:val="auto"/>
                <w:sz w:val="24"/>
                <w:lang w:val="en-US" w:eastAsia="zh-CN"/>
              </w:rPr>
              <w:t>1、领用公司质检部门检验合格的原材料木浆棉，车间不允许堆放任何外来原、辅材料；</w:t>
            </w:r>
          </w:p>
          <w:p w14:paraId="2E0DE8AF">
            <w:pPr>
              <w:keepNext w:val="0"/>
              <w:keepLines w:val="0"/>
              <w:suppressLineNumbers w:val="0"/>
              <w:spacing w:before="0" w:beforeAutospacing="0" w:after="0" w:afterAutospacing="0"/>
              <w:ind w:left="0" w:right="0"/>
              <w:rPr>
                <w:rFonts w:hint="eastAsia" w:cs="Times New Roman"/>
                <w:b w:val="0"/>
                <w:bCs w:val="0"/>
                <w:color w:val="auto"/>
                <w:sz w:val="24"/>
                <w:lang w:val="en-US" w:eastAsia="zh-CN"/>
              </w:rPr>
            </w:pPr>
            <w:r>
              <w:rPr>
                <w:rFonts w:hint="eastAsia" w:cs="Times New Roman"/>
                <w:b w:val="0"/>
                <w:bCs w:val="0"/>
                <w:color w:val="auto"/>
                <w:sz w:val="24"/>
                <w:lang w:val="en-US" w:eastAsia="zh-CN"/>
              </w:rPr>
              <w:t>2、积极配合配料工注意原料的质量反馈，发现原材料有受潮、结块、结团及杂质等现象时禁止使用，报相关部门处置；</w:t>
            </w:r>
          </w:p>
          <w:p w14:paraId="26AA8337">
            <w:pPr>
              <w:keepNext w:val="0"/>
              <w:keepLines w:val="0"/>
              <w:suppressLineNumbers w:val="0"/>
              <w:spacing w:before="0" w:beforeAutospacing="0" w:after="0" w:afterAutospacing="0"/>
              <w:ind w:left="0" w:right="0"/>
              <w:rPr>
                <w:rFonts w:hint="eastAsia" w:cs="Times New Roman"/>
                <w:b w:val="0"/>
                <w:bCs w:val="0"/>
                <w:color w:val="auto"/>
                <w:sz w:val="24"/>
                <w:lang w:val="en-US" w:eastAsia="zh-CN"/>
              </w:rPr>
            </w:pPr>
            <w:r>
              <w:rPr>
                <w:rFonts w:hint="eastAsia" w:cs="Times New Roman"/>
                <w:b w:val="0"/>
                <w:bCs w:val="0"/>
                <w:color w:val="auto"/>
                <w:sz w:val="24"/>
                <w:lang w:val="en-US" w:eastAsia="zh-CN"/>
              </w:rPr>
              <w:t>3、定量领料，领料工应当掌握配方的基本份数，尽量做到少积压；</w:t>
            </w:r>
          </w:p>
          <w:p w14:paraId="2F729A3E">
            <w:pPr>
              <w:keepNext w:val="0"/>
              <w:keepLines w:val="0"/>
              <w:suppressLineNumbers w:val="0"/>
              <w:spacing w:before="0" w:beforeAutospacing="0" w:after="0" w:afterAutospacing="0"/>
              <w:ind w:left="0" w:right="0"/>
              <w:rPr>
                <w:rFonts w:hint="eastAsia" w:cs="Times New Roman"/>
                <w:b w:val="0"/>
                <w:bCs w:val="0"/>
                <w:color w:val="auto"/>
                <w:sz w:val="24"/>
                <w:lang w:val="en-US" w:eastAsia="zh-CN"/>
              </w:rPr>
            </w:pPr>
            <w:r>
              <w:rPr>
                <w:rFonts w:hint="eastAsia" w:cs="Times New Roman"/>
                <w:b w:val="0"/>
                <w:bCs w:val="0"/>
                <w:color w:val="auto"/>
                <w:sz w:val="24"/>
                <w:lang w:val="en-US" w:eastAsia="zh-CN"/>
              </w:rPr>
              <w:t>4、领料工在领料时要检查原材料的单包重量，发现缺斤少两及时反馈给有关部门；</w:t>
            </w:r>
          </w:p>
          <w:p w14:paraId="728BE4E0">
            <w:pPr>
              <w:keepNext w:val="0"/>
              <w:keepLines w:val="0"/>
              <w:suppressLineNumbers w:val="0"/>
              <w:spacing w:before="0" w:beforeAutospacing="0" w:after="0" w:afterAutospacing="0"/>
              <w:ind w:left="0" w:right="0"/>
              <w:rPr>
                <w:rFonts w:hint="eastAsia" w:cs="Times New Roman"/>
                <w:b w:val="0"/>
                <w:bCs w:val="0"/>
                <w:color w:val="auto"/>
                <w:sz w:val="24"/>
                <w:lang w:val="en-US" w:eastAsia="zh-CN"/>
              </w:rPr>
            </w:pPr>
            <w:r>
              <w:rPr>
                <w:rFonts w:hint="eastAsia" w:cs="Times New Roman"/>
                <w:b w:val="0"/>
                <w:bCs w:val="0"/>
                <w:color w:val="auto"/>
                <w:sz w:val="24"/>
                <w:lang w:val="en-US" w:eastAsia="zh-CN"/>
              </w:rPr>
              <w:t>5、领料时，应当领用同一批次的原材料，不同批次的同种原材料禁止混合使用；</w:t>
            </w:r>
          </w:p>
          <w:p w14:paraId="3FFBB5AB">
            <w:pPr>
              <w:keepNext w:val="0"/>
              <w:keepLines w:val="0"/>
              <w:suppressLineNumbers w:val="0"/>
              <w:spacing w:before="0" w:beforeAutospacing="0" w:after="0" w:afterAutospacing="0"/>
              <w:ind w:left="0" w:right="0"/>
              <w:rPr>
                <w:rFonts w:hint="eastAsia" w:cs="Times New Roman"/>
                <w:b w:val="0"/>
                <w:bCs w:val="0"/>
                <w:color w:val="auto"/>
                <w:sz w:val="24"/>
                <w:lang w:val="en-US" w:eastAsia="zh-CN"/>
              </w:rPr>
            </w:pPr>
            <w:r>
              <w:rPr>
                <w:rFonts w:hint="eastAsia" w:cs="Times New Roman"/>
                <w:b w:val="0"/>
                <w:bCs w:val="0"/>
                <w:color w:val="auto"/>
                <w:sz w:val="24"/>
                <w:lang w:val="en-US" w:eastAsia="zh-CN"/>
              </w:rPr>
              <w:t>6、所有领用的原材料都要分开堆放，标识清楚，堆放整齐。</w:t>
            </w:r>
          </w:p>
          <w:p w14:paraId="3ECA4CF7">
            <w:pPr>
              <w:keepNext w:val="0"/>
              <w:keepLines w:val="0"/>
              <w:suppressLineNumbers w:val="0"/>
              <w:spacing w:before="0" w:beforeAutospacing="0" w:after="0" w:afterAutospacing="0"/>
              <w:ind w:left="0" w:right="0"/>
              <w:rPr>
                <w:rFonts w:hint="eastAsia" w:cs="Times New Roman"/>
                <w:b w:val="0"/>
                <w:bCs w:val="0"/>
                <w:color w:val="auto"/>
                <w:sz w:val="24"/>
                <w:lang w:val="en-US" w:eastAsia="zh-CN"/>
              </w:rPr>
            </w:pPr>
            <w:r>
              <w:rPr>
                <w:rFonts w:hint="eastAsia" w:cs="Times New Roman"/>
                <w:b/>
                <w:bCs/>
                <w:color w:val="auto"/>
                <w:sz w:val="24"/>
                <w:lang w:val="en-US" w:eastAsia="zh-CN"/>
              </w:rPr>
              <w:t>二、平切工艺</w:t>
            </w:r>
          </w:p>
          <w:p w14:paraId="026B92C0">
            <w:pPr>
              <w:keepNext w:val="0"/>
              <w:keepLines w:val="0"/>
              <w:suppressLineNumbers w:val="0"/>
              <w:spacing w:before="0" w:beforeAutospacing="0" w:after="0" w:afterAutospacing="0"/>
              <w:ind w:left="0" w:right="0"/>
              <w:rPr>
                <w:rFonts w:hint="eastAsia" w:cs="Times New Roman"/>
                <w:b w:val="0"/>
                <w:bCs w:val="0"/>
                <w:color w:val="auto"/>
                <w:sz w:val="24"/>
                <w:lang w:val="en-US" w:eastAsia="zh-CN"/>
              </w:rPr>
            </w:pPr>
            <w:r>
              <w:rPr>
                <w:rFonts w:hint="eastAsia" w:cs="Times New Roman"/>
                <w:b w:val="0"/>
                <w:bCs w:val="0"/>
                <w:color w:val="auto"/>
                <w:sz w:val="24"/>
                <w:lang w:val="en-US" w:eastAsia="zh-CN"/>
              </w:rPr>
              <w:t>1、在对原料进行平切之前应先检查平切机是否正常，检验刀带是否紧固，电机是否正常，控制平台按钮是否齐全，操作台表面是否清洁；</w:t>
            </w:r>
          </w:p>
          <w:p w14:paraId="1C6AC33C">
            <w:pPr>
              <w:keepNext w:val="0"/>
              <w:keepLines w:val="0"/>
              <w:suppressLineNumbers w:val="0"/>
              <w:spacing w:before="0" w:beforeAutospacing="0" w:after="0" w:afterAutospacing="0"/>
              <w:ind w:left="0" w:right="0"/>
              <w:rPr>
                <w:rFonts w:hint="eastAsia" w:cs="Times New Roman"/>
                <w:b w:val="0"/>
                <w:bCs w:val="0"/>
                <w:color w:val="auto"/>
                <w:sz w:val="24"/>
                <w:lang w:val="en-US" w:eastAsia="zh-CN"/>
              </w:rPr>
            </w:pPr>
            <w:r>
              <w:rPr>
                <w:rFonts w:hint="eastAsia" w:cs="Times New Roman"/>
                <w:b w:val="0"/>
                <w:bCs w:val="0"/>
                <w:color w:val="auto"/>
                <w:sz w:val="24"/>
                <w:lang w:val="en-US" w:eastAsia="zh-CN"/>
              </w:rPr>
              <w:t>2、然后将大块木浆绵放入平切机，大块木浆绵应当放在平切机的中间位置，不可靠前或靠后；</w:t>
            </w:r>
          </w:p>
          <w:p w14:paraId="6C5B7D9D">
            <w:pPr>
              <w:keepNext w:val="0"/>
              <w:keepLines w:val="0"/>
              <w:suppressLineNumbers w:val="0"/>
              <w:spacing w:before="0" w:beforeAutospacing="0" w:after="0" w:afterAutospacing="0"/>
              <w:ind w:left="0" w:right="0"/>
              <w:rPr>
                <w:rFonts w:hint="eastAsia" w:cs="Times New Roman"/>
                <w:b w:val="0"/>
                <w:bCs w:val="0"/>
                <w:color w:val="auto"/>
                <w:sz w:val="24"/>
                <w:lang w:val="en-US" w:eastAsia="zh-CN"/>
              </w:rPr>
            </w:pPr>
            <w:r>
              <w:rPr>
                <w:rFonts w:hint="eastAsia" w:cs="Times New Roman"/>
                <w:b w:val="0"/>
                <w:bCs w:val="0"/>
                <w:color w:val="auto"/>
                <w:sz w:val="24"/>
                <w:lang w:val="en-US" w:eastAsia="zh-CN"/>
              </w:rPr>
              <w:t>3、首先将刀架上升调整至与大块木浆绵上平面平行的位置，然后调节刀架下降的距离（5mm），切除大块木浆绵上部边皮；</w:t>
            </w:r>
          </w:p>
          <w:p w14:paraId="0B1C3B37">
            <w:pPr>
              <w:keepNext w:val="0"/>
              <w:keepLines w:val="0"/>
              <w:suppressLineNumbers w:val="0"/>
              <w:spacing w:before="0" w:beforeAutospacing="0" w:after="0" w:afterAutospacing="0"/>
              <w:ind w:left="0" w:right="0"/>
              <w:rPr>
                <w:rFonts w:hint="eastAsia" w:cs="Times New Roman"/>
                <w:b w:val="0"/>
                <w:bCs w:val="0"/>
                <w:color w:val="auto"/>
                <w:sz w:val="24"/>
                <w:lang w:val="en-US" w:eastAsia="zh-CN"/>
              </w:rPr>
            </w:pPr>
            <w:r>
              <w:rPr>
                <w:rFonts w:hint="eastAsia" w:cs="Times New Roman"/>
                <w:b w:val="0"/>
                <w:bCs w:val="0"/>
                <w:color w:val="auto"/>
                <w:sz w:val="24"/>
                <w:lang w:val="en-US" w:eastAsia="zh-CN"/>
              </w:rPr>
              <w:t>4、观察切除边皮后大块木浆绵表面的水平度，如果不平，则应当调节刀架位置，使平切的大块木浆绵表面平整；</w:t>
            </w:r>
          </w:p>
          <w:p w14:paraId="6B194E58">
            <w:pPr>
              <w:keepNext w:val="0"/>
              <w:keepLines w:val="0"/>
              <w:suppressLineNumbers w:val="0"/>
              <w:spacing w:before="0" w:beforeAutospacing="0" w:after="0" w:afterAutospacing="0"/>
              <w:ind w:left="0" w:right="0"/>
              <w:rPr>
                <w:rFonts w:hint="eastAsia" w:cs="Times New Roman"/>
                <w:b w:val="0"/>
                <w:bCs w:val="0"/>
                <w:color w:val="auto"/>
                <w:sz w:val="24"/>
                <w:lang w:val="en-US" w:eastAsia="zh-CN"/>
              </w:rPr>
            </w:pPr>
            <w:r>
              <w:rPr>
                <w:rFonts w:hint="eastAsia" w:cs="Times New Roman"/>
                <w:b w:val="0"/>
                <w:bCs w:val="0"/>
                <w:color w:val="auto"/>
                <w:sz w:val="24"/>
                <w:lang w:val="en-US" w:eastAsia="zh-CN"/>
              </w:rPr>
              <w:t>5、切除上部边皮后，调节所需要的半成品的厚度（50mm），将平切机打到自动位置，平切机自动开始切割，切割完成后自动停止；</w:t>
            </w:r>
          </w:p>
          <w:p w14:paraId="3EC99F54">
            <w:pPr>
              <w:keepNext w:val="0"/>
              <w:keepLines w:val="0"/>
              <w:suppressLineNumbers w:val="0"/>
              <w:spacing w:before="0" w:beforeAutospacing="0" w:after="0" w:afterAutospacing="0"/>
              <w:ind w:left="0" w:right="0"/>
              <w:rPr>
                <w:rFonts w:hint="eastAsia" w:cs="Times New Roman"/>
                <w:b w:val="0"/>
                <w:bCs w:val="0"/>
                <w:color w:val="auto"/>
                <w:sz w:val="24"/>
                <w:lang w:val="en-US" w:eastAsia="zh-CN"/>
              </w:rPr>
            </w:pPr>
            <w:r>
              <w:rPr>
                <w:rFonts w:hint="eastAsia" w:cs="Times New Roman"/>
                <w:b w:val="0"/>
                <w:bCs w:val="0"/>
                <w:color w:val="auto"/>
                <w:sz w:val="24"/>
                <w:lang w:val="en-US" w:eastAsia="zh-CN"/>
              </w:rPr>
              <w:t>6、切割完毕，上升刀架，为下次切割做准备。</w:t>
            </w:r>
          </w:p>
          <w:p w14:paraId="47EB561D">
            <w:pPr>
              <w:keepNext w:val="0"/>
              <w:keepLines w:val="0"/>
              <w:suppressLineNumbers w:val="0"/>
              <w:spacing w:before="0" w:beforeAutospacing="0" w:after="0" w:afterAutospacing="0"/>
              <w:ind w:left="0" w:right="0"/>
              <w:rPr>
                <w:rFonts w:hint="eastAsia" w:cs="Times New Roman"/>
                <w:b/>
                <w:bCs/>
                <w:color w:val="auto"/>
                <w:sz w:val="24"/>
                <w:lang w:val="en-US" w:eastAsia="zh-CN"/>
              </w:rPr>
            </w:pPr>
            <w:r>
              <w:rPr>
                <w:rFonts w:hint="eastAsia" w:cs="Times New Roman"/>
                <w:b w:val="0"/>
                <w:bCs w:val="0"/>
                <w:color w:val="auto"/>
                <w:sz w:val="24"/>
                <w:lang w:val="en-US" w:eastAsia="zh-CN"/>
              </w:rPr>
              <w:t>平切过程中产生少量切割颗粒物（G2-1）及边角料（S2-1）。</w:t>
            </w:r>
          </w:p>
          <w:p w14:paraId="5D55CDE3">
            <w:pPr>
              <w:keepNext w:val="0"/>
              <w:keepLines w:val="0"/>
              <w:suppressLineNumbers w:val="0"/>
              <w:spacing w:before="0" w:beforeAutospacing="0" w:after="0" w:afterAutospacing="0"/>
              <w:ind w:left="0" w:right="0"/>
              <w:rPr>
                <w:rFonts w:hint="eastAsia" w:cs="Times New Roman"/>
                <w:b/>
                <w:bCs/>
                <w:color w:val="auto"/>
                <w:sz w:val="24"/>
                <w:lang w:val="en-US" w:eastAsia="zh-CN"/>
              </w:rPr>
            </w:pPr>
            <w:r>
              <w:rPr>
                <w:rFonts w:hint="eastAsia" w:cs="Times New Roman"/>
                <w:b/>
                <w:bCs/>
                <w:color w:val="auto"/>
                <w:sz w:val="24"/>
                <w:lang w:val="en-US" w:eastAsia="zh-CN"/>
              </w:rPr>
              <w:t>三、立切工艺</w:t>
            </w:r>
          </w:p>
          <w:p w14:paraId="4DB22A1B">
            <w:pPr>
              <w:keepNext w:val="0"/>
              <w:keepLines w:val="0"/>
              <w:suppressLineNumbers w:val="0"/>
              <w:spacing w:before="0" w:beforeAutospacing="0" w:after="0" w:afterAutospacing="0"/>
              <w:ind w:left="0" w:right="0"/>
              <w:rPr>
                <w:rFonts w:hint="eastAsia" w:cs="Times New Roman"/>
                <w:b w:val="0"/>
                <w:bCs w:val="0"/>
                <w:color w:val="auto"/>
                <w:sz w:val="24"/>
                <w:lang w:val="en-US" w:eastAsia="zh-CN"/>
              </w:rPr>
            </w:pPr>
            <w:r>
              <w:rPr>
                <w:rFonts w:hint="eastAsia" w:cs="Times New Roman"/>
                <w:b w:val="0"/>
                <w:bCs w:val="0"/>
                <w:color w:val="auto"/>
                <w:sz w:val="24"/>
                <w:lang w:val="en-US" w:eastAsia="zh-CN"/>
              </w:rPr>
              <w:t>1、在对原料进行立切之前应先检查立切机是否正常，检验刀带是否紧固，电机是否正常，操作台表面是否清洁；</w:t>
            </w:r>
          </w:p>
          <w:p w14:paraId="391D532D">
            <w:pPr>
              <w:keepNext w:val="0"/>
              <w:keepLines w:val="0"/>
              <w:suppressLineNumbers w:val="0"/>
              <w:spacing w:before="0" w:beforeAutospacing="0" w:after="0" w:afterAutospacing="0"/>
              <w:ind w:left="0" w:right="0"/>
              <w:rPr>
                <w:rFonts w:hint="eastAsia" w:cs="Times New Roman"/>
                <w:b w:val="0"/>
                <w:bCs w:val="0"/>
                <w:color w:val="auto"/>
                <w:sz w:val="24"/>
                <w:lang w:val="en-US" w:eastAsia="zh-CN"/>
              </w:rPr>
            </w:pPr>
            <w:r>
              <w:rPr>
                <w:rFonts w:hint="eastAsia" w:cs="Times New Roman"/>
                <w:b w:val="0"/>
                <w:bCs w:val="0"/>
                <w:color w:val="auto"/>
                <w:sz w:val="24"/>
                <w:lang w:val="en-US" w:eastAsia="zh-CN"/>
              </w:rPr>
              <w:t>2、首先调节立切机的左右可移动靠板，调节左右可移动靠板至刀口的距离（25mm）；</w:t>
            </w:r>
          </w:p>
          <w:p w14:paraId="0FE0F54A">
            <w:pPr>
              <w:keepNext w:val="0"/>
              <w:keepLines w:val="0"/>
              <w:suppressLineNumbers w:val="0"/>
              <w:spacing w:before="0" w:beforeAutospacing="0" w:after="0" w:afterAutospacing="0"/>
              <w:ind w:left="0" w:right="0"/>
              <w:rPr>
                <w:rFonts w:hint="eastAsia" w:cs="Times New Roman"/>
                <w:b w:val="0"/>
                <w:bCs w:val="0"/>
                <w:color w:val="auto"/>
                <w:sz w:val="24"/>
                <w:lang w:val="en-US" w:eastAsia="zh-CN"/>
              </w:rPr>
            </w:pPr>
            <w:r>
              <w:rPr>
                <w:rFonts w:hint="eastAsia" w:cs="Times New Roman"/>
                <w:b w:val="0"/>
                <w:bCs w:val="0"/>
                <w:color w:val="auto"/>
                <w:sz w:val="24"/>
                <w:lang w:val="en-US" w:eastAsia="zh-CN"/>
              </w:rPr>
              <w:t>3、推动工作台面前后移动，多点测量靠板至刀口的距离，均为25mm时，拧紧靠板固定螺丝；</w:t>
            </w:r>
          </w:p>
          <w:p w14:paraId="737022ED">
            <w:pPr>
              <w:keepNext w:val="0"/>
              <w:keepLines w:val="0"/>
              <w:suppressLineNumbers w:val="0"/>
              <w:spacing w:before="0" w:beforeAutospacing="0" w:after="0" w:afterAutospacing="0"/>
              <w:ind w:left="0" w:right="0"/>
              <w:rPr>
                <w:rFonts w:hint="eastAsia" w:cs="Times New Roman"/>
                <w:b w:val="0"/>
                <w:bCs w:val="0"/>
                <w:color w:val="auto"/>
                <w:sz w:val="24"/>
                <w:lang w:val="en-US" w:eastAsia="zh-CN"/>
              </w:rPr>
            </w:pPr>
            <w:r>
              <w:rPr>
                <w:rFonts w:hint="eastAsia" w:cs="Times New Roman"/>
                <w:b w:val="0"/>
                <w:bCs w:val="0"/>
                <w:color w:val="auto"/>
                <w:sz w:val="24"/>
                <w:lang w:val="en-US" w:eastAsia="zh-CN"/>
              </w:rPr>
              <w:t>4、在切割时要注意将木浆绵片与靠板靠紧，不得留有间隙，切割时应一次切割成型，中间不得有停留；</w:t>
            </w:r>
          </w:p>
          <w:p w14:paraId="6BCA52D5">
            <w:pPr>
              <w:keepNext w:val="0"/>
              <w:keepLines w:val="0"/>
              <w:suppressLineNumbers w:val="0"/>
              <w:spacing w:before="0" w:beforeAutospacing="0" w:after="0" w:afterAutospacing="0"/>
              <w:ind w:left="0" w:right="0"/>
              <w:rPr>
                <w:rFonts w:hint="eastAsia" w:cs="Times New Roman"/>
                <w:b w:val="0"/>
                <w:bCs w:val="0"/>
                <w:color w:val="auto"/>
                <w:sz w:val="24"/>
                <w:lang w:val="en-US" w:eastAsia="zh-CN"/>
              </w:rPr>
            </w:pPr>
            <w:r>
              <w:rPr>
                <w:rFonts w:hint="eastAsia" w:cs="Times New Roman"/>
                <w:b w:val="0"/>
                <w:bCs w:val="0"/>
                <w:color w:val="auto"/>
                <w:sz w:val="24"/>
                <w:lang w:val="en-US" w:eastAsia="zh-CN"/>
              </w:rPr>
              <w:t>5、切割完成的木浆绵片应当随机进行抽查，发现不合格的禁止进入下一个工序。</w:t>
            </w:r>
          </w:p>
          <w:p w14:paraId="204C4448">
            <w:pPr>
              <w:keepNext w:val="0"/>
              <w:keepLines w:val="0"/>
              <w:suppressLineNumbers w:val="0"/>
              <w:spacing w:before="0" w:beforeAutospacing="0" w:after="0" w:afterAutospacing="0"/>
              <w:ind w:left="0" w:right="0"/>
              <w:rPr>
                <w:rFonts w:hint="default" w:cs="Times New Roman"/>
                <w:b w:val="0"/>
                <w:bCs w:val="0"/>
                <w:color w:val="auto"/>
                <w:sz w:val="24"/>
                <w:lang w:val="en-US" w:eastAsia="zh-CN"/>
              </w:rPr>
            </w:pPr>
            <w:r>
              <w:rPr>
                <w:rFonts w:hint="eastAsia" w:cs="Times New Roman"/>
                <w:b w:val="0"/>
                <w:bCs w:val="0"/>
                <w:color w:val="auto"/>
                <w:sz w:val="24"/>
                <w:lang w:val="en-US" w:eastAsia="zh-CN"/>
              </w:rPr>
              <w:t>立切过程中产生少量切割颗粒物（G2-2）及边角料（S2-2）。</w:t>
            </w:r>
          </w:p>
          <w:p w14:paraId="2054E578">
            <w:pPr>
              <w:keepNext w:val="0"/>
              <w:keepLines w:val="0"/>
              <w:suppressLineNumbers w:val="0"/>
              <w:spacing w:before="0" w:beforeAutospacing="0" w:after="0" w:afterAutospacing="0"/>
              <w:ind w:left="0" w:right="0"/>
              <w:rPr>
                <w:rFonts w:hint="eastAsia" w:cs="Times New Roman"/>
                <w:b w:val="0"/>
                <w:bCs w:val="0"/>
                <w:color w:val="auto"/>
                <w:sz w:val="24"/>
                <w:lang w:val="en-US" w:eastAsia="zh-CN"/>
              </w:rPr>
            </w:pPr>
            <w:r>
              <w:rPr>
                <w:rFonts w:hint="eastAsia" w:cs="Times New Roman"/>
                <w:b/>
                <w:bCs/>
                <w:color w:val="auto"/>
                <w:sz w:val="24"/>
                <w:lang w:val="en-US" w:eastAsia="zh-CN"/>
              </w:rPr>
              <w:t>四、切槽工序</w:t>
            </w:r>
          </w:p>
          <w:p w14:paraId="0F7B3F0E">
            <w:pPr>
              <w:keepNext w:val="0"/>
              <w:keepLines w:val="0"/>
              <w:suppressLineNumbers w:val="0"/>
              <w:spacing w:before="0" w:beforeAutospacing="0" w:after="0" w:afterAutospacing="0"/>
              <w:ind w:left="0" w:right="0"/>
              <w:rPr>
                <w:rFonts w:hint="eastAsia" w:cs="Times New Roman"/>
                <w:b w:val="0"/>
                <w:bCs w:val="0"/>
                <w:color w:val="auto"/>
                <w:sz w:val="24"/>
                <w:lang w:val="en-US" w:eastAsia="zh-CN"/>
              </w:rPr>
            </w:pPr>
            <w:r>
              <w:rPr>
                <w:rFonts w:hint="eastAsia" w:cs="Times New Roman"/>
                <w:b w:val="0"/>
                <w:bCs w:val="0"/>
                <w:color w:val="auto"/>
                <w:sz w:val="24"/>
                <w:lang w:val="en-US" w:eastAsia="zh-CN"/>
              </w:rPr>
              <w:t>1、在对材料进行切槽之前应先检查切槽机是否正常，检验皮带是否紧固，电机是否正常，操作台表面是否清洁；</w:t>
            </w:r>
          </w:p>
          <w:p w14:paraId="4B1CCD08">
            <w:pPr>
              <w:keepNext w:val="0"/>
              <w:keepLines w:val="0"/>
              <w:suppressLineNumbers w:val="0"/>
              <w:spacing w:before="0" w:beforeAutospacing="0" w:after="0" w:afterAutospacing="0"/>
              <w:ind w:left="0" w:right="0"/>
              <w:rPr>
                <w:rFonts w:hint="eastAsia" w:cs="Times New Roman"/>
                <w:b w:val="0"/>
                <w:bCs w:val="0"/>
                <w:color w:val="auto"/>
                <w:sz w:val="24"/>
                <w:lang w:val="en-US" w:eastAsia="zh-CN"/>
              </w:rPr>
            </w:pPr>
            <w:r>
              <w:rPr>
                <w:rFonts w:hint="eastAsia" w:cs="Times New Roman"/>
                <w:b w:val="0"/>
                <w:bCs w:val="0"/>
                <w:color w:val="auto"/>
                <w:sz w:val="24"/>
                <w:lang w:val="en-US" w:eastAsia="zh-CN"/>
              </w:rPr>
              <w:t>2、拧松工件紧固螺丝，将立切完毕的膨胀条放入切槽内，然后拧紧工件紧固螺丝；</w:t>
            </w:r>
          </w:p>
          <w:p w14:paraId="7EDD5EA0">
            <w:pPr>
              <w:keepNext w:val="0"/>
              <w:keepLines w:val="0"/>
              <w:suppressLineNumbers w:val="0"/>
              <w:spacing w:before="0" w:beforeAutospacing="0" w:after="0" w:afterAutospacing="0"/>
              <w:ind w:left="0" w:right="0"/>
              <w:rPr>
                <w:rFonts w:hint="eastAsia" w:cs="Times New Roman"/>
                <w:b w:val="0"/>
                <w:bCs w:val="0"/>
                <w:color w:val="auto"/>
                <w:sz w:val="24"/>
                <w:lang w:val="en-US" w:eastAsia="zh-CN"/>
              </w:rPr>
            </w:pPr>
            <w:r>
              <w:rPr>
                <w:rFonts w:hint="eastAsia" w:cs="Times New Roman"/>
                <w:b w:val="0"/>
                <w:bCs w:val="0"/>
                <w:color w:val="auto"/>
                <w:sz w:val="24"/>
                <w:lang w:val="en-US" w:eastAsia="zh-CN"/>
              </w:rPr>
              <w:t>3、向下扳动操作把手，将工件夹带入1号切槽位，然后向前推动操作把手，对膨胀条进行第一次切槽；</w:t>
            </w:r>
          </w:p>
          <w:p w14:paraId="540AFDC1">
            <w:pPr>
              <w:keepNext w:val="0"/>
              <w:keepLines w:val="0"/>
              <w:suppressLineNumbers w:val="0"/>
              <w:spacing w:before="0" w:beforeAutospacing="0" w:after="0" w:afterAutospacing="0"/>
              <w:ind w:left="0" w:right="0"/>
              <w:rPr>
                <w:rFonts w:hint="eastAsia" w:cs="Times New Roman"/>
                <w:b w:val="0"/>
                <w:bCs w:val="0"/>
                <w:color w:val="auto"/>
                <w:sz w:val="24"/>
                <w:lang w:val="en-US" w:eastAsia="zh-CN"/>
              </w:rPr>
            </w:pPr>
            <w:r>
              <w:rPr>
                <w:rFonts w:hint="eastAsia" w:cs="Times New Roman"/>
                <w:b w:val="0"/>
                <w:bCs w:val="0"/>
                <w:color w:val="auto"/>
                <w:sz w:val="24"/>
                <w:lang w:val="en-US" w:eastAsia="zh-CN"/>
              </w:rPr>
              <w:t>4，第一次切槽完毕后，将工件夹带入2号切槽位，对膨胀条进行第二次切槽；</w:t>
            </w:r>
          </w:p>
          <w:p w14:paraId="6F706534">
            <w:pPr>
              <w:keepNext w:val="0"/>
              <w:keepLines w:val="0"/>
              <w:suppressLineNumbers w:val="0"/>
              <w:spacing w:before="0" w:beforeAutospacing="0" w:after="0" w:afterAutospacing="0"/>
              <w:ind w:left="0" w:right="0"/>
              <w:rPr>
                <w:rFonts w:hint="eastAsia" w:cs="Times New Roman"/>
                <w:b w:val="0"/>
                <w:bCs w:val="0"/>
                <w:color w:val="auto"/>
                <w:sz w:val="24"/>
                <w:lang w:val="en-US" w:eastAsia="zh-CN"/>
              </w:rPr>
            </w:pPr>
            <w:r>
              <w:rPr>
                <w:rFonts w:hint="eastAsia" w:cs="Times New Roman"/>
                <w:b w:val="0"/>
                <w:bCs w:val="0"/>
                <w:color w:val="auto"/>
                <w:sz w:val="24"/>
                <w:lang w:val="en-US" w:eastAsia="zh-CN"/>
              </w:rPr>
              <w:t>5，在两次切槽过程中应保证用力均匀，在前推切槽时应当将工件夹推倒底。</w:t>
            </w:r>
          </w:p>
          <w:p w14:paraId="48D7D1BC">
            <w:pPr>
              <w:keepNext w:val="0"/>
              <w:keepLines w:val="0"/>
              <w:suppressLineNumbers w:val="0"/>
              <w:spacing w:before="0" w:beforeAutospacing="0" w:after="0" w:afterAutospacing="0"/>
              <w:ind w:left="0" w:right="0"/>
              <w:rPr>
                <w:rFonts w:hint="eastAsia" w:cs="Times New Roman"/>
                <w:b w:val="0"/>
                <w:bCs w:val="0"/>
                <w:color w:val="auto"/>
                <w:sz w:val="24"/>
                <w:lang w:val="en-US" w:eastAsia="zh-CN"/>
              </w:rPr>
            </w:pPr>
            <w:r>
              <w:rPr>
                <w:rFonts w:hint="eastAsia" w:cs="Times New Roman"/>
                <w:b w:val="0"/>
                <w:bCs w:val="0"/>
                <w:color w:val="auto"/>
                <w:sz w:val="24"/>
                <w:lang w:val="en-US" w:eastAsia="zh-CN"/>
              </w:rPr>
              <w:t>切槽过程中产生少量切割颗粒物（G2-3）及边角料（S2-3）。</w:t>
            </w:r>
          </w:p>
          <w:p w14:paraId="54F1D324">
            <w:pPr>
              <w:keepNext w:val="0"/>
              <w:keepLines w:val="0"/>
              <w:suppressLineNumbers w:val="0"/>
              <w:spacing w:before="0" w:beforeAutospacing="0" w:after="0" w:afterAutospacing="0"/>
              <w:ind w:left="0" w:right="0"/>
              <w:rPr>
                <w:rFonts w:hint="eastAsia" w:cs="Times New Roman"/>
                <w:b/>
                <w:bCs/>
                <w:color w:val="auto"/>
                <w:sz w:val="24"/>
                <w:lang w:val="en-US" w:eastAsia="zh-CN"/>
              </w:rPr>
            </w:pPr>
            <w:r>
              <w:rPr>
                <w:rFonts w:hint="eastAsia" w:cs="Times New Roman"/>
                <w:b/>
                <w:bCs/>
                <w:color w:val="auto"/>
                <w:sz w:val="24"/>
                <w:lang w:val="en-US" w:eastAsia="zh-CN"/>
              </w:rPr>
              <w:t>五、压制工序</w:t>
            </w:r>
          </w:p>
          <w:p w14:paraId="34FDECED">
            <w:pPr>
              <w:keepNext w:val="0"/>
              <w:keepLines w:val="0"/>
              <w:suppressLineNumbers w:val="0"/>
              <w:spacing w:before="0" w:beforeAutospacing="0" w:after="0" w:afterAutospacing="0"/>
              <w:ind w:left="0" w:right="0"/>
              <w:rPr>
                <w:rFonts w:hint="eastAsia" w:cs="Times New Roman"/>
                <w:b w:val="0"/>
                <w:bCs w:val="0"/>
                <w:color w:val="auto"/>
                <w:sz w:val="24"/>
                <w:lang w:val="en-US" w:eastAsia="zh-CN"/>
              </w:rPr>
            </w:pPr>
            <w:r>
              <w:rPr>
                <w:rFonts w:hint="eastAsia" w:cs="Times New Roman"/>
                <w:b w:val="0"/>
                <w:bCs w:val="0"/>
                <w:color w:val="auto"/>
                <w:sz w:val="24"/>
                <w:lang w:val="en-US" w:eastAsia="zh-CN"/>
              </w:rPr>
              <w:t>1、在对材料进行压制之前应先检查液压机是否正常，检查电源指示是否正常，电机声响是否正常，操作台表面是否清洁；</w:t>
            </w:r>
          </w:p>
          <w:p w14:paraId="07F7B17C">
            <w:pPr>
              <w:keepNext w:val="0"/>
              <w:keepLines w:val="0"/>
              <w:suppressLineNumbers w:val="0"/>
              <w:spacing w:before="0" w:beforeAutospacing="0" w:after="0" w:afterAutospacing="0"/>
              <w:ind w:left="0" w:right="0"/>
              <w:rPr>
                <w:rFonts w:hint="eastAsia" w:cs="Times New Roman"/>
                <w:b w:val="0"/>
                <w:bCs w:val="0"/>
                <w:color w:val="auto"/>
                <w:sz w:val="24"/>
                <w:lang w:val="en-US" w:eastAsia="zh-CN"/>
              </w:rPr>
            </w:pPr>
            <w:r>
              <w:rPr>
                <w:rFonts w:hint="eastAsia" w:cs="Times New Roman"/>
                <w:b w:val="0"/>
                <w:bCs w:val="0"/>
                <w:color w:val="auto"/>
                <w:sz w:val="24"/>
                <w:lang w:val="en-US" w:eastAsia="zh-CN"/>
              </w:rPr>
              <w:t>2、打开液压机电机后应当先预热5分钟左右，然后再进行压制；</w:t>
            </w:r>
          </w:p>
          <w:p w14:paraId="66D05E81">
            <w:pPr>
              <w:keepNext w:val="0"/>
              <w:keepLines w:val="0"/>
              <w:suppressLineNumbers w:val="0"/>
              <w:spacing w:before="0" w:beforeAutospacing="0" w:after="0" w:afterAutospacing="0"/>
              <w:ind w:left="0" w:right="0"/>
              <w:rPr>
                <w:rFonts w:hint="eastAsia" w:cs="Times New Roman"/>
                <w:b w:val="0"/>
                <w:bCs w:val="0"/>
                <w:color w:val="auto"/>
                <w:sz w:val="24"/>
                <w:lang w:val="en-US" w:eastAsia="zh-CN"/>
              </w:rPr>
            </w:pPr>
            <w:r>
              <w:rPr>
                <w:rFonts w:hint="eastAsia" w:cs="Times New Roman"/>
                <w:b w:val="0"/>
                <w:bCs w:val="0"/>
                <w:color w:val="auto"/>
                <w:sz w:val="24"/>
                <w:lang w:val="en-US" w:eastAsia="zh-CN"/>
              </w:rPr>
              <w:t>3、将需要压制的半成品放入液压机的操作台表面上，注意应当将半成品放入液压机的中间位置，以免压制成型的膨胀条厚度不均匀；</w:t>
            </w:r>
          </w:p>
          <w:p w14:paraId="22983F5D">
            <w:pPr>
              <w:keepNext w:val="0"/>
              <w:keepLines w:val="0"/>
              <w:suppressLineNumbers w:val="0"/>
              <w:spacing w:before="0" w:beforeAutospacing="0" w:after="0" w:afterAutospacing="0"/>
              <w:ind w:left="0" w:right="0"/>
              <w:rPr>
                <w:rFonts w:hint="eastAsia" w:cs="Times New Roman"/>
                <w:b w:val="0"/>
                <w:bCs w:val="0"/>
                <w:color w:val="auto"/>
                <w:sz w:val="24"/>
                <w:lang w:val="en-US" w:eastAsia="zh-CN"/>
              </w:rPr>
            </w:pPr>
            <w:r>
              <w:rPr>
                <w:rFonts w:hint="eastAsia" w:cs="Times New Roman"/>
                <w:b w:val="0"/>
                <w:bCs w:val="0"/>
                <w:color w:val="auto"/>
                <w:sz w:val="24"/>
                <w:lang w:val="en-US" w:eastAsia="zh-CN"/>
              </w:rPr>
              <w:t>4、在压制时应当按双手压制，以免发生事故，另外操作台上还有紧急停止按钮，在出现紧急情况时可以停止液压机的运转。</w:t>
            </w:r>
          </w:p>
          <w:p w14:paraId="662CFC04">
            <w:pPr>
              <w:keepNext w:val="0"/>
              <w:keepLines w:val="0"/>
              <w:suppressLineNumbers w:val="0"/>
              <w:spacing w:before="0" w:beforeAutospacing="0" w:after="0" w:afterAutospacing="0"/>
              <w:ind w:left="0" w:right="0"/>
              <w:rPr>
                <w:rFonts w:hint="eastAsia" w:cs="Times New Roman"/>
                <w:b/>
                <w:bCs/>
                <w:color w:val="auto"/>
                <w:sz w:val="24"/>
                <w:lang w:val="en-US" w:eastAsia="zh-CN"/>
              </w:rPr>
            </w:pPr>
            <w:r>
              <w:rPr>
                <w:rFonts w:hint="eastAsia" w:cs="Times New Roman"/>
                <w:b/>
                <w:bCs/>
                <w:color w:val="auto"/>
                <w:sz w:val="24"/>
                <w:lang w:val="en-US" w:eastAsia="zh-CN"/>
              </w:rPr>
              <w:t>六、包装工序</w:t>
            </w:r>
          </w:p>
          <w:p w14:paraId="02A2494C">
            <w:pPr>
              <w:keepNext w:val="0"/>
              <w:keepLines w:val="0"/>
              <w:suppressLineNumbers w:val="0"/>
              <w:spacing w:before="0" w:beforeAutospacing="0" w:after="0" w:afterAutospacing="0"/>
              <w:ind w:left="0" w:right="0"/>
              <w:rPr>
                <w:rFonts w:hint="eastAsia" w:cs="Times New Roman"/>
                <w:b w:val="0"/>
                <w:bCs w:val="0"/>
                <w:color w:val="auto"/>
                <w:sz w:val="24"/>
                <w:lang w:val="en-US" w:eastAsia="zh-CN"/>
              </w:rPr>
            </w:pPr>
            <w:r>
              <w:rPr>
                <w:rFonts w:hint="eastAsia" w:cs="Times New Roman"/>
                <w:b w:val="0"/>
                <w:bCs w:val="0"/>
                <w:color w:val="auto"/>
                <w:sz w:val="24"/>
                <w:lang w:val="en-US" w:eastAsia="zh-CN"/>
              </w:rPr>
              <w:t>1、在对成品进行包装之前应先检查包装机是否正常，检查电源指示是否正常，包装机操作台面是否清洁；</w:t>
            </w:r>
          </w:p>
          <w:p w14:paraId="6D47C856">
            <w:pPr>
              <w:keepNext w:val="0"/>
              <w:keepLines w:val="0"/>
              <w:suppressLineNumbers w:val="0"/>
              <w:spacing w:before="0" w:beforeAutospacing="0" w:after="0" w:afterAutospacing="0"/>
              <w:ind w:left="0" w:right="0"/>
              <w:rPr>
                <w:rFonts w:hint="eastAsia" w:cs="Times New Roman"/>
                <w:b w:val="0"/>
                <w:bCs w:val="0"/>
                <w:color w:val="auto"/>
                <w:sz w:val="24"/>
                <w:lang w:val="en-US" w:eastAsia="zh-CN"/>
              </w:rPr>
            </w:pPr>
            <w:r>
              <w:rPr>
                <w:rFonts w:hint="eastAsia" w:cs="Times New Roman"/>
                <w:b w:val="0"/>
                <w:bCs w:val="0"/>
                <w:color w:val="auto"/>
                <w:sz w:val="24"/>
                <w:lang w:val="en-US" w:eastAsia="zh-CN"/>
              </w:rPr>
              <w:t>2、将压制成型的膨胀条以每包8条装入热收缩袋，在包装封口后放入包装机；</w:t>
            </w:r>
          </w:p>
          <w:p w14:paraId="0F576B86">
            <w:pPr>
              <w:keepNext w:val="0"/>
              <w:keepLines w:val="0"/>
              <w:suppressLineNumbers w:val="0"/>
              <w:spacing w:before="0" w:beforeAutospacing="0" w:after="0" w:afterAutospacing="0"/>
              <w:ind w:left="0" w:right="0"/>
              <w:rPr>
                <w:rFonts w:hint="eastAsia" w:cs="Times New Roman"/>
                <w:b w:val="0"/>
                <w:bCs w:val="0"/>
                <w:color w:val="auto"/>
                <w:sz w:val="24"/>
                <w:lang w:val="en-US" w:eastAsia="zh-CN"/>
              </w:rPr>
            </w:pPr>
            <w:r>
              <w:rPr>
                <w:rFonts w:hint="eastAsia" w:cs="Times New Roman"/>
                <w:b w:val="0"/>
                <w:bCs w:val="0"/>
                <w:color w:val="auto"/>
                <w:sz w:val="24"/>
                <w:lang w:val="en-US" w:eastAsia="zh-CN"/>
              </w:rPr>
              <w:t>3、经过包装机热收缩的成品要检查包装袋是否有破损，如有破损应当再加一只热收缩袋，重新包装。</w:t>
            </w:r>
          </w:p>
          <w:p w14:paraId="6C0EA7FD">
            <w:pPr>
              <w:keepNext w:val="0"/>
              <w:keepLines w:val="0"/>
              <w:suppressLineNumbers w:val="0"/>
              <w:spacing w:before="0" w:beforeAutospacing="0" w:after="0" w:afterAutospacing="0"/>
              <w:ind w:left="0" w:right="0"/>
              <w:rPr>
                <w:rFonts w:hint="default" w:ascii="Times New Roman" w:hAnsi="Times New Roman" w:eastAsia="宋体" w:cs="Times New Roman"/>
                <w:b/>
                <w:bCs/>
                <w:color w:val="auto"/>
                <w:sz w:val="24"/>
                <w:lang w:val="en-US" w:eastAsia="zh-CN"/>
              </w:rPr>
            </w:pPr>
            <w:r>
              <w:rPr>
                <w:rFonts w:hint="eastAsia" w:cs="Times New Roman"/>
                <w:b/>
                <w:bCs/>
                <w:color w:val="auto"/>
                <w:sz w:val="24"/>
                <w:lang w:val="en-US" w:eastAsia="zh-CN"/>
              </w:rPr>
              <w:t>五、检验</w:t>
            </w:r>
          </w:p>
          <w:p w14:paraId="2F998191">
            <w:pPr>
              <w:keepNext w:val="0"/>
              <w:keepLines w:val="0"/>
              <w:suppressLineNumbers w:val="0"/>
              <w:spacing w:before="0" w:beforeAutospacing="0" w:after="0" w:afterAutospacing="0"/>
              <w:ind w:left="0" w:right="0"/>
              <w:rPr>
                <w:rFonts w:hint="default" w:ascii="Times New Roman" w:hAnsi="Times New Roman" w:cs="Times New Roman"/>
                <w:b w:val="0"/>
                <w:bCs w:val="0"/>
                <w:color w:val="auto"/>
                <w:sz w:val="24"/>
                <w:lang w:val="en-US" w:eastAsia="zh-CN"/>
              </w:rPr>
            </w:pPr>
            <w:r>
              <w:rPr>
                <w:rFonts w:hint="eastAsia" w:ascii="Times New Roman" w:hAnsi="Times New Roman" w:cs="Times New Roman"/>
                <w:b w:val="0"/>
                <w:bCs w:val="0"/>
                <w:color w:val="auto"/>
                <w:sz w:val="24"/>
                <w:lang w:val="en-US" w:eastAsia="zh-CN"/>
              </w:rPr>
              <w:t>抽取部分半成品进行检验，不合格的直接返工生产，直至检验合格后重新包装入库。</w:t>
            </w:r>
          </w:p>
          <w:p w14:paraId="2156FA13">
            <w:pPr>
              <w:keepNext w:val="0"/>
              <w:keepLines w:val="0"/>
              <w:suppressLineNumbers w:val="0"/>
              <w:spacing w:before="0" w:beforeAutospacing="0" w:after="0" w:afterAutospacing="0"/>
              <w:ind w:left="0" w:right="0"/>
              <w:rPr>
                <w:rFonts w:hint="default" w:ascii="Times New Roman" w:hAnsi="Times New Roman" w:eastAsia="宋体" w:cs="Times New Roman"/>
                <w:b/>
                <w:bCs/>
                <w:color w:val="auto"/>
                <w:sz w:val="24"/>
                <w:lang w:val="en-US" w:eastAsia="zh-CN"/>
              </w:rPr>
            </w:pPr>
            <w:r>
              <w:rPr>
                <w:rFonts w:hint="eastAsia" w:cs="Times New Roman"/>
                <w:b/>
                <w:bCs/>
                <w:color w:val="auto"/>
                <w:sz w:val="24"/>
                <w:lang w:val="en-US" w:eastAsia="zh-CN"/>
              </w:rPr>
              <w:t>六、成品入库</w:t>
            </w:r>
          </w:p>
          <w:p w14:paraId="74A1BDF3">
            <w:pPr>
              <w:keepNext w:val="0"/>
              <w:keepLines w:val="0"/>
              <w:suppressLineNumbers w:val="0"/>
              <w:spacing w:before="0" w:beforeAutospacing="0" w:after="0" w:afterAutospacing="0"/>
              <w:ind w:left="0" w:right="0"/>
              <w:rPr>
                <w:rFonts w:hint="eastAsia" w:cs="Times New Roman"/>
                <w:b/>
                <w:bCs/>
                <w:color w:val="auto"/>
                <w:sz w:val="24"/>
                <w:lang w:val="en-US" w:eastAsia="zh-CN"/>
              </w:rPr>
            </w:pPr>
            <w:r>
              <w:rPr>
                <w:rFonts w:hint="eastAsia" w:ascii="Times New Roman" w:hAnsi="Times New Roman" w:cs="Times New Roman"/>
                <w:b w:val="0"/>
                <w:bCs w:val="0"/>
                <w:color w:val="auto"/>
                <w:sz w:val="24"/>
                <w:lang w:val="en-US" w:eastAsia="zh-CN"/>
              </w:rPr>
              <w:t>检验合格的成品最终打包入库。</w:t>
            </w:r>
          </w:p>
          <w:p w14:paraId="1425FD7A">
            <w:pPr>
              <w:pStyle w:val="10"/>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360" w:lineRule="auto"/>
              <w:ind w:left="0" w:right="0" w:rightChars="0" w:firstLine="0" w:firstLineChars="0"/>
              <w:textAlignment w:val="auto"/>
              <w:rPr>
                <w:rFonts w:hint="default" w:ascii="Times New Roman" w:hAnsi="Times New Roman" w:eastAsia="宋体" w:cs="Times New Roman"/>
                <w:color w:val="auto"/>
                <w:sz w:val="24"/>
                <w:lang w:val="en-US" w:eastAsia="zh-CN"/>
              </w:rPr>
            </w:pPr>
          </w:p>
        </w:tc>
      </w:tr>
      <w:tr w14:paraId="498B3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7" w:type="pct"/>
            <w:vAlign w:val="center"/>
          </w:tcPr>
          <w:p w14:paraId="53F84EC3">
            <w:pPr>
              <w:keepNext w:val="0"/>
              <w:keepLines w:val="0"/>
              <w:suppressLineNumbers w:val="0"/>
              <w:spacing w:before="156" w:beforeAutospacing="0" w:after="0" w:afterAutospacing="0"/>
              <w:ind w:left="0" w:right="0" w:firstLine="0" w:firstLineChars="0"/>
              <w:jc w:val="center"/>
              <w:rPr>
                <w:rFonts w:hint="default" w:ascii="Times New Roman" w:hAnsi="Times New Roman" w:eastAsia="宋体" w:cs="Times New Roman"/>
                <w:b/>
                <w:bCs/>
                <w:color w:val="auto"/>
                <w:lang w:val="en-US" w:eastAsia="zh-CN"/>
              </w:rPr>
            </w:pPr>
            <w:r>
              <w:rPr>
                <w:rFonts w:hint="default" w:ascii="Times New Roman" w:hAnsi="Times New Roman" w:eastAsia="宋体" w:cs="Times New Roman"/>
                <w:b/>
                <w:bCs/>
                <w:color w:val="auto"/>
                <w:lang w:val="en-US" w:eastAsia="zh-CN"/>
              </w:rPr>
              <w:t>与项目有关的原有环境污染问题</w:t>
            </w:r>
          </w:p>
        </w:tc>
        <w:tc>
          <w:tcPr>
            <w:tcW w:w="4822" w:type="pct"/>
          </w:tcPr>
          <w:p w14:paraId="3E2D9852">
            <w:pPr>
              <w:pStyle w:val="10"/>
              <w:keepNext w:val="0"/>
              <w:keepLines w:val="0"/>
              <w:suppressLineNumbers w:val="0"/>
              <w:adjustRightInd w:val="0"/>
              <w:spacing w:before="157" w:beforeLines="50" w:beforeAutospacing="0" w:after="0" w:afterAutospacing="0" w:line="360" w:lineRule="auto"/>
              <w:ind w:left="0" w:right="0" w:firstLine="480"/>
              <w:jc w:val="left"/>
              <w:rPr>
                <w:rFonts w:hint="eastAsia" w:cs="Times New Roman"/>
                <w:color w:val="auto"/>
                <w:sz w:val="24"/>
                <w:szCs w:val="24"/>
                <w:lang w:val="en-US" w:eastAsia="zh-CN"/>
              </w:rPr>
            </w:pPr>
            <w:r>
              <w:rPr>
                <w:rFonts w:hint="eastAsia" w:cs="Times New Roman"/>
                <w:color w:val="auto"/>
                <w:sz w:val="24"/>
                <w:szCs w:val="24"/>
                <w:lang w:eastAsia="zh-CN"/>
              </w:rPr>
              <w:t>本项目为新建项目，无与本项目有关</w:t>
            </w:r>
            <w:r>
              <w:rPr>
                <w:rFonts w:hint="eastAsia" w:cs="Times New Roman"/>
                <w:color w:val="auto"/>
                <w:sz w:val="24"/>
                <w:szCs w:val="24"/>
                <w:lang w:val="en-US" w:eastAsia="zh-CN"/>
              </w:rPr>
              <w:t>的原有环境污染问题。</w:t>
            </w:r>
          </w:p>
          <w:p w14:paraId="09CF819B">
            <w:pPr>
              <w:pStyle w:val="10"/>
              <w:keepNext w:val="0"/>
              <w:keepLines w:val="0"/>
              <w:suppressLineNumbers w:val="0"/>
              <w:adjustRightInd w:val="0"/>
              <w:spacing w:before="157" w:beforeLines="50" w:beforeAutospacing="0" w:after="0" w:afterAutospacing="0" w:line="360" w:lineRule="auto"/>
              <w:ind w:left="0" w:right="0" w:firstLine="480"/>
              <w:jc w:val="left"/>
              <w:rPr>
                <w:rFonts w:hint="eastAsia" w:cs="Times New Roman"/>
                <w:color w:val="auto"/>
                <w:sz w:val="24"/>
                <w:szCs w:val="24"/>
                <w:lang w:val="en-US" w:eastAsia="zh-CN"/>
              </w:rPr>
            </w:pPr>
          </w:p>
          <w:p w14:paraId="1C1F631F">
            <w:pPr>
              <w:pStyle w:val="10"/>
              <w:keepNext w:val="0"/>
              <w:keepLines w:val="0"/>
              <w:suppressLineNumbers w:val="0"/>
              <w:adjustRightInd w:val="0"/>
              <w:spacing w:before="157" w:beforeLines="50" w:beforeAutospacing="0" w:after="0" w:afterAutospacing="0" w:line="360" w:lineRule="auto"/>
              <w:ind w:left="0" w:right="0" w:firstLine="480"/>
              <w:jc w:val="left"/>
              <w:rPr>
                <w:rFonts w:hint="eastAsia" w:cs="Times New Roman"/>
                <w:color w:val="auto"/>
                <w:sz w:val="24"/>
                <w:szCs w:val="24"/>
                <w:lang w:val="en-US" w:eastAsia="zh-CN"/>
              </w:rPr>
            </w:pPr>
          </w:p>
          <w:p w14:paraId="6BA63A42">
            <w:pPr>
              <w:pStyle w:val="10"/>
              <w:keepNext w:val="0"/>
              <w:keepLines w:val="0"/>
              <w:suppressLineNumbers w:val="0"/>
              <w:adjustRightInd w:val="0"/>
              <w:spacing w:before="157" w:beforeLines="50" w:beforeAutospacing="0" w:after="0" w:afterAutospacing="0" w:line="360" w:lineRule="auto"/>
              <w:ind w:left="0" w:right="0" w:firstLine="480"/>
              <w:jc w:val="left"/>
              <w:rPr>
                <w:rFonts w:hint="eastAsia" w:cs="Times New Roman"/>
                <w:color w:val="auto"/>
                <w:sz w:val="24"/>
                <w:szCs w:val="24"/>
                <w:lang w:val="en-US" w:eastAsia="zh-CN"/>
              </w:rPr>
            </w:pPr>
          </w:p>
          <w:p w14:paraId="7BC46576">
            <w:pPr>
              <w:pStyle w:val="10"/>
              <w:keepNext w:val="0"/>
              <w:keepLines w:val="0"/>
              <w:suppressLineNumbers w:val="0"/>
              <w:adjustRightInd w:val="0"/>
              <w:spacing w:before="157" w:beforeLines="50" w:beforeAutospacing="0" w:after="0" w:afterAutospacing="0" w:line="360" w:lineRule="auto"/>
              <w:ind w:left="0" w:right="0" w:firstLine="480"/>
              <w:jc w:val="left"/>
              <w:rPr>
                <w:rFonts w:hint="eastAsia" w:cs="Times New Roman"/>
                <w:color w:val="auto"/>
                <w:sz w:val="24"/>
                <w:szCs w:val="24"/>
                <w:lang w:val="en-US" w:eastAsia="zh-CN"/>
              </w:rPr>
            </w:pPr>
          </w:p>
          <w:p w14:paraId="6A3B5C03">
            <w:pPr>
              <w:pStyle w:val="10"/>
              <w:keepNext w:val="0"/>
              <w:keepLines w:val="0"/>
              <w:suppressLineNumbers w:val="0"/>
              <w:adjustRightInd w:val="0"/>
              <w:spacing w:before="157" w:beforeLines="50" w:beforeAutospacing="0" w:after="0" w:afterAutospacing="0" w:line="360" w:lineRule="auto"/>
              <w:ind w:left="0" w:right="0" w:firstLine="480"/>
              <w:jc w:val="left"/>
              <w:rPr>
                <w:rFonts w:hint="eastAsia" w:cs="Times New Roman"/>
                <w:color w:val="auto"/>
                <w:sz w:val="24"/>
                <w:szCs w:val="24"/>
                <w:lang w:val="en-US" w:eastAsia="zh-CN"/>
              </w:rPr>
            </w:pPr>
          </w:p>
          <w:p w14:paraId="38AFF63F">
            <w:pPr>
              <w:pStyle w:val="10"/>
              <w:keepNext w:val="0"/>
              <w:keepLines w:val="0"/>
              <w:suppressLineNumbers w:val="0"/>
              <w:adjustRightInd w:val="0"/>
              <w:spacing w:before="157" w:beforeLines="50" w:beforeAutospacing="0" w:after="0" w:afterAutospacing="0" w:line="360" w:lineRule="auto"/>
              <w:ind w:left="0" w:right="0" w:firstLine="480"/>
              <w:jc w:val="left"/>
              <w:rPr>
                <w:rFonts w:hint="eastAsia" w:cs="Times New Roman"/>
                <w:color w:val="auto"/>
                <w:sz w:val="24"/>
                <w:szCs w:val="24"/>
                <w:lang w:val="en-US" w:eastAsia="zh-CN"/>
              </w:rPr>
            </w:pPr>
          </w:p>
          <w:p w14:paraId="1A87D00D">
            <w:pPr>
              <w:pStyle w:val="10"/>
              <w:keepNext w:val="0"/>
              <w:keepLines w:val="0"/>
              <w:suppressLineNumbers w:val="0"/>
              <w:adjustRightInd w:val="0"/>
              <w:spacing w:before="157" w:beforeLines="50" w:beforeAutospacing="0" w:after="0" w:afterAutospacing="0" w:line="360" w:lineRule="auto"/>
              <w:ind w:left="0" w:right="0" w:firstLine="480"/>
              <w:jc w:val="left"/>
              <w:rPr>
                <w:rFonts w:hint="eastAsia" w:cs="Times New Roman"/>
                <w:color w:val="auto"/>
                <w:sz w:val="24"/>
                <w:szCs w:val="24"/>
                <w:lang w:val="en-US" w:eastAsia="zh-CN"/>
              </w:rPr>
            </w:pPr>
          </w:p>
          <w:p w14:paraId="387344DB">
            <w:pPr>
              <w:pStyle w:val="10"/>
              <w:keepNext w:val="0"/>
              <w:keepLines w:val="0"/>
              <w:suppressLineNumbers w:val="0"/>
              <w:adjustRightInd w:val="0"/>
              <w:spacing w:before="157" w:beforeLines="50" w:beforeAutospacing="0" w:after="0" w:afterAutospacing="0" w:line="360" w:lineRule="auto"/>
              <w:ind w:left="0" w:right="0" w:firstLine="480"/>
              <w:jc w:val="left"/>
              <w:rPr>
                <w:rFonts w:hint="eastAsia" w:cs="Times New Roman"/>
                <w:color w:val="auto"/>
                <w:sz w:val="24"/>
                <w:szCs w:val="24"/>
                <w:lang w:val="en-US" w:eastAsia="zh-CN"/>
              </w:rPr>
            </w:pPr>
          </w:p>
          <w:p w14:paraId="03D0A7CB">
            <w:pPr>
              <w:pStyle w:val="10"/>
              <w:keepNext w:val="0"/>
              <w:keepLines w:val="0"/>
              <w:suppressLineNumbers w:val="0"/>
              <w:adjustRightInd w:val="0"/>
              <w:spacing w:before="157" w:beforeLines="50" w:beforeAutospacing="0" w:after="0" w:afterAutospacing="0" w:line="360" w:lineRule="auto"/>
              <w:ind w:left="0" w:right="0" w:firstLine="480"/>
              <w:jc w:val="left"/>
              <w:rPr>
                <w:rFonts w:hint="eastAsia" w:cs="Times New Roman"/>
                <w:color w:val="auto"/>
                <w:sz w:val="24"/>
                <w:szCs w:val="24"/>
                <w:lang w:val="en-US" w:eastAsia="zh-CN"/>
              </w:rPr>
            </w:pPr>
          </w:p>
          <w:p w14:paraId="4E785D25">
            <w:pPr>
              <w:pStyle w:val="10"/>
              <w:keepNext w:val="0"/>
              <w:keepLines w:val="0"/>
              <w:suppressLineNumbers w:val="0"/>
              <w:adjustRightInd w:val="0"/>
              <w:spacing w:before="157" w:beforeLines="50" w:beforeAutospacing="0" w:after="0" w:afterAutospacing="0" w:line="360" w:lineRule="auto"/>
              <w:ind w:left="0" w:right="0" w:firstLine="480"/>
              <w:jc w:val="left"/>
              <w:rPr>
                <w:rFonts w:hint="eastAsia" w:cs="Times New Roman"/>
                <w:color w:val="auto"/>
                <w:sz w:val="24"/>
                <w:szCs w:val="24"/>
                <w:lang w:val="en-US" w:eastAsia="zh-CN"/>
              </w:rPr>
            </w:pPr>
          </w:p>
          <w:p w14:paraId="273D78D8">
            <w:pPr>
              <w:pStyle w:val="10"/>
              <w:keepNext w:val="0"/>
              <w:keepLines w:val="0"/>
              <w:suppressLineNumbers w:val="0"/>
              <w:adjustRightInd w:val="0"/>
              <w:spacing w:before="157" w:beforeLines="50" w:beforeAutospacing="0" w:after="0" w:afterAutospacing="0" w:line="360" w:lineRule="auto"/>
              <w:ind w:left="0" w:right="0" w:firstLine="480"/>
              <w:jc w:val="left"/>
              <w:rPr>
                <w:rFonts w:hint="eastAsia" w:cs="Times New Roman"/>
                <w:color w:val="auto"/>
                <w:sz w:val="24"/>
                <w:szCs w:val="24"/>
                <w:lang w:val="en-US" w:eastAsia="zh-CN"/>
              </w:rPr>
            </w:pPr>
          </w:p>
          <w:p w14:paraId="6A5C479B">
            <w:pPr>
              <w:pStyle w:val="10"/>
              <w:keepNext w:val="0"/>
              <w:keepLines w:val="0"/>
              <w:suppressLineNumbers w:val="0"/>
              <w:adjustRightInd w:val="0"/>
              <w:spacing w:before="157" w:beforeLines="50" w:beforeAutospacing="0" w:after="0" w:afterAutospacing="0" w:line="360" w:lineRule="auto"/>
              <w:ind w:left="0" w:right="0" w:firstLine="480"/>
              <w:jc w:val="left"/>
              <w:rPr>
                <w:rFonts w:hint="eastAsia" w:cs="Times New Roman"/>
                <w:color w:val="auto"/>
                <w:sz w:val="24"/>
                <w:szCs w:val="24"/>
                <w:lang w:val="en-US" w:eastAsia="zh-CN"/>
              </w:rPr>
            </w:pPr>
          </w:p>
          <w:p w14:paraId="452395C3">
            <w:pPr>
              <w:pStyle w:val="10"/>
              <w:keepNext w:val="0"/>
              <w:keepLines w:val="0"/>
              <w:suppressLineNumbers w:val="0"/>
              <w:adjustRightInd w:val="0"/>
              <w:spacing w:before="157" w:beforeLines="50" w:beforeAutospacing="0" w:after="0" w:afterAutospacing="0" w:line="360" w:lineRule="auto"/>
              <w:ind w:left="0" w:right="0" w:firstLine="480"/>
              <w:jc w:val="left"/>
              <w:rPr>
                <w:rFonts w:hint="eastAsia" w:cs="Times New Roman"/>
                <w:color w:val="auto"/>
                <w:sz w:val="24"/>
                <w:szCs w:val="24"/>
                <w:lang w:val="en-US" w:eastAsia="zh-CN"/>
              </w:rPr>
            </w:pPr>
          </w:p>
          <w:p w14:paraId="3A647DF2">
            <w:pPr>
              <w:pStyle w:val="10"/>
              <w:keepNext w:val="0"/>
              <w:keepLines w:val="0"/>
              <w:suppressLineNumbers w:val="0"/>
              <w:adjustRightInd w:val="0"/>
              <w:spacing w:before="157" w:beforeLines="50" w:beforeAutospacing="0" w:after="0" w:afterAutospacing="0" w:line="360" w:lineRule="auto"/>
              <w:ind w:left="0" w:right="0" w:firstLine="480"/>
              <w:jc w:val="left"/>
              <w:rPr>
                <w:rFonts w:hint="eastAsia" w:cs="Times New Roman"/>
                <w:color w:val="auto"/>
                <w:sz w:val="24"/>
                <w:szCs w:val="24"/>
                <w:lang w:val="en-US" w:eastAsia="zh-CN"/>
              </w:rPr>
            </w:pPr>
          </w:p>
          <w:p w14:paraId="7C2058D6">
            <w:pPr>
              <w:pStyle w:val="10"/>
              <w:keepNext w:val="0"/>
              <w:keepLines w:val="0"/>
              <w:suppressLineNumbers w:val="0"/>
              <w:adjustRightInd w:val="0"/>
              <w:spacing w:before="157" w:beforeLines="50" w:beforeAutospacing="0" w:after="0" w:afterAutospacing="0" w:line="360" w:lineRule="auto"/>
              <w:ind w:left="0" w:right="0" w:firstLine="480"/>
              <w:jc w:val="left"/>
              <w:rPr>
                <w:rFonts w:hint="eastAsia" w:cs="Times New Roman"/>
                <w:color w:val="auto"/>
                <w:sz w:val="24"/>
                <w:szCs w:val="24"/>
                <w:lang w:val="en-US" w:eastAsia="zh-CN"/>
              </w:rPr>
            </w:pPr>
          </w:p>
          <w:p w14:paraId="4CF9DA8E">
            <w:pPr>
              <w:pStyle w:val="10"/>
              <w:keepNext w:val="0"/>
              <w:keepLines w:val="0"/>
              <w:suppressLineNumbers w:val="0"/>
              <w:adjustRightInd w:val="0"/>
              <w:spacing w:before="157" w:beforeLines="50" w:beforeAutospacing="0" w:after="0" w:afterAutospacing="0" w:line="360" w:lineRule="auto"/>
              <w:ind w:left="0" w:right="0" w:firstLine="480"/>
              <w:jc w:val="left"/>
              <w:rPr>
                <w:rFonts w:hint="eastAsia" w:cs="Times New Roman"/>
                <w:color w:val="auto"/>
                <w:sz w:val="24"/>
                <w:szCs w:val="24"/>
                <w:lang w:val="en-US" w:eastAsia="zh-CN"/>
              </w:rPr>
            </w:pPr>
          </w:p>
          <w:p w14:paraId="11B48FD0">
            <w:pPr>
              <w:pStyle w:val="10"/>
              <w:keepNext w:val="0"/>
              <w:keepLines w:val="0"/>
              <w:suppressLineNumbers w:val="0"/>
              <w:adjustRightInd w:val="0"/>
              <w:spacing w:before="157" w:beforeLines="50" w:beforeAutospacing="0" w:after="0" w:afterAutospacing="0" w:line="360" w:lineRule="auto"/>
              <w:ind w:left="0" w:right="0" w:firstLine="480"/>
              <w:jc w:val="left"/>
              <w:rPr>
                <w:rFonts w:hint="eastAsia" w:cs="Times New Roman"/>
                <w:color w:val="auto"/>
                <w:sz w:val="24"/>
                <w:szCs w:val="24"/>
                <w:lang w:val="en-US" w:eastAsia="zh-CN"/>
              </w:rPr>
            </w:pPr>
          </w:p>
          <w:p w14:paraId="53C60E91">
            <w:pPr>
              <w:pStyle w:val="10"/>
              <w:keepNext w:val="0"/>
              <w:keepLines w:val="0"/>
              <w:suppressLineNumbers w:val="0"/>
              <w:adjustRightInd w:val="0"/>
              <w:spacing w:before="157" w:beforeLines="50" w:beforeAutospacing="0" w:after="0" w:afterAutospacing="0" w:line="360" w:lineRule="auto"/>
              <w:ind w:left="0" w:right="0" w:firstLine="480"/>
              <w:jc w:val="left"/>
              <w:rPr>
                <w:rFonts w:hint="eastAsia" w:cs="Times New Roman"/>
                <w:color w:val="auto"/>
                <w:sz w:val="24"/>
                <w:szCs w:val="24"/>
                <w:lang w:val="en-US" w:eastAsia="zh-CN"/>
              </w:rPr>
            </w:pPr>
          </w:p>
          <w:p w14:paraId="120E11D0">
            <w:pPr>
              <w:pStyle w:val="10"/>
              <w:keepNext w:val="0"/>
              <w:keepLines w:val="0"/>
              <w:suppressLineNumbers w:val="0"/>
              <w:adjustRightInd w:val="0"/>
              <w:spacing w:before="157" w:beforeLines="50" w:beforeAutospacing="0" w:after="0" w:afterAutospacing="0" w:line="360" w:lineRule="auto"/>
              <w:ind w:left="0" w:right="0" w:firstLine="480"/>
              <w:jc w:val="left"/>
              <w:rPr>
                <w:rFonts w:hint="eastAsia" w:cs="Times New Roman"/>
                <w:color w:val="auto"/>
                <w:sz w:val="24"/>
                <w:szCs w:val="24"/>
                <w:lang w:val="en-US" w:eastAsia="zh-CN"/>
              </w:rPr>
            </w:pPr>
          </w:p>
          <w:p w14:paraId="2E9A9970">
            <w:pPr>
              <w:pStyle w:val="10"/>
              <w:keepNext w:val="0"/>
              <w:keepLines w:val="0"/>
              <w:suppressLineNumbers w:val="0"/>
              <w:adjustRightInd w:val="0"/>
              <w:spacing w:before="157" w:beforeLines="50" w:beforeAutospacing="0" w:after="0" w:afterAutospacing="0" w:line="360" w:lineRule="auto"/>
              <w:ind w:left="0" w:right="0" w:firstLine="480"/>
              <w:jc w:val="left"/>
              <w:rPr>
                <w:rFonts w:hint="eastAsia" w:cs="Times New Roman"/>
                <w:color w:val="auto"/>
                <w:sz w:val="24"/>
                <w:szCs w:val="24"/>
                <w:lang w:val="en-US" w:eastAsia="zh-CN"/>
              </w:rPr>
            </w:pPr>
          </w:p>
          <w:p w14:paraId="077701D4">
            <w:pPr>
              <w:pStyle w:val="10"/>
              <w:keepNext w:val="0"/>
              <w:keepLines w:val="0"/>
              <w:suppressLineNumbers w:val="0"/>
              <w:adjustRightInd w:val="0"/>
              <w:spacing w:before="157" w:beforeLines="50" w:beforeAutospacing="0" w:after="0" w:afterAutospacing="0" w:line="360" w:lineRule="auto"/>
              <w:ind w:left="0" w:right="0" w:firstLine="480"/>
              <w:jc w:val="left"/>
              <w:rPr>
                <w:rFonts w:hint="eastAsia" w:cs="Times New Roman"/>
                <w:color w:val="auto"/>
                <w:sz w:val="24"/>
                <w:szCs w:val="24"/>
                <w:lang w:val="en-US" w:eastAsia="zh-CN"/>
              </w:rPr>
            </w:pPr>
          </w:p>
          <w:p w14:paraId="5CC177C1">
            <w:pPr>
              <w:pStyle w:val="10"/>
              <w:keepNext w:val="0"/>
              <w:keepLines w:val="0"/>
              <w:suppressLineNumbers w:val="0"/>
              <w:adjustRightInd w:val="0"/>
              <w:spacing w:before="157" w:beforeLines="50" w:beforeAutospacing="0" w:after="0" w:afterAutospacing="0" w:line="360" w:lineRule="auto"/>
              <w:ind w:left="0" w:right="0" w:firstLine="480"/>
              <w:jc w:val="left"/>
              <w:rPr>
                <w:rFonts w:hint="default" w:ascii="Times New Roman" w:hAnsi="Times New Roman" w:eastAsia="宋体" w:cs="Times New Roman"/>
                <w:color w:val="auto"/>
                <w:sz w:val="24"/>
                <w:szCs w:val="24"/>
                <w:lang w:val="en-US" w:eastAsia="zh-CN"/>
              </w:rPr>
            </w:pPr>
          </w:p>
          <w:p w14:paraId="6526E83F">
            <w:pPr>
              <w:keepNext w:val="0"/>
              <w:keepLines w:val="0"/>
              <w:suppressLineNumbers w:val="0"/>
              <w:bidi w:val="0"/>
              <w:spacing w:before="0" w:beforeAutospacing="0" w:after="0" w:afterAutospacing="0"/>
              <w:ind w:left="0" w:leftChars="0" w:right="0" w:firstLine="0" w:firstLineChars="0"/>
              <w:rPr>
                <w:rFonts w:hint="default" w:ascii="Times New Roman" w:hAnsi="Times New Roman" w:eastAsia="宋体" w:cs="Times New Roman"/>
                <w:color w:val="auto"/>
                <w:lang w:val="en-US" w:eastAsia="zh-CN"/>
              </w:rPr>
            </w:pPr>
          </w:p>
        </w:tc>
      </w:tr>
    </w:tbl>
    <w:p w14:paraId="4686137F">
      <w:pPr>
        <w:rPr>
          <w:rFonts w:hint="default" w:ascii="Times New Roman" w:hAnsi="Times New Roman" w:eastAsia="宋体" w:cs="Times New Roman"/>
          <w:color w:val="auto"/>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4D62FC90">
      <w:pPr>
        <w:numPr>
          <w:ilvl w:val="0"/>
          <w:numId w:val="0"/>
        </w:numPr>
        <w:spacing w:line="240" w:lineRule="auto"/>
        <w:ind w:firstLine="0" w:firstLineChars="0"/>
        <w:jc w:val="center"/>
        <w:outlineLvl w:val="0"/>
        <w:rPr>
          <w:rFonts w:hint="default" w:ascii="Times New Roman" w:hAnsi="Times New Roman" w:eastAsia="宋体" w:cs="Times New Roman"/>
          <w:b/>
          <w:bCs/>
          <w:color w:val="auto"/>
          <w:sz w:val="28"/>
          <w:szCs w:val="28"/>
        </w:rPr>
      </w:pPr>
      <w:bookmarkStart w:id="10" w:name="_Toc16299"/>
      <w:bookmarkStart w:id="11" w:name="_Toc11504"/>
      <w:r>
        <w:rPr>
          <w:rFonts w:hint="default" w:ascii="Times New Roman" w:hAnsi="Times New Roman" w:eastAsia="宋体" w:cs="Times New Roman"/>
          <w:b/>
          <w:bCs/>
          <w:color w:val="auto"/>
          <w:kern w:val="2"/>
          <w:sz w:val="28"/>
          <w:szCs w:val="28"/>
          <w:lang w:val="en-US" w:eastAsia="zh-CN" w:bidi="ar-SA"/>
        </w:rPr>
        <w:t>三、</w:t>
      </w:r>
      <w:r>
        <w:rPr>
          <w:rFonts w:hint="default" w:ascii="Times New Roman" w:hAnsi="Times New Roman" w:eastAsia="宋体" w:cs="Times New Roman"/>
          <w:b/>
          <w:bCs/>
          <w:color w:val="auto"/>
          <w:sz w:val="28"/>
          <w:szCs w:val="28"/>
          <w:lang w:val="en-US" w:eastAsia="zh-CN"/>
        </w:rPr>
        <w:t>区域环境质量现状、环境保护目标及评价标准</w:t>
      </w:r>
      <w:bookmarkEnd w:id="10"/>
      <w:bookmarkEnd w:id="11"/>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0"/>
        <w:gridCol w:w="8062"/>
      </w:tblGrid>
      <w:tr w14:paraId="20BD9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0" w:type="dxa"/>
            <w:vAlign w:val="center"/>
          </w:tcPr>
          <w:p w14:paraId="2CBA767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vertAlign w:val="baseline"/>
                <w:lang w:val="en-US" w:eastAsia="zh-CN"/>
              </w:rPr>
            </w:pPr>
            <w:r>
              <w:rPr>
                <w:rFonts w:hint="default" w:ascii="Times New Roman" w:hAnsi="Times New Roman" w:eastAsia="宋体" w:cs="Times New Roman"/>
                <w:b/>
                <w:bCs/>
                <w:color w:val="auto"/>
                <w:vertAlign w:val="baseline"/>
                <w:lang w:val="en-US" w:eastAsia="zh-CN"/>
              </w:rPr>
              <w:t>区域环境质量现状</w:t>
            </w:r>
          </w:p>
        </w:tc>
        <w:tc>
          <w:tcPr>
            <w:tcW w:w="8062" w:type="dxa"/>
          </w:tcPr>
          <w:p w14:paraId="2A9C6B94">
            <w:pPr>
              <w:keepNext w:val="0"/>
              <w:keepLines w:val="0"/>
              <w:numPr>
                <w:ilvl w:val="0"/>
                <w:numId w:val="8"/>
              </w:numPr>
              <w:suppressLineNumbers w:val="0"/>
              <w:bidi w:val="0"/>
              <w:spacing w:before="0" w:beforeAutospacing="0" w:after="0" w:afterAutospacing="0"/>
              <w:ind w:left="0" w:right="0"/>
              <w:rPr>
                <w:rFonts w:hint="default" w:ascii="Times New Roman" w:hAnsi="Times New Roman" w:eastAsia="宋体" w:cs="Times New Roman"/>
                <w:b/>
                <w:bCs/>
                <w:color w:val="auto"/>
                <w:lang w:val="en-US" w:eastAsia="zh-CN"/>
              </w:rPr>
            </w:pPr>
            <w:r>
              <w:rPr>
                <w:rFonts w:hint="default" w:ascii="Times New Roman" w:hAnsi="Times New Roman" w:eastAsia="宋体" w:cs="Times New Roman"/>
                <w:b/>
                <w:bCs/>
                <w:color w:val="auto"/>
                <w:lang w:val="en-US" w:eastAsia="zh-CN"/>
              </w:rPr>
              <w:t>大气环境质量现状</w:t>
            </w:r>
          </w:p>
          <w:p w14:paraId="4193DAA6">
            <w:pPr>
              <w:keepNext w:val="0"/>
              <w:keepLines w:val="0"/>
              <w:suppressLineNumbers w:val="0"/>
              <w:bidi w:val="0"/>
              <w:spacing w:before="0" w:beforeAutospacing="0" w:after="0" w:afterAutospacing="0"/>
              <w:ind w:left="0" w:right="0"/>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（1）项目所在区域达标判断</w:t>
            </w:r>
          </w:p>
          <w:p w14:paraId="12A620D0">
            <w:pPr>
              <w:keepNext w:val="0"/>
              <w:keepLines w:val="0"/>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kern w:val="0"/>
                <w:sz w:val="24"/>
              </w:rPr>
            </w:pPr>
            <w:r>
              <w:rPr>
                <w:rFonts w:hint="default" w:ascii="Times New Roman" w:hAnsi="Times New Roman" w:eastAsia="宋体" w:cs="Times New Roman"/>
                <w:color w:val="auto"/>
                <w:kern w:val="0"/>
                <w:sz w:val="24"/>
              </w:rPr>
              <w:t>根据淮安市生态环境局2024年6月5日发布的《2023年淮安市生态环境状况公报》，2023年，全市细颗粒物（PM</w:t>
            </w:r>
            <w:r>
              <w:rPr>
                <w:rFonts w:hint="default" w:ascii="Times New Roman" w:hAnsi="Times New Roman" w:eastAsia="宋体" w:cs="Times New Roman"/>
                <w:color w:val="auto"/>
                <w:kern w:val="0"/>
                <w:sz w:val="24"/>
                <w:vertAlign w:val="subscript"/>
                <w:lang w:val="en-US" w:eastAsia="zh-CN"/>
              </w:rPr>
              <w:t>2.</w:t>
            </w:r>
            <w:r>
              <w:rPr>
                <w:rFonts w:hint="default" w:ascii="Times New Roman" w:hAnsi="Times New Roman" w:eastAsia="宋体" w:cs="Times New Roman"/>
                <w:color w:val="auto"/>
                <w:kern w:val="0"/>
                <w:sz w:val="24"/>
                <w:vertAlign w:val="subscript"/>
              </w:rPr>
              <w:t>5</w:t>
            </w:r>
            <w:r>
              <w:rPr>
                <w:rFonts w:hint="default" w:ascii="Times New Roman" w:hAnsi="Times New Roman" w:eastAsia="宋体" w:cs="Times New Roman"/>
                <w:color w:val="auto"/>
                <w:kern w:val="0"/>
                <w:sz w:val="24"/>
              </w:rPr>
              <w:t>）、可吸入颗粒物（PM</w:t>
            </w:r>
            <w:r>
              <w:rPr>
                <w:rFonts w:hint="default" w:ascii="Times New Roman" w:hAnsi="Times New Roman" w:eastAsia="宋体" w:cs="Times New Roman"/>
                <w:color w:val="auto"/>
                <w:kern w:val="0"/>
                <w:sz w:val="24"/>
                <w:vertAlign w:val="subscript"/>
              </w:rPr>
              <w:t>10</w:t>
            </w:r>
            <w:r>
              <w:rPr>
                <w:rFonts w:hint="default" w:ascii="Times New Roman" w:hAnsi="Times New Roman" w:eastAsia="宋体" w:cs="Times New Roman"/>
                <w:color w:val="auto"/>
                <w:kern w:val="0"/>
                <w:sz w:val="24"/>
              </w:rPr>
              <w:t>）、二氧化硫（SO</w:t>
            </w:r>
            <w:r>
              <w:rPr>
                <w:rFonts w:hint="default" w:ascii="Times New Roman" w:hAnsi="Times New Roman" w:eastAsia="宋体" w:cs="Times New Roman"/>
                <w:color w:val="auto"/>
                <w:kern w:val="0"/>
                <w:sz w:val="24"/>
                <w:vertAlign w:val="subscript"/>
              </w:rPr>
              <w:t>2</w:t>
            </w:r>
            <w:r>
              <w:rPr>
                <w:rFonts w:hint="default" w:ascii="Times New Roman" w:hAnsi="Times New Roman" w:eastAsia="宋体" w:cs="Times New Roman"/>
                <w:color w:val="auto"/>
                <w:kern w:val="0"/>
                <w:sz w:val="24"/>
              </w:rPr>
              <w:t>）、二氧化氮（NO</w:t>
            </w:r>
            <w:r>
              <w:rPr>
                <w:rFonts w:hint="default" w:ascii="Times New Roman" w:hAnsi="Times New Roman" w:eastAsia="宋体" w:cs="Times New Roman"/>
                <w:color w:val="auto"/>
                <w:kern w:val="0"/>
                <w:sz w:val="24"/>
                <w:vertAlign w:val="subscript"/>
              </w:rPr>
              <w:t>2</w:t>
            </w:r>
            <w:r>
              <w:rPr>
                <w:rFonts w:hint="default" w:ascii="Times New Roman" w:hAnsi="Times New Roman" w:eastAsia="宋体" w:cs="Times New Roman"/>
                <w:color w:val="auto"/>
                <w:kern w:val="0"/>
                <w:sz w:val="24"/>
              </w:rPr>
              <w:t>）、一氧化碳（CO）和臭氧（O</w:t>
            </w:r>
            <w:r>
              <w:rPr>
                <w:rFonts w:hint="default" w:ascii="Times New Roman" w:hAnsi="Times New Roman" w:eastAsia="宋体" w:cs="Times New Roman"/>
                <w:color w:val="auto"/>
                <w:kern w:val="0"/>
                <w:sz w:val="24"/>
                <w:vertAlign w:val="subscript"/>
              </w:rPr>
              <w:t>3</w:t>
            </w:r>
            <w:r>
              <w:rPr>
                <w:rFonts w:hint="default" w:ascii="Times New Roman" w:hAnsi="Times New Roman" w:eastAsia="宋体" w:cs="Times New Roman"/>
                <w:color w:val="auto"/>
                <w:kern w:val="0"/>
                <w:sz w:val="24"/>
              </w:rPr>
              <w:t>）浓度年均浓度分别为36微克/立方米、58微克/立方米、8微克/立方米、25微克/立方米、1.0毫克立方米、158微克/立方米。与2022年相比，O</w:t>
            </w:r>
            <w:r>
              <w:rPr>
                <w:rFonts w:hint="default" w:ascii="Times New Roman" w:hAnsi="Times New Roman" w:eastAsia="宋体" w:cs="Times New Roman"/>
                <w:color w:val="auto"/>
                <w:kern w:val="0"/>
                <w:sz w:val="24"/>
                <w:vertAlign w:val="subscript"/>
              </w:rPr>
              <w:t>3</w:t>
            </w:r>
            <w:r>
              <w:rPr>
                <w:rFonts w:hint="default" w:ascii="Times New Roman" w:hAnsi="Times New Roman" w:eastAsia="宋体" w:cs="Times New Roman"/>
                <w:color w:val="auto"/>
                <w:kern w:val="0"/>
                <w:sz w:val="24"/>
              </w:rPr>
              <w:t>污染有所改善，O</w:t>
            </w:r>
            <w:r>
              <w:rPr>
                <w:rFonts w:hint="default" w:ascii="Times New Roman" w:hAnsi="Times New Roman" w:eastAsia="宋体" w:cs="Times New Roman"/>
                <w:color w:val="auto"/>
                <w:kern w:val="0"/>
                <w:sz w:val="24"/>
                <w:vertAlign w:val="subscript"/>
              </w:rPr>
              <w:t>3</w:t>
            </w:r>
            <w:r>
              <w:rPr>
                <w:rFonts w:hint="default" w:ascii="Times New Roman" w:hAnsi="Times New Roman" w:eastAsia="宋体" w:cs="Times New Roman"/>
                <w:color w:val="auto"/>
                <w:kern w:val="0"/>
                <w:sz w:val="24"/>
              </w:rPr>
              <w:t>为首要污染物的超标天减少3天，PM</w:t>
            </w:r>
            <w:r>
              <w:rPr>
                <w:rFonts w:hint="default" w:ascii="Times New Roman" w:hAnsi="Times New Roman" w:eastAsia="宋体" w:cs="Times New Roman"/>
                <w:color w:val="auto"/>
                <w:kern w:val="0"/>
                <w:sz w:val="24"/>
                <w:vertAlign w:val="subscript"/>
              </w:rPr>
              <w:t>2.5</w:t>
            </w:r>
            <w:r>
              <w:rPr>
                <w:rFonts w:hint="default" w:ascii="Times New Roman" w:hAnsi="Times New Roman" w:eastAsia="宋体" w:cs="Times New Roman"/>
                <w:color w:val="auto"/>
                <w:kern w:val="0"/>
                <w:sz w:val="24"/>
              </w:rPr>
              <w:t>浓度有所反弹，PM</w:t>
            </w:r>
            <w:r>
              <w:rPr>
                <w:rFonts w:hint="default" w:ascii="Times New Roman" w:hAnsi="Times New Roman" w:eastAsia="宋体" w:cs="Times New Roman"/>
                <w:color w:val="auto"/>
                <w:kern w:val="0"/>
                <w:sz w:val="24"/>
                <w:vertAlign w:val="subscript"/>
              </w:rPr>
              <w:t>2.5</w:t>
            </w:r>
            <w:r>
              <w:rPr>
                <w:rFonts w:hint="default" w:ascii="Times New Roman" w:hAnsi="Times New Roman" w:eastAsia="宋体" w:cs="Times New Roman"/>
                <w:color w:val="auto"/>
                <w:kern w:val="0"/>
                <w:sz w:val="24"/>
              </w:rPr>
              <w:t>为首要污染物的超标天增加7天。PM</w:t>
            </w:r>
            <w:r>
              <w:rPr>
                <w:rFonts w:hint="default" w:ascii="Times New Roman" w:hAnsi="Times New Roman" w:eastAsia="宋体" w:cs="Times New Roman"/>
                <w:color w:val="auto"/>
                <w:kern w:val="0"/>
                <w:sz w:val="24"/>
                <w:vertAlign w:val="subscript"/>
              </w:rPr>
              <w:t>10</w:t>
            </w:r>
            <w:r>
              <w:rPr>
                <w:rFonts w:hint="default" w:ascii="Times New Roman" w:hAnsi="Times New Roman" w:eastAsia="宋体" w:cs="Times New Roman"/>
                <w:color w:val="auto"/>
                <w:kern w:val="0"/>
                <w:sz w:val="24"/>
              </w:rPr>
              <w:t>、SO</w:t>
            </w:r>
            <w:r>
              <w:rPr>
                <w:rFonts w:hint="default" w:ascii="Times New Roman" w:hAnsi="Times New Roman" w:eastAsia="宋体" w:cs="Times New Roman"/>
                <w:color w:val="auto"/>
                <w:kern w:val="0"/>
                <w:sz w:val="24"/>
                <w:vertAlign w:val="subscript"/>
              </w:rPr>
              <w:t>2</w:t>
            </w:r>
            <w:r>
              <w:rPr>
                <w:rFonts w:hint="default" w:ascii="Times New Roman" w:hAnsi="Times New Roman" w:eastAsia="宋体" w:cs="Times New Roman"/>
                <w:color w:val="auto"/>
                <w:kern w:val="0"/>
                <w:sz w:val="24"/>
              </w:rPr>
              <w:t>、O</w:t>
            </w:r>
            <w:r>
              <w:rPr>
                <w:rFonts w:hint="default" w:ascii="Times New Roman" w:hAnsi="Times New Roman" w:eastAsia="宋体" w:cs="Times New Roman"/>
                <w:color w:val="auto"/>
                <w:kern w:val="0"/>
                <w:sz w:val="24"/>
                <w:vertAlign w:val="subscript"/>
              </w:rPr>
              <w:t>3</w:t>
            </w:r>
            <w:r>
              <w:rPr>
                <w:rFonts w:hint="default" w:ascii="Times New Roman" w:hAnsi="Times New Roman" w:eastAsia="宋体" w:cs="Times New Roman"/>
                <w:color w:val="auto"/>
                <w:kern w:val="0"/>
                <w:sz w:val="24"/>
              </w:rPr>
              <w:t>降幅分别为3.3%、11.1%、0.6%。可吸入颗粒物（PM</w:t>
            </w:r>
            <w:r>
              <w:rPr>
                <w:rFonts w:hint="default" w:ascii="Times New Roman" w:hAnsi="Times New Roman" w:eastAsia="宋体" w:cs="Times New Roman"/>
                <w:color w:val="auto"/>
                <w:kern w:val="0"/>
                <w:sz w:val="24"/>
                <w:vertAlign w:val="subscript"/>
              </w:rPr>
              <w:t>10</w:t>
            </w:r>
            <w:r>
              <w:rPr>
                <w:rFonts w:hint="default" w:ascii="Times New Roman" w:hAnsi="Times New Roman" w:eastAsia="宋体" w:cs="Times New Roman"/>
                <w:color w:val="auto"/>
                <w:kern w:val="0"/>
                <w:sz w:val="24"/>
              </w:rPr>
              <w:t>）、二氧化硫（SO</w:t>
            </w:r>
            <w:r>
              <w:rPr>
                <w:rFonts w:hint="default" w:ascii="Times New Roman" w:hAnsi="Times New Roman" w:eastAsia="宋体" w:cs="Times New Roman"/>
                <w:color w:val="auto"/>
                <w:kern w:val="0"/>
                <w:sz w:val="24"/>
                <w:vertAlign w:val="subscript"/>
              </w:rPr>
              <w:t>2</w:t>
            </w:r>
            <w:r>
              <w:rPr>
                <w:rFonts w:hint="default" w:ascii="Times New Roman" w:hAnsi="Times New Roman" w:eastAsia="宋体" w:cs="Times New Roman"/>
                <w:color w:val="auto"/>
                <w:kern w:val="0"/>
                <w:sz w:val="24"/>
              </w:rPr>
              <w:t>）、二氧化氮（NO</w:t>
            </w:r>
            <w:r>
              <w:rPr>
                <w:rFonts w:hint="default" w:ascii="Times New Roman" w:hAnsi="Times New Roman" w:eastAsia="宋体" w:cs="Times New Roman"/>
                <w:color w:val="auto"/>
                <w:kern w:val="0"/>
                <w:sz w:val="24"/>
                <w:vertAlign w:val="subscript"/>
              </w:rPr>
              <w:t>2</w:t>
            </w:r>
            <w:r>
              <w:rPr>
                <w:rFonts w:hint="default" w:ascii="Times New Roman" w:hAnsi="Times New Roman" w:eastAsia="宋体" w:cs="Times New Roman"/>
                <w:color w:val="auto"/>
                <w:kern w:val="0"/>
                <w:sz w:val="24"/>
              </w:rPr>
              <w:t>）、一氧化碳（CO）和臭氧（O</w:t>
            </w:r>
            <w:r>
              <w:rPr>
                <w:rFonts w:hint="default" w:ascii="Times New Roman" w:hAnsi="Times New Roman" w:eastAsia="宋体" w:cs="Times New Roman"/>
                <w:color w:val="auto"/>
                <w:kern w:val="0"/>
                <w:sz w:val="24"/>
                <w:vertAlign w:val="subscript"/>
              </w:rPr>
              <w:t>3</w:t>
            </w:r>
            <w:r>
              <w:rPr>
                <w:rFonts w:hint="default" w:ascii="Times New Roman" w:hAnsi="Times New Roman" w:eastAsia="宋体" w:cs="Times New Roman"/>
                <w:color w:val="auto"/>
                <w:kern w:val="0"/>
                <w:sz w:val="24"/>
              </w:rPr>
              <w:t>）污染物浓度达到国家二级标准。</w:t>
            </w:r>
            <w:r>
              <w:rPr>
                <w:rFonts w:hint="default" w:ascii="Times New Roman" w:hAnsi="Times New Roman" w:eastAsia="宋体" w:cs="Times New Roman"/>
                <w:color w:val="auto"/>
                <w:lang w:val="en-US" w:eastAsia="zh-CN"/>
              </w:rPr>
              <w:t>根据</w:t>
            </w:r>
            <w:r>
              <w:rPr>
                <w:rFonts w:hint="default" w:ascii="Times New Roman" w:hAnsi="Times New Roman" w:eastAsia="宋体" w:cs="Times New Roman"/>
                <w:color w:val="auto"/>
                <w:lang w:eastAsia="zh-CN"/>
              </w:rPr>
              <w:t>《环境影响评价技术导则</w:t>
            </w:r>
            <w:r>
              <w:rPr>
                <w:rFonts w:hint="default" w:ascii="Times New Roman" w:hAnsi="Times New Roman" w:eastAsia="宋体" w:cs="Times New Roman"/>
                <w:color w:val="auto"/>
                <w:lang w:val="en-US" w:eastAsia="zh-CN"/>
              </w:rPr>
              <w:t xml:space="preserve"> </w:t>
            </w:r>
            <w:r>
              <w:rPr>
                <w:rFonts w:hint="default" w:ascii="Times New Roman" w:hAnsi="Times New Roman" w:eastAsia="宋体" w:cs="Times New Roman"/>
                <w:color w:val="auto"/>
                <w:lang w:eastAsia="zh-CN"/>
              </w:rPr>
              <w:t>大气环境》（HJ2.2</w:t>
            </w:r>
            <w:r>
              <w:rPr>
                <w:rFonts w:hint="default" w:ascii="Times New Roman" w:hAnsi="Times New Roman" w:eastAsia="宋体" w:cs="Times New Roman"/>
                <w:color w:val="auto"/>
                <w:lang w:val="en-US" w:eastAsia="zh-CN"/>
              </w:rPr>
              <w:t>-</w:t>
            </w:r>
            <w:r>
              <w:rPr>
                <w:rFonts w:hint="default" w:ascii="Times New Roman" w:hAnsi="Times New Roman" w:eastAsia="宋体" w:cs="Times New Roman"/>
                <w:color w:val="auto"/>
                <w:lang w:eastAsia="zh-CN"/>
              </w:rPr>
              <w:t>2018）</w:t>
            </w:r>
            <w:r>
              <w:rPr>
                <w:rFonts w:hint="default" w:ascii="Times New Roman" w:hAnsi="Times New Roman" w:eastAsia="宋体" w:cs="Times New Roman"/>
                <w:color w:val="auto"/>
              </w:rPr>
              <w:t>，判定</w:t>
            </w:r>
            <w:r>
              <w:rPr>
                <w:rFonts w:hint="default" w:ascii="Times New Roman" w:hAnsi="Times New Roman" w:eastAsia="宋体" w:cs="Times New Roman"/>
                <w:color w:val="auto"/>
                <w:lang w:val="en-US" w:eastAsia="zh-CN"/>
              </w:rPr>
              <w:t>项目所在区域</w:t>
            </w:r>
            <w:r>
              <w:rPr>
                <w:rFonts w:hint="default" w:ascii="Times New Roman" w:hAnsi="Times New Roman" w:eastAsia="宋体" w:cs="Times New Roman"/>
                <w:color w:val="auto"/>
              </w:rPr>
              <w:t>为不达标区</w:t>
            </w:r>
            <w:r>
              <w:rPr>
                <w:rFonts w:hint="default" w:ascii="Times New Roman" w:hAnsi="Times New Roman" w:eastAsia="宋体" w:cs="Times New Roman"/>
                <w:color w:val="auto"/>
                <w:lang w:eastAsia="zh-CN"/>
              </w:rPr>
              <w:t>。</w:t>
            </w:r>
          </w:p>
          <w:p w14:paraId="2DC23485">
            <w:pPr>
              <w:keepNext w:val="0"/>
              <w:keepLines w:val="0"/>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kern w:val="0"/>
                <w:sz w:val="24"/>
              </w:rPr>
            </w:pPr>
            <w:r>
              <w:rPr>
                <w:rFonts w:hint="default" w:ascii="Times New Roman" w:hAnsi="Times New Roman" w:eastAsia="宋体" w:cs="Times New Roman"/>
                <w:color w:val="auto"/>
                <w:kern w:val="0"/>
                <w:sz w:val="24"/>
              </w:rPr>
              <w:t>随着《淮安市2024年大气污染防治工作计划》（淮污防攻坚指办[2024]50号）、《市生态环境局“十四五”主要污染物减排实施方案》（淮环发[2023]150号）等防治计划的落实，淮安市持续开展空气质量改善行动以及“开展三源整治、留住蓝天白云”扬尘管控集中整治行动，深入推进“48小时+12天”大气环境质量改善专项攻坚，预期淮安市环境空气质量状况会进一步改善。</w:t>
            </w:r>
          </w:p>
          <w:p w14:paraId="2048CC78">
            <w:pPr>
              <w:keepNext w:val="0"/>
              <w:keepLines w:val="0"/>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rPr>
            </w:pPr>
            <w:r>
              <w:rPr>
                <w:rFonts w:hint="default" w:ascii="Times New Roman" w:hAnsi="Times New Roman" w:eastAsia="宋体" w:cs="Times New Roman"/>
                <w:color w:val="auto"/>
              </w:rPr>
              <w:t>（2）</w:t>
            </w:r>
            <w:r>
              <w:rPr>
                <w:rFonts w:hint="default" w:ascii="Times New Roman" w:hAnsi="Times New Roman" w:eastAsia="宋体" w:cs="Times New Roman"/>
                <w:color w:val="auto"/>
                <w:lang w:eastAsia="zh-CN"/>
              </w:rPr>
              <w:t>其他</w:t>
            </w:r>
            <w:r>
              <w:rPr>
                <w:rFonts w:hint="default" w:ascii="Times New Roman" w:hAnsi="Times New Roman" w:eastAsia="宋体" w:cs="Times New Roman"/>
                <w:color w:val="auto"/>
              </w:rPr>
              <w:t>污染物环境质量现状评价</w:t>
            </w:r>
          </w:p>
          <w:p w14:paraId="0AB803CC">
            <w:pPr>
              <w:keepNext w:val="0"/>
              <w:keepLines w:val="0"/>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sz w:val="24"/>
                <w:lang w:val="en-US" w:eastAsia="zh-CN"/>
              </w:rPr>
            </w:pPr>
            <w:r>
              <w:rPr>
                <w:rFonts w:hint="default" w:ascii="Times New Roman" w:hAnsi="Times New Roman" w:eastAsia="宋体" w:cs="Times New Roman"/>
                <w:color w:val="auto"/>
                <w:sz w:val="24"/>
                <w:lang w:val="en-US" w:eastAsia="zh-CN"/>
              </w:rPr>
              <w:t>根据《建设项目环境影响报告表编制技术指南（污染影响类）（试行）》要求，排放国家、地方环境空气质量标准中有标准限值要求的特征污染物时，引用建设项目周边5千米范围内近3年的现有监测数据，无相关数据的选择当季主导风向下风向1个点位补充不少于3天的监测数据。</w:t>
            </w:r>
          </w:p>
          <w:p w14:paraId="270D5D3D">
            <w:pPr>
              <w:keepNext w:val="0"/>
              <w:keepLines w:val="0"/>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sz w:val="24"/>
                <w:lang w:val="en-US" w:eastAsia="zh-CN"/>
              </w:rPr>
            </w:pPr>
            <w:r>
              <w:rPr>
                <w:rFonts w:hint="eastAsia" w:cs="Times New Roman"/>
                <w:color w:val="auto"/>
                <w:sz w:val="24"/>
                <w:lang w:val="en-US" w:eastAsia="zh-CN"/>
              </w:rPr>
              <w:t>拟建</w:t>
            </w:r>
            <w:r>
              <w:rPr>
                <w:rFonts w:hint="default" w:ascii="Times New Roman" w:hAnsi="Times New Roman" w:eastAsia="宋体" w:cs="Times New Roman"/>
                <w:color w:val="auto"/>
                <w:sz w:val="24"/>
                <w:lang w:val="en-US" w:eastAsia="zh-CN"/>
              </w:rPr>
              <w:t>项目</w:t>
            </w:r>
            <w:r>
              <w:rPr>
                <w:rFonts w:hint="default" w:ascii="Times New Roman" w:hAnsi="Times New Roman" w:eastAsia="宋体" w:cs="Times New Roman"/>
                <w:color w:val="auto"/>
                <w:sz w:val="24"/>
              </w:rPr>
              <w:t>其他污染物（</w:t>
            </w:r>
            <w:r>
              <w:rPr>
                <w:rFonts w:hint="default" w:ascii="Times New Roman" w:hAnsi="Times New Roman" w:eastAsia="宋体" w:cs="Times New Roman"/>
                <w:color w:val="auto"/>
                <w:sz w:val="24"/>
                <w:lang w:val="en-US" w:eastAsia="zh-CN"/>
              </w:rPr>
              <w:t>TSP</w:t>
            </w:r>
            <w:r>
              <w:rPr>
                <w:rFonts w:hint="default" w:ascii="Times New Roman" w:hAnsi="Times New Roman" w:eastAsia="宋体" w:cs="Times New Roman"/>
                <w:color w:val="auto"/>
                <w:sz w:val="24"/>
              </w:rPr>
              <w:t>）环境质量现状引用荣芯半导体（淮安）有限公司</w:t>
            </w:r>
            <w:r>
              <w:rPr>
                <w:rFonts w:hint="default" w:ascii="Times New Roman" w:hAnsi="Times New Roman" w:eastAsia="宋体" w:cs="Times New Roman"/>
                <w:color w:val="auto"/>
                <w:sz w:val="24"/>
                <w:lang w:eastAsia="zh-CN"/>
              </w:rPr>
              <w:t>“荣芯半导体一厂12英寸集成电路生产线项目”委托</w:t>
            </w:r>
            <w:r>
              <w:rPr>
                <w:rFonts w:hint="default" w:ascii="Times New Roman" w:hAnsi="Times New Roman" w:eastAsia="宋体" w:cs="Times New Roman"/>
                <w:color w:val="auto"/>
                <w:sz w:val="24"/>
              </w:rPr>
              <w:t>江苏迈斯特环境检测有限公司于2024年6月5日~2024年6月8日连续3天现场采样监测数据</w:t>
            </w:r>
            <w:r>
              <w:rPr>
                <w:rFonts w:hint="eastAsia" w:cs="Times New Roman"/>
                <w:color w:val="auto"/>
                <w:sz w:val="24"/>
                <w:lang w:eastAsia="zh-CN"/>
              </w:rPr>
              <w:t>（</w:t>
            </w:r>
            <w:r>
              <w:rPr>
                <w:rFonts w:hint="eastAsia" w:cs="Times New Roman"/>
                <w:color w:val="auto"/>
                <w:sz w:val="24"/>
                <w:lang w:eastAsia="zh-CN"/>
              </w:rPr>
              <w:t>引用监测报告见附件</w:t>
            </w:r>
            <w:r>
              <w:rPr>
                <w:rFonts w:hint="eastAsia" w:cs="Times New Roman"/>
                <w:color w:val="auto"/>
                <w:sz w:val="24"/>
                <w:lang w:val="en-US" w:eastAsia="zh-CN"/>
              </w:rPr>
              <w:t>10</w:t>
            </w:r>
            <w:r>
              <w:rPr>
                <w:rFonts w:hint="eastAsia" w:cs="Times New Roman"/>
                <w:color w:val="auto"/>
                <w:sz w:val="24"/>
                <w:lang w:eastAsia="zh-CN"/>
              </w:rPr>
              <w:t>）</w:t>
            </w:r>
            <w:r>
              <w:rPr>
                <w:rFonts w:hint="default" w:ascii="Times New Roman" w:hAnsi="Times New Roman" w:eastAsia="宋体" w:cs="Times New Roman"/>
                <w:color w:val="auto"/>
                <w:kern w:val="0"/>
                <w:sz w:val="24"/>
                <w:szCs w:val="20"/>
                <w:lang w:eastAsia="zh-CN"/>
              </w:rPr>
              <w:t>。</w:t>
            </w:r>
          </w:p>
          <w:p w14:paraId="5245DFE3">
            <w:pPr>
              <w:keepNext w:val="0"/>
              <w:keepLines w:val="0"/>
              <w:suppressLineNumbers w:val="0"/>
              <w:adjustRightInd w:val="0"/>
              <w:snapToGrid w:val="0"/>
              <w:spacing w:before="0" w:beforeAutospacing="0" w:after="0" w:afterAutospacing="0" w:line="360" w:lineRule="auto"/>
              <w:ind w:left="0" w:leftChars="0" w:right="0" w:firstLine="480" w:firstLineChars="200"/>
              <w:rPr>
                <w:rFonts w:hint="default" w:ascii="Times New Roman" w:hAnsi="Times New Roman" w:eastAsia="宋体" w:cs="Times New Roman"/>
                <w:bCs/>
                <w:color w:val="auto"/>
                <w:sz w:val="24"/>
                <w:szCs w:val="24"/>
                <w:lang w:val="en-US" w:eastAsia="zh-CN"/>
              </w:rPr>
            </w:pPr>
            <w:r>
              <w:rPr>
                <w:rFonts w:hint="default" w:ascii="Times New Roman" w:hAnsi="Times New Roman" w:eastAsia="宋体" w:cs="Times New Roman"/>
                <w:color w:val="auto"/>
                <w:sz w:val="24"/>
                <w:szCs w:val="28"/>
                <w:lang w:val="en-US" w:eastAsia="zh-CN"/>
              </w:rPr>
              <w:t>引用监测点位位于项目</w:t>
            </w:r>
            <w:r>
              <w:rPr>
                <w:rFonts w:hint="default" w:ascii="Times New Roman" w:hAnsi="Times New Roman" w:eastAsia="宋体" w:cs="Times New Roman"/>
                <w:color w:val="auto"/>
                <w:sz w:val="24"/>
                <w:szCs w:val="28"/>
              </w:rPr>
              <w:t>所在地</w:t>
            </w:r>
            <w:r>
              <w:rPr>
                <w:rFonts w:hint="eastAsia" w:cs="Times New Roman"/>
                <w:color w:val="auto"/>
                <w:sz w:val="24"/>
                <w:szCs w:val="28"/>
                <w:lang w:eastAsia="zh-CN"/>
              </w:rPr>
              <w:t>东北侧</w:t>
            </w:r>
            <w:r>
              <w:rPr>
                <w:rFonts w:hint="eastAsia" w:cs="Times New Roman"/>
                <w:color w:val="auto"/>
                <w:sz w:val="24"/>
                <w:szCs w:val="28"/>
                <w:lang w:val="en-US" w:eastAsia="zh-CN"/>
              </w:rPr>
              <w:t>3.7km，在</w:t>
            </w:r>
            <w:r>
              <w:rPr>
                <w:rFonts w:hint="default" w:ascii="Times New Roman" w:hAnsi="Times New Roman" w:eastAsia="宋体" w:cs="Times New Roman"/>
                <w:color w:val="auto"/>
                <w:sz w:val="24"/>
                <w:szCs w:val="28"/>
              </w:rPr>
              <w:t>5km范围内，且满足近三年时效要求</w:t>
            </w:r>
            <w:r>
              <w:rPr>
                <w:rFonts w:hint="default" w:ascii="Times New Roman" w:hAnsi="Times New Roman" w:eastAsia="宋体" w:cs="Times New Roman"/>
                <w:color w:val="auto"/>
                <w:sz w:val="24"/>
              </w:rPr>
              <w:t>，</w:t>
            </w:r>
            <w:r>
              <w:rPr>
                <w:rFonts w:hint="eastAsia" w:cs="Times New Roman"/>
                <w:color w:val="auto"/>
                <w:sz w:val="24"/>
                <w:lang w:eastAsia="zh-CN"/>
              </w:rPr>
              <w:t>本项目引用监测点位见表</w:t>
            </w:r>
            <w:r>
              <w:rPr>
                <w:rFonts w:hint="eastAsia" w:cs="Times New Roman"/>
                <w:color w:val="auto"/>
                <w:sz w:val="24"/>
                <w:lang w:val="en-US" w:eastAsia="zh-CN"/>
              </w:rPr>
              <w:t>3.1-1、引用</w:t>
            </w:r>
            <w:r>
              <w:rPr>
                <w:rFonts w:hint="eastAsia" w:cs="Times New Roman"/>
                <w:color w:val="auto"/>
                <w:sz w:val="24"/>
                <w:lang w:eastAsia="zh-CN"/>
              </w:rPr>
              <w:t>的</w:t>
            </w:r>
            <w:r>
              <w:rPr>
                <w:rFonts w:hint="default" w:ascii="Times New Roman" w:hAnsi="Times New Roman" w:eastAsia="宋体" w:cs="Times New Roman"/>
                <w:color w:val="auto"/>
                <w:lang w:eastAsia="zh-CN"/>
              </w:rPr>
              <w:t>其他</w:t>
            </w:r>
            <w:r>
              <w:rPr>
                <w:rFonts w:hint="default" w:ascii="Times New Roman" w:hAnsi="Times New Roman" w:eastAsia="宋体" w:cs="Times New Roman"/>
                <w:color w:val="auto"/>
                <w:kern w:val="0"/>
                <w:sz w:val="24"/>
              </w:rPr>
              <w:t>污染物环境质量现状见表3.1-2</w:t>
            </w:r>
            <w:r>
              <w:rPr>
                <w:rFonts w:hint="default" w:ascii="Times New Roman" w:hAnsi="Times New Roman" w:eastAsia="宋体" w:cs="Times New Roman"/>
                <w:color w:val="auto"/>
                <w:sz w:val="24"/>
              </w:rPr>
              <w:t>。</w:t>
            </w:r>
          </w:p>
          <w:p w14:paraId="117830B7">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color w:val="auto"/>
                <w:kern w:val="0"/>
                <w:sz w:val="24"/>
                <w:szCs w:val="20"/>
              </w:rPr>
            </w:pPr>
            <w:r>
              <w:rPr>
                <w:rFonts w:hint="default" w:ascii="Times New Roman" w:hAnsi="Times New Roman" w:eastAsia="宋体" w:cs="Times New Roman"/>
                <w:b/>
                <w:color w:val="auto"/>
                <w:kern w:val="0"/>
                <w:sz w:val="24"/>
                <w:szCs w:val="20"/>
              </w:rPr>
              <w:t>表3.1-1  其他污染物补充监测点位基本信息（引用）</w:t>
            </w:r>
          </w:p>
          <w:tbl>
            <w:tblPr>
              <w:tblStyle w:val="27"/>
              <w:tblW w:w="7925"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
            <w:tblGrid>
              <w:gridCol w:w="1564"/>
              <w:gridCol w:w="948"/>
              <w:gridCol w:w="1059"/>
              <w:gridCol w:w="1453"/>
              <w:gridCol w:w="850"/>
              <w:gridCol w:w="988"/>
              <w:gridCol w:w="1063"/>
            </w:tblGrid>
            <w:tr w14:paraId="6934350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986" w:type="pct"/>
                  <w:vMerge w:val="restart"/>
                  <w:vAlign w:val="center"/>
                </w:tcPr>
                <w:p w14:paraId="2E39F42E">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kern w:val="0"/>
                      <w:sz w:val="18"/>
                      <w:szCs w:val="18"/>
                    </w:rPr>
                  </w:pPr>
                  <w:r>
                    <w:rPr>
                      <w:rFonts w:hint="default" w:ascii="Times New Roman" w:hAnsi="Times New Roman" w:eastAsia="宋体" w:cs="Times New Roman"/>
                      <w:b/>
                      <w:color w:val="auto"/>
                      <w:kern w:val="0"/>
                      <w:sz w:val="18"/>
                      <w:szCs w:val="18"/>
                    </w:rPr>
                    <w:t>监测点名称</w:t>
                  </w:r>
                </w:p>
              </w:tc>
              <w:tc>
                <w:tcPr>
                  <w:tcW w:w="1266" w:type="pct"/>
                  <w:gridSpan w:val="2"/>
                  <w:vAlign w:val="center"/>
                </w:tcPr>
                <w:p w14:paraId="0B69E736">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kern w:val="0"/>
                      <w:sz w:val="18"/>
                      <w:szCs w:val="18"/>
                    </w:rPr>
                  </w:pPr>
                  <w:r>
                    <w:rPr>
                      <w:rFonts w:hint="default" w:ascii="Times New Roman" w:hAnsi="Times New Roman" w:eastAsia="宋体" w:cs="Times New Roman"/>
                      <w:b/>
                      <w:color w:val="auto"/>
                      <w:kern w:val="0"/>
                      <w:sz w:val="18"/>
                      <w:szCs w:val="18"/>
                    </w:rPr>
                    <w:t>监测点坐标/m</w:t>
                  </w:r>
                </w:p>
              </w:tc>
              <w:tc>
                <w:tcPr>
                  <w:tcW w:w="916" w:type="pct"/>
                  <w:vMerge w:val="restart"/>
                  <w:vAlign w:val="center"/>
                </w:tcPr>
                <w:p w14:paraId="58EE93B3">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kern w:val="0"/>
                      <w:sz w:val="18"/>
                      <w:szCs w:val="18"/>
                    </w:rPr>
                  </w:pPr>
                  <w:r>
                    <w:rPr>
                      <w:rFonts w:hint="default" w:ascii="Times New Roman" w:hAnsi="Times New Roman" w:eastAsia="宋体" w:cs="Times New Roman"/>
                      <w:b/>
                      <w:color w:val="auto"/>
                      <w:kern w:val="0"/>
                      <w:sz w:val="18"/>
                      <w:szCs w:val="18"/>
                    </w:rPr>
                    <w:t>监测因子</w:t>
                  </w:r>
                </w:p>
              </w:tc>
              <w:tc>
                <w:tcPr>
                  <w:tcW w:w="536" w:type="pct"/>
                  <w:vMerge w:val="restart"/>
                  <w:vAlign w:val="center"/>
                </w:tcPr>
                <w:p w14:paraId="3C41A915">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kern w:val="0"/>
                      <w:sz w:val="18"/>
                      <w:szCs w:val="18"/>
                    </w:rPr>
                  </w:pPr>
                  <w:r>
                    <w:rPr>
                      <w:rFonts w:hint="default" w:ascii="Times New Roman" w:hAnsi="Times New Roman" w:eastAsia="宋体" w:cs="Times New Roman"/>
                      <w:b/>
                      <w:color w:val="auto"/>
                      <w:kern w:val="0"/>
                      <w:sz w:val="18"/>
                      <w:szCs w:val="18"/>
                    </w:rPr>
                    <w:t>监测时段</w:t>
                  </w:r>
                </w:p>
              </w:tc>
              <w:tc>
                <w:tcPr>
                  <w:tcW w:w="623" w:type="pct"/>
                  <w:vMerge w:val="restart"/>
                  <w:vAlign w:val="center"/>
                </w:tcPr>
                <w:p w14:paraId="2D2612C6">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kern w:val="0"/>
                      <w:sz w:val="18"/>
                      <w:szCs w:val="18"/>
                    </w:rPr>
                  </w:pPr>
                  <w:r>
                    <w:rPr>
                      <w:rFonts w:hint="default" w:ascii="Times New Roman" w:hAnsi="Times New Roman" w:eastAsia="宋体" w:cs="Times New Roman"/>
                      <w:b/>
                      <w:color w:val="auto"/>
                      <w:kern w:val="0"/>
                      <w:sz w:val="18"/>
                      <w:szCs w:val="18"/>
                    </w:rPr>
                    <w:t>相对厂址</w:t>
                  </w:r>
                </w:p>
                <w:p w14:paraId="7701332F">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kern w:val="0"/>
                      <w:sz w:val="18"/>
                      <w:szCs w:val="18"/>
                    </w:rPr>
                  </w:pPr>
                  <w:r>
                    <w:rPr>
                      <w:rFonts w:hint="default" w:ascii="Times New Roman" w:hAnsi="Times New Roman" w:eastAsia="宋体" w:cs="Times New Roman"/>
                      <w:b/>
                      <w:color w:val="auto"/>
                      <w:kern w:val="0"/>
                      <w:sz w:val="18"/>
                      <w:szCs w:val="18"/>
                    </w:rPr>
                    <w:t>方位</w:t>
                  </w:r>
                </w:p>
              </w:tc>
              <w:tc>
                <w:tcPr>
                  <w:tcW w:w="670" w:type="pct"/>
                  <w:vMerge w:val="restart"/>
                  <w:vAlign w:val="center"/>
                </w:tcPr>
                <w:p w14:paraId="44FFB18F">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kern w:val="0"/>
                      <w:sz w:val="18"/>
                      <w:szCs w:val="18"/>
                    </w:rPr>
                  </w:pPr>
                  <w:r>
                    <w:rPr>
                      <w:rFonts w:hint="default" w:ascii="Times New Roman" w:hAnsi="Times New Roman" w:eastAsia="宋体" w:cs="Times New Roman"/>
                      <w:b/>
                      <w:color w:val="auto"/>
                      <w:kern w:val="0"/>
                      <w:sz w:val="18"/>
                      <w:szCs w:val="18"/>
                    </w:rPr>
                    <w:t>相对厂址</w:t>
                  </w:r>
                </w:p>
                <w:p w14:paraId="43261315">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kern w:val="0"/>
                      <w:sz w:val="18"/>
                      <w:szCs w:val="18"/>
                    </w:rPr>
                  </w:pPr>
                  <w:r>
                    <w:rPr>
                      <w:rFonts w:hint="default" w:ascii="Times New Roman" w:hAnsi="Times New Roman" w:eastAsia="宋体" w:cs="Times New Roman"/>
                      <w:b/>
                      <w:color w:val="auto"/>
                      <w:kern w:val="0"/>
                      <w:sz w:val="18"/>
                      <w:szCs w:val="18"/>
                    </w:rPr>
                    <w:t>距离/m</w:t>
                  </w:r>
                </w:p>
              </w:tc>
            </w:tr>
            <w:tr w14:paraId="648656B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193" w:hRule="atLeast"/>
                <w:jc w:val="center"/>
              </w:trPr>
              <w:tc>
                <w:tcPr>
                  <w:tcW w:w="986" w:type="pct"/>
                  <w:vMerge w:val="continue"/>
                  <w:vAlign w:val="center"/>
                </w:tcPr>
                <w:p w14:paraId="776E1167">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0"/>
                      <w:sz w:val="18"/>
                      <w:szCs w:val="18"/>
                    </w:rPr>
                  </w:pPr>
                </w:p>
              </w:tc>
              <w:tc>
                <w:tcPr>
                  <w:tcW w:w="598" w:type="pct"/>
                  <w:vAlign w:val="center"/>
                </w:tcPr>
                <w:p w14:paraId="02275B9D">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kern w:val="0"/>
                      <w:sz w:val="18"/>
                      <w:szCs w:val="18"/>
                    </w:rPr>
                  </w:pPr>
                  <w:r>
                    <w:rPr>
                      <w:rFonts w:hint="default" w:ascii="Times New Roman" w:hAnsi="Times New Roman" w:eastAsia="宋体" w:cs="Times New Roman"/>
                      <w:b/>
                      <w:color w:val="auto"/>
                      <w:kern w:val="0"/>
                      <w:sz w:val="18"/>
                      <w:szCs w:val="18"/>
                    </w:rPr>
                    <w:t>X</w:t>
                  </w:r>
                </w:p>
              </w:tc>
              <w:tc>
                <w:tcPr>
                  <w:tcW w:w="667" w:type="pct"/>
                  <w:vAlign w:val="center"/>
                </w:tcPr>
                <w:p w14:paraId="401EB896">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kern w:val="0"/>
                      <w:sz w:val="18"/>
                      <w:szCs w:val="18"/>
                    </w:rPr>
                  </w:pPr>
                  <w:r>
                    <w:rPr>
                      <w:rFonts w:hint="default" w:ascii="Times New Roman" w:hAnsi="Times New Roman" w:eastAsia="宋体" w:cs="Times New Roman"/>
                      <w:b/>
                      <w:color w:val="auto"/>
                      <w:kern w:val="0"/>
                      <w:sz w:val="18"/>
                      <w:szCs w:val="18"/>
                    </w:rPr>
                    <w:t>Y</w:t>
                  </w:r>
                </w:p>
              </w:tc>
              <w:tc>
                <w:tcPr>
                  <w:tcW w:w="916" w:type="pct"/>
                  <w:vMerge w:val="continue"/>
                  <w:vAlign w:val="center"/>
                </w:tcPr>
                <w:p w14:paraId="6B013589">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0"/>
                      <w:sz w:val="18"/>
                      <w:szCs w:val="18"/>
                    </w:rPr>
                  </w:pPr>
                </w:p>
              </w:tc>
              <w:tc>
                <w:tcPr>
                  <w:tcW w:w="536" w:type="pct"/>
                  <w:vMerge w:val="continue"/>
                  <w:vAlign w:val="center"/>
                </w:tcPr>
                <w:p w14:paraId="63ED6A2B">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0"/>
                      <w:sz w:val="18"/>
                      <w:szCs w:val="18"/>
                    </w:rPr>
                  </w:pPr>
                </w:p>
              </w:tc>
              <w:tc>
                <w:tcPr>
                  <w:tcW w:w="623" w:type="pct"/>
                  <w:vMerge w:val="continue"/>
                  <w:vAlign w:val="center"/>
                </w:tcPr>
                <w:p w14:paraId="12F7C163">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0"/>
                      <w:sz w:val="18"/>
                      <w:szCs w:val="18"/>
                    </w:rPr>
                  </w:pPr>
                </w:p>
              </w:tc>
              <w:tc>
                <w:tcPr>
                  <w:tcW w:w="670" w:type="pct"/>
                  <w:vMerge w:val="continue"/>
                  <w:vAlign w:val="center"/>
                </w:tcPr>
                <w:p w14:paraId="767168B4">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0"/>
                      <w:sz w:val="18"/>
                      <w:szCs w:val="18"/>
                    </w:rPr>
                  </w:pPr>
                </w:p>
              </w:tc>
            </w:tr>
            <w:tr w14:paraId="25644F2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986" w:type="pct"/>
                  <w:vAlign w:val="center"/>
                </w:tcPr>
                <w:p w14:paraId="3D08C442">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观音堂一组G1</w:t>
                  </w:r>
                </w:p>
              </w:tc>
              <w:tc>
                <w:tcPr>
                  <w:tcW w:w="598" w:type="pct"/>
                  <w:vAlign w:val="center"/>
                </w:tcPr>
                <w:p w14:paraId="45C2B1A5">
                  <w:pPr>
                    <w:keepNext w:val="0"/>
                    <w:keepLines w:val="0"/>
                    <w:pageBreakBefore w:val="0"/>
                    <w:suppressLineNumbers w:val="0"/>
                    <w:kinsoku/>
                    <w:wordWrap/>
                    <w:overflowPunct/>
                    <w:topLinePunct w:val="0"/>
                    <w:bidi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119.118112</w:t>
                  </w:r>
                </w:p>
              </w:tc>
              <w:tc>
                <w:tcPr>
                  <w:tcW w:w="667" w:type="pct"/>
                  <w:vAlign w:val="center"/>
                </w:tcPr>
                <w:p w14:paraId="371EA96A">
                  <w:pPr>
                    <w:keepNext w:val="0"/>
                    <w:keepLines w:val="0"/>
                    <w:pageBreakBefore w:val="0"/>
                    <w:suppressLineNumbers w:val="0"/>
                    <w:kinsoku/>
                    <w:wordWrap/>
                    <w:overflowPunct/>
                    <w:topLinePunct w:val="0"/>
                    <w:bidi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rPr>
                    <w:t>3</w:t>
                  </w:r>
                  <w:r>
                    <w:rPr>
                      <w:rFonts w:hint="default" w:ascii="Times New Roman" w:hAnsi="Times New Roman" w:eastAsia="宋体" w:cs="Times New Roman"/>
                      <w:color w:val="auto"/>
                      <w:sz w:val="18"/>
                      <w:szCs w:val="18"/>
                      <w:lang w:val="en-US" w:eastAsia="zh-CN"/>
                    </w:rPr>
                    <w:t>3.670223</w:t>
                  </w:r>
                </w:p>
              </w:tc>
              <w:tc>
                <w:tcPr>
                  <w:tcW w:w="916" w:type="pct"/>
                  <w:vAlign w:val="center"/>
                </w:tcPr>
                <w:p w14:paraId="191144DC">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0"/>
                      <w:sz w:val="18"/>
                      <w:szCs w:val="18"/>
                      <w:lang w:val="en-US" w:eastAsia="zh-CN"/>
                    </w:rPr>
                  </w:pPr>
                  <w:r>
                    <w:rPr>
                      <w:rFonts w:hint="default" w:ascii="Times New Roman" w:hAnsi="Times New Roman" w:eastAsia="宋体" w:cs="Times New Roman"/>
                      <w:color w:val="auto"/>
                      <w:kern w:val="0"/>
                      <w:sz w:val="18"/>
                      <w:szCs w:val="18"/>
                      <w:lang w:val="en-US" w:eastAsia="zh-CN"/>
                    </w:rPr>
                    <w:t>TSP</w:t>
                  </w:r>
                </w:p>
              </w:tc>
              <w:tc>
                <w:tcPr>
                  <w:tcW w:w="536" w:type="pct"/>
                  <w:vAlign w:val="center"/>
                </w:tcPr>
                <w:p w14:paraId="1294A45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0"/>
                      <w:sz w:val="18"/>
                      <w:szCs w:val="18"/>
                    </w:rPr>
                  </w:pPr>
                  <w:r>
                    <w:rPr>
                      <w:rFonts w:hint="default" w:ascii="Times New Roman" w:hAnsi="Times New Roman" w:eastAsia="宋体" w:cs="Times New Roman"/>
                      <w:color w:val="auto"/>
                      <w:kern w:val="0"/>
                      <w:sz w:val="18"/>
                      <w:szCs w:val="18"/>
                      <w:lang w:eastAsia="zh-CN"/>
                    </w:rPr>
                    <w:t>日</w:t>
                  </w:r>
                  <w:r>
                    <w:rPr>
                      <w:rFonts w:hint="default" w:ascii="Times New Roman" w:hAnsi="Times New Roman" w:eastAsia="宋体" w:cs="Times New Roman"/>
                      <w:color w:val="auto"/>
                      <w:kern w:val="0"/>
                      <w:sz w:val="18"/>
                      <w:szCs w:val="18"/>
                    </w:rPr>
                    <w:t>平均</w:t>
                  </w:r>
                </w:p>
              </w:tc>
              <w:tc>
                <w:tcPr>
                  <w:tcW w:w="623" w:type="pct"/>
                  <w:vAlign w:val="center"/>
                </w:tcPr>
                <w:p w14:paraId="5B481D1D">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0"/>
                      <w:sz w:val="18"/>
                      <w:szCs w:val="18"/>
                      <w:lang w:val="en-US"/>
                    </w:rPr>
                  </w:pPr>
                  <w:r>
                    <w:rPr>
                      <w:rFonts w:hint="default" w:ascii="Times New Roman" w:hAnsi="Times New Roman" w:eastAsia="宋体" w:cs="Times New Roman"/>
                      <w:color w:val="auto"/>
                      <w:kern w:val="0"/>
                      <w:sz w:val="18"/>
                      <w:szCs w:val="18"/>
                      <w:lang w:val="en-US" w:eastAsia="zh-CN"/>
                    </w:rPr>
                    <w:t>NE</w:t>
                  </w:r>
                </w:p>
              </w:tc>
              <w:tc>
                <w:tcPr>
                  <w:tcW w:w="670" w:type="pct"/>
                  <w:vAlign w:val="center"/>
                </w:tcPr>
                <w:p w14:paraId="4E86EE8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0"/>
                      <w:sz w:val="18"/>
                      <w:szCs w:val="18"/>
                      <w:lang w:val="en-US"/>
                    </w:rPr>
                  </w:pPr>
                  <w:r>
                    <w:rPr>
                      <w:rFonts w:hint="default" w:ascii="Times New Roman" w:hAnsi="Times New Roman" w:eastAsia="宋体" w:cs="Times New Roman"/>
                      <w:color w:val="auto"/>
                      <w:kern w:val="0"/>
                      <w:sz w:val="18"/>
                      <w:szCs w:val="18"/>
                      <w:lang w:val="en-US" w:eastAsia="zh-CN"/>
                    </w:rPr>
                    <w:t>3700</w:t>
                  </w:r>
                </w:p>
              </w:tc>
            </w:tr>
          </w:tbl>
          <w:p w14:paraId="004F0848">
            <w:pPr>
              <w:keepNext w:val="0"/>
              <w:keepLines w:val="0"/>
              <w:widowControl/>
              <w:suppressLineNumbers w:val="0"/>
              <w:adjustRightInd w:val="0"/>
              <w:snapToGrid w:val="0"/>
              <w:spacing w:before="120" w:beforeLines="50" w:beforeAutospacing="0" w:after="0" w:afterAutospacing="0" w:line="240" w:lineRule="auto"/>
              <w:ind w:left="0" w:right="0" w:firstLine="482" w:firstLineChars="200"/>
              <w:jc w:val="center"/>
              <w:rPr>
                <w:rFonts w:hint="default" w:ascii="Times New Roman" w:hAnsi="Times New Roman" w:eastAsia="宋体" w:cs="Times New Roman"/>
                <w:color w:val="auto"/>
                <w:kern w:val="0"/>
                <w:sz w:val="21"/>
                <w:szCs w:val="21"/>
                <w:vertAlign w:val="superscript"/>
              </w:rPr>
            </w:pPr>
            <w:r>
              <w:rPr>
                <w:rFonts w:hint="default" w:ascii="Times New Roman" w:hAnsi="Times New Roman" w:eastAsia="宋体" w:cs="Times New Roman"/>
                <w:b/>
                <w:color w:val="auto"/>
                <w:kern w:val="0"/>
                <w:sz w:val="24"/>
                <w:szCs w:val="20"/>
              </w:rPr>
              <w:t>表3.1-2  其他污染物环境质量现状（引用）</w:t>
            </w:r>
            <w:r>
              <w:rPr>
                <w:rFonts w:hint="default" w:ascii="Times New Roman" w:hAnsi="Times New Roman" w:eastAsia="宋体" w:cs="Times New Roman"/>
                <w:b/>
                <w:color w:val="auto"/>
                <w:kern w:val="0"/>
                <w:sz w:val="24"/>
                <w:szCs w:val="20"/>
                <w:lang w:val="en-US" w:eastAsia="zh-CN"/>
              </w:rPr>
              <w:t xml:space="preserve"> </w:t>
            </w:r>
            <w:r>
              <w:rPr>
                <w:rFonts w:hint="default" w:ascii="Times New Roman" w:hAnsi="Times New Roman" w:eastAsia="宋体" w:cs="Times New Roman"/>
                <w:b/>
                <w:bCs/>
                <w:color w:val="auto"/>
                <w:kern w:val="0"/>
                <w:sz w:val="21"/>
                <w:szCs w:val="20"/>
              </w:rPr>
              <w:t>单位：</w:t>
            </w:r>
            <w:r>
              <w:rPr>
                <w:rFonts w:hint="default" w:ascii="Times New Roman" w:hAnsi="Times New Roman" w:eastAsia="宋体" w:cs="Times New Roman"/>
                <w:b/>
                <w:bCs/>
                <w:color w:val="auto"/>
                <w:kern w:val="0"/>
                <w:sz w:val="21"/>
                <w:szCs w:val="20"/>
                <w:lang w:val="en-US" w:eastAsia="zh-CN"/>
              </w:rPr>
              <w:t>m</w:t>
            </w:r>
            <w:r>
              <w:rPr>
                <w:rFonts w:hint="default" w:ascii="Times New Roman" w:hAnsi="Times New Roman" w:eastAsia="宋体" w:cs="Times New Roman"/>
                <w:b/>
                <w:bCs/>
                <w:color w:val="auto"/>
                <w:kern w:val="0"/>
                <w:sz w:val="21"/>
                <w:szCs w:val="21"/>
              </w:rPr>
              <w:t>g/m</w:t>
            </w:r>
            <w:r>
              <w:rPr>
                <w:rFonts w:hint="default" w:ascii="Times New Roman" w:hAnsi="Times New Roman" w:eastAsia="宋体" w:cs="Times New Roman"/>
                <w:b/>
                <w:bCs/>
                <w:color w:val="auto"/>
                <w:kern w:val="0"/>
                <w:sz w:val="21"/>
                <w:szCs w:val="21"/>
                <w:vertAlign w:val="superscript"/>
              </w:rPr>
              <w:t>3</w:t>
            </w:r>
          </w:p>
          <w:tbl>
            <w:tblPr>
              <w:tblStyle w:val="27"/>
              <w:tblW w:w="5000" w:type="pct"/>
              <w:jc w:val="center"/>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Layout w:type="fixed"/>
              <w:tblCellMar>
                <w:top w:w="0" w:type="dxa"/>
                <w:left w:w="28" w:type="dxa"/>
                <w:bottom w:w="0" w:type="dxa"/>
                <w:right w:w="28" w:type="dxa"/>
              </w:tblCellMar>
            </w:tblPr>
            <w:tblGrid>
              <w:gridCol w:w="1035"/>
              <w:gridCol w:w="1058"/>
              <w:gridCol w:w="983"/>
              <w:gridCol w:w="810"/>
              <w:gridCol w:w="886"/>
              <w:gridCol w:w="773"/>
              <w:gridCol w:w="925"/>
              <w:gridCol w:w="562"/>
              <w:gridCol w:w="385"/>
              <w:gridCol w:w="429"/>
            </w:tblGrid>
            <w:tr w14:paraId="16304942">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28" w:type="dxa"/>
                  <w:bottom w:w="0" w:type="dxa"/>
                  <w:right w:w="28" w:type="dxa"/>
                </w:tblCellMar>
              </w:tblPrEx>
              <w:trPr>
                <w:trHeight w:val="340" w:hRule="atLeast"/>
                <w:jc w:val="center"/>
              </w:trPr>
              <w:tc>
                <w:tcPr>
                  <w:tcW w:w="659" w:type="pct"/>
                  <w:vMerge w:val="restart"/>
                  <w:vAlign w:val="center"/>
                </w:tcPr>
                <w:p w14:paraId="5D13E79A">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监测点位</w:t>
                  </w:r>
                </w:p>
              </w:tc>
              <w:tc>
                <w:tcPr>
                  <w:tcW w:w="1300" w:type="pct"/>
                  <w:gridSpan w:val="2"/>
                  <w:vAlign w:val="center"/>
                </w:tcPr>
                <w:p w14:paraId="79A6B0BC">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监测点坐标/m</w:t>
                  </w:r>
                </w:p>
              </w:tc>
              <w:tc>
                <w:tcPr>
                  <w:tcW w:w="516" w:type="pct"/>
                  <w:vMerge w:val="restart"/>
                  <w:vAlign w:val="center"/>
                </w:tcPr>
                <w:p w14:paraId="0091C67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污染物</w:t>
                  </w:r>
                </w:p>
              </w:tc>
              <w:tc>
                <w:tcPr>
                  <w:tcW w:w="564" w:type="pct"/>
                  <w:vMerge w:val="restart"/>
                  <w:vAlign w:val="center"/>
                </w:tcPr>
                <w:p w14:paraId="606D9E00">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平均时间</w:t>
                  </w:r>
                </w:p>
              </w:tc>
              <w:tc>
                <w:tcPr>
                  <w:tcW w:w="492" w:type="pct"/>
                  <w:vMerge w:val="restart"/>
                  <w:vAlign w:val="center"/>
                </w:tcPr>
                <w:p w14:paraId="1BE9BD12">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评价标准</w:t>
                  </w:r>
                </w:p>
              </w:tc>
              <w:tc>
                <w:tcPr>
                  <w:tcW w:w="589" w:type="pct"/>
                  <w:vMerge w:val="restart"/>
                  <w:vAlign w:val="center"/>
                </w:tcPr>
                <w:p w14:paraId="58533017">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监测浓度范围</w:t>
                  </w:r>
                </w:p>
              </w:tc>
              <w:tc>
                <w:tcPr>
                  <w:tcW w:w="358" w:type="pct"/>
                  <w:vMerge w:val="restart"/>
                  <w:vAlign w:val="center"/>
                </w:tcPr>
                <w:p w14:paraId="66053201">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最大浓度占标率/%</w:t>
                  </w:r>
                </w:p>
              </w:tc>
              <w:tc>
                <w:tcPr>
                  <w:tcW w:w="245" w:type="pct"/>
                  <w:vMerge w:val="restart"/>
                  <w:vAlign w:val="center"/>
                </w:tcPr>
                <w:p w14:paraId="32215F49">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超标率/%</w:t>
                  </w:r>
                </w:p>
              </w:tc>
              <w:tc>
                <w:tcPr>
                  <w:tcW w:w="273" w:type="pct"/>
                  <w:vMerge w:val="restart"/>
                  <w:vAlign w:val="center"/>
                </w:tcPr>
                <w:p w14:paraId="614400C5">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达标情况</w:t>
                  </w:r>
                </w:p>
              </w:tc>
            </w:tr>
            <w:tr w14:paraId="4F50AC0D">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28" w:type="dxa"/>
                  <w:bottom w:w="0" w:type="dxa"/>
                  <w:right w:w="28" w:type="dxa"/>
                </w:tblCellMar>
              </w:tblPrEx>
              <w:trPr>
                <w:trHeight w:val="340" w:hRule="atLeast"/>
                <w:jc w:val="center"/>
              </w:trPr>
              <w:tc>
                <w:tcPr>
                  <w:tcW w:w="659" w:type="pct"/>
                  <w:vMerge w:val="continue"/>
                  <w:vAlign w:val="center"/>
                </w:tcPr>
                <w:p w14:paraId="5C579D57">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p>
              </w:tc>
              <w:tc>
                <w:tcPr>
                  <w:tcW w:w="674" w:type="pct"/>
                  <w:vAlign w:val="center"/>
                </w:tcPr>
                <w:p w14:paraId="3A438B05">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X</w:t>
                  </w:r>
                </w:p>
              </w:tc>
              <w:tc>
                <w:tcPr>
                  <w:tcW w:w="626" w:type="pct"/>
                  <w:vAlign w:val="center"/>
                </w:tcPr>
                <w:p w14:paraId="7F3AEDD3">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Y</w:t>
                  </w:r>
                </w:p>
              </w:tc>
              <w:tc>
                <w:tcPr>
                  <w:tcW w:w="516" w:type="pct"/>
                  <w:vMerge w:val="continue"/>
                  <w:vAlign w:val="center"/>
                </w:tcPr>
                <w:p w14:paraId="0BDC0471">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p>
              </w:tc>
              <w:tc>
                <w:tcPr>
                  <w:tcW w:w="564" w:type="pct"/>
                  <w:vMerge w:val="continue"/>
                  <w:vAlign w:val="center"/>
                </w:tcPr>
                <w:p w14:paraId="68C0D78A">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p>
              </w:tc>
              <w:tc>
                <w:tcPr>
                  <w:tcW w:w="492" w:type="pct"/>
                  <w:vMerge w:val="continue"/>
                  <w:vAlign w:val="center"/>
                </w:tcPr>
                <w:p w14:paraId="24BF1FFA">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p>
              </w:tc>
              <w:tc>
                <w:tcPr>
                  <w:tcW w:w="589" w:type="pct"/>
                  <w:vMerge w:val="continue"/>
                  <w:vAlign w:val="center"/>
                </w:tcPr>
                <w:p w14:paraId="5E5EB18A">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p>
              </w:tc>
              <w:tc>
                <w:tcPr>
                  <w:tcW w:w="358" w:type="pct"/>
                  <w:vMerge w:val="continue"/>
                  <w:vAlign w:val="center"/>
                </w:tcPr>
                <w:p w14:paraId="589D0A06">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p>
              </w:tc>
              <w:tc>
                <w:tcPr>
                  <w:tcW w:w="245" w:type="pct"/>
                  <w:vMerge w:val="continue"/>
                  <w:vAlign w:val="center"/>
                </w:tcPr>
                <w:p w14:paraId="461461C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p>
              </w:tc>
              <w:tc>
                <w:tcPr>
                  <w:tcW w:w="273" w:type="pct"/>
                  <w:vMerge w:val="continue"/>
                  <w:vAlign w:val="center"/>
                </w:tcPr>
                <w:p w14:paraId="74DAD846">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p>
              </w:tc>
            </w:tr>
            <w:tr w14:paraId="3FD7D9A5">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28" w:type="dxa"/>
                  <w:bottom w:w="0" w:type="dxa"/>
                  <w:right w:w="28" w:type="dxa"/>
                </w:tblCellMar>
              </w:tblPrEx>
              <w:trPr>
                <w:trHeight w:val="340" w:hRule="atLeast"/>
                <w:jc w:val="center"/>
              </w:trPr>
              <w:tc>
                <w:tcPr>
                  <w:tcW w:w="659" w:type="pct"/>
                  <w:vAlign w:val="center"/>
                </w:tcPr>
                <w:p w14:paraId="7E545739">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观音堂一组G1</w:t>
                  </w:r>
                </w:p>
              </w:tc>
              <w:tc>
                <w:tcPr>
                  <w:tcW w:w="674" w:type="pct"/>
                  <w:vAlign w:val="center"/>
                </w:tcPr>
                <w:p w14:paraId="115769ED">
                  <w:pPr>
                    <w:keepNext w:val="0"/>
                    <w:keepLines w:val="0"/>
                    <w:pageBreakBefore w:val="0"/>
                    <w:suppressLineNumbers w:val="0"/>
                    <w:kinsoku/>
                    <w:wordWrap/>
                    <w:overflowPunct/>
                    <w:topLinePunct w:val="0"/>
                    <w:bidi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lang w:val="en-US" w:eastAsia="zh-CN"/>
                    </w:rPr>
                    <w:t>119.118112</w:t>
                  </w:r>
                </w:p>
              </w:tc>
              <w:tc>
                <w:tcPr>
                  <w:tcW w:w="626" w:type="pct"/>
                  <w:vAlign w:val="center"/>
                </w:tcPr>
                <w:p w14:paraId="4D2AB4F9">
                  <w:pPr>
                    <w:keepNext w:val="0"/>
                    <w:keepLines w:val="0"/>
                    <w:pageBreakBefore w:val="0"/>
                    <w:suppressLineNumbers w:val="0"/>
                    <w:kinsoku/>
                    <w:wordWrap/>
                    <w:overflowPunct/>
                    <w:topLinePunct w:val="0"/>
                    <w:bidi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3</w:t>
                  </w:r>
                  <w:r>
                    <w:rPr>
                      <w:rFonts w:hint="default" w:ascii="Times New Roman" w:hAnsi="Times New Roman" w:eastAsia="宋体" w:cs="Times New Roman"/>
                      <w:color w:val="auto"/>
                      <w:sz w:val="18"/>
                      <w:szCs w:val="18"/>
                      <w:lang w:val="en-US" w:eastAsia="zh-CN"/>
                    </w:rPr>
                    <w:t>3.670223</w:t>
                  </w:r>
                </w:p>
              </w:tc>
              <w:tc>
                <w:tcPr>
                  <w:tcW w:w="516" w:type="pct"/>
                  <w:vAlign w:val="center"/>
                </w:tcPr>
                <w:p w14:paraId="0AD4DA88">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kern w:val="0"/>
                      <w:sz w:val="18"/>
                      <w:szCs w:val="18"/>
                      <w:lang w:val="en-US" w:eastAsia="zh-CN"/>
                    </w:rPr>
                    <w:t>TSP</w:t>
                  </w:r>
                </w:p>
              </w:tc>
              <w:tc>
                <w:tcPr>
                  <w:tcW w:w="564" w:type="pct"/>
                  <w:vAlign w:val="center"/>
                </w:tcPr>
                <w:p w14:paraId="1F3717B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eastAsia="zh-CN"/>
                    </w:rPr>
                  </w:pPr>
                  <w:r>
                    <w:rPr>
                      <w:rFonts w:hint="default" w:ascii="Times New Roman" w:hAnsi="Times New Roman" w:eastAsia="宋体" w:cs="Times New Roman"/>
                      <w:color w:val="auto"/>
                      <w:sz w:val="18"/>
                      <w:szCs w:val="18"/>
                      <w:lang w:eastAsia="zh-CN"/>
                    </w:rPr>
                    <w:t>日均值</w:t>
                  </w:r>
                </w:p>
              </w:tc>
              <w:tc>
                <w:tcPr>
                  <w:tcW w:w="492" w:type="pct"/>
                  <w:vAlign w:val="center"/>
                </w:tcPr>
                <w:p w14:paraId="35A5D705">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0.3</w:t>
                  </w:r>
                </w:p>
              </w:tc>
              <w:tc>
                <w:tcPr>
                  <w:tcW w:w="589" w:type="pct"/>
                  <w:vAlign w:val="center"/>
                </w:tcPr>
                <w:p w14:paraId="5B4B9FB7">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0.174</w:t>
                  </w:r>
                  <w:r>
                    <w:rPr>
                      <w:rFonts w:hint="default" w:ascii="Times New Roman" w:hAnsi="Times New Roman" w:eastAsia="宋体" w:cs="Times New Roman"/>
                      <w:color w:val="auto"/>
                      <w:sz w:val="18"/>
                      <w:szCs w:val="18"/>
                    </w:rPr>
                    <w:t>-</w:t>
                  </w:r>
                  <w:r>
                    <w:rPr>
                      <w:rFonts w:hint="default" w:ascii="Times New Roman" w:hAnsi="Times New Roman" w:eastAsia="宋体" w:cs="Times New Roman"/>
                      <w:color w:val="auto"/>
                      <w:sz w:val="18"/>
                      <w:szCs w:val="18"/>
                      <w:lang w:val="en-US" w:eastAsia="zh-CN"/>
                    </w:rPr>
                    <w:t>0.194</w:t>
                  </w:r>
                </w:p>
              </w:tc>
              <w:tc>
                <w:tcPr>
                  <w:tcW w:w="358" w:type="pct"/>
                  <w:vAlign w:val="center"/>
                </w:tcPr>
                <w:p w14:paraId="6F40F23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64.67</w:t>
                  </w:r>
                </w:p>
              </w:tc>
              <w:tc>
                <w:tcPr>
                  <w:tcW w:w="245" w:type="pct"/>
                  <w:vAlign w:val="center"/>
                </w:tcPr>
                <w:p w14:paraId="10036B3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0</w:t>
                  </w:r>
                </w:p>
              </w:tc>
              <w:tc>
                <w:tcPr>
                  <w:tcW w:w="273" w:type="pct"/>
                  <w:vAlign w:val="center"/>
                </w:tcPr>
                <w:p w14:paraId="4111DAD3">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达标</w:t>
                  </w:r>
                </w:p>
              </w:tc>
            </w:tr>
          </w:tbl>
          <w:p w14:paraId="15BEF0B9">
            <w:pPr>
              <w:keepNext w:val="0"/>
              <w:keepLines w:val="0"/>
              <w:suppressLineNumbers w:val="0"/>
              <w:spacing w:before="0" w:beforeAutospacing="0" w:after="0" w:afterAutospacing="0"/>
              <w:ind w:left="0" w:right="0"/>
              <w:rPr>
                <w:rFonts w:hint="default" w:ascii="Times New Roman" w:hAnsi="Times New Roman" w:eastAsia="宋体" w:cs="Times New Roman"/>
                <w:color w:val="auto"/>
              </w:rPr>
            </w:pPr>
            <w:r>
              <w:rPr>
                <w:rFonts w:hint="default" w:ascii="Times New Roman" w:hAnsi="Times New Roman" w:eastAsia="宋体" w:cs="Times New Roman"/>
                <w:color w:val="auto"/>
              </w:rPr>
              <w:t>根据表3.1-1、3.1-2统计结果可知，</w:t>
            </w:r>
            <w:r>
              <w:rPr>
                <w:rFonts w:hint="default" w:ascii="Times New Roman" w:hAnsi="Times New Roman" w:eastAsia="宋体" w:cs="Times New Roman"/>
                <w:color w:val="auto"/>
                <w:lang w:val="en-US" w:eastAsia="zh-CN"/>
              </w:rPr>
              <w:t>建设项目周边区域环境空气TSP</w:t>
            </w:r>
            <w:r>
              <w:rPr>
                <w:rFonts w:hint="default" w:ascii="Times New Roman" w:hAnsi="Times New Roman" w:eastAsia="宋体" w:cs="Times New Roman"/>
                <w:color w:val="auto"/>
              </w:rPr>
              <w:t>现状短期浓度</w:t>
            </w:r>
            <w:r>
              <w:rPr>
                <w:rFonts w:hint="default" w:ascii="Times New Roman" w:hAnsi="Times New Roman" w:eastAsia="宋体" w:cs="Times New Roman"/>
                <w:color w:val="auto"/>
                <w:lang w:val="en-US" w:eastAsia="zh-CN"/>
              </w:rPr>
              <w:t>达</w:t>
            </w:r>
            <w:r>
              <w:rPr>
                <w:rFonts w:hint="default" w:ascii="Times New Roman" w:hAnsi="Times New Roman" w:eastAsia="宋体" w:cs="Times New Roman"/>
                <w:color w:val="auto"/>
              </w:rPr>
              <w:t>标。</w:t>
            </w:r>
          </w:p>
          <w:p w14:paraId="4C056028">
            <w:pPr>
              <w:keepNext w:val="0"/>
              <w:keepLines w:val="0"/>
              <w:numPr>
                <w:ilvl w:val="0"/>
                <w:numId w:val="8"/>
              </w:numPr>
              <w:suppressLineNumbers w:val="0"/>
              <w:bidi w:val="0"/>
              <w:spacing w:before="0" w:beforeAutospacing="0" w:after="0" w:afterAutospacing="0"/>
              <w:ind w:left="0" w:leftChars="0" w:right="0" w:firstLine="482" w:firstLineChars="200"/>
              <w:rPr>
                <w:rFonts w:hint="default" w:ascii="Times New Roman" w:hAnsi="Times New Roman" w:eastAsia="宋体" w:cs="Times New Roman"/>
                <w:b/>
                <w:bCs/>
                <w:color w:val="auto"/>
                <w:lang w:val="en-US" w:eastAsia="zh-CN"/>
              </w:rPr>
            </w:pPr>
            <w:r>
              <w:rPr>
                <w:rFonts w:hint="default" w:ascii="Times New Roman" w:hAnsi="Times New Roman" w:eastAsia="宋体" w:cs="Times New Roman"/>
                <w:b/>
                <w:bCs/>
                <w:color w:val="auto"/>
                <w:lang w:val="en-US" w:eastAsia="zh-CN"/>
              </w:rPr>
              <w:t>地表水环境质量现状</w:t>
            </w:r>
          </w:p>
          <w:p w14:paraId="0666887F">
            <w:pPr>
              <w:keepNext w:val="0"/>
              <w:keepLines w:val="0"/>
              <w:suppressLineNumbers w:val="0"/>
              <w:bidi w:val="0"/>
              <w:spacing w:before="0" w:beforeAutospacing="0" w:after="0" w:afterAutospacing="0"/>
              <w:ind w:left="0" w:right="0"/>
              <w:rPr>
                <w:rFonts w:hint="default" w:ascii="Times New Roman" w:hAnsi="Times New Roman" w:eastAsia="宋体" w:cs="Times New Roman"/>
                <w:color w:val="auto"/>
                <w:lang w:val="en-US" w:eastAsia="zh-CN"/>
              </w:rPr>
            </w:pPr>
            <w:r>
              <w:rPr>
                <w:rFonts w:hint="default" w:ascii="Times New Roman" w:hAnsi="Times New Roman" w:eastAsia="宋体" w:cs="Times New Roman"/>
                <w:bCs/>
                <w:color w:val="auto"/>
                <w:sz w:val="24"/>
              </w:rPr>
              <w:t>本项目废水接管新渡片区污水处理厂处理后，尾水排入夏码大沟最终汇入盐河。根据《2023年淮安市环境状况公报》，盐河水质状况属于良好，达到功能区划Ⅲ类要求。根据《2023年淮安市生态环境状况公报》：纳入“十四五”国家地表水环境质量考核的11个国考断面中，年均水质达到或好于Ⅲ类标准的断面9个（Ⅱ类断面4个），优Ⅲ比例81.8%，达标率100%，无V类和劣V类断面。纳入江苏省“十四五”水环境质量目标考核的57个断面中水质达到或好于III类标准的断面有53个，优Ⅲ比例93%，达标率100%，无V类和劣V类断面</w:t>
            </w:r>
            <w:r>
              <w:rPr>
                <w:rFonts w:hint="default" w:ascii="Times New Roman" w:hAnsi="Times New Roman" w:eastAsia="宋体" w:cs="Times New Roman"/>
                <w:color w:val="auto"/>
              </w:rPr>
              <w:t>。</w:t>
            </w:r>
          </w:p>
          <w:p w14:paraId="5E5B304F">
            <w:pPr>
              <w:keepNext w:val="0"/>
              <w:keepLines w:val="0"/>
              <w:numPr>
                <w:ilvl w:val="0"/>
                <w:numId w:val="8"/>
              </w:numPr>
              <w:suppressLineNumbers w:val="0"/>
              <w:bidi w:val="0"/>
              <w:spacing w:before="0" w:beforeAutospacing="0" w:after="0" w:afterAutospacing="0"/>
              <w:ind w:left="0" w:leftChars="0" w:right="0" w:firstLine="482" w:firstLineChars="200"/>
              <w:rPr>
                <w:rFonts w:hint="default" w:ascii="Times New Roman" w:hAnsi="Times New Roman" w:eastAsia="宋体" w:cs="Times New Roman"/>
                <w:b/>
                <w:bCs/>
                <w:color w:val="auto"/>
                <w:lang w:val="en-US" w:eastAsia="zh-CN"/>
              </w:rPr>
            </w:pPr>
            <w:r>
              <w:rPr>
                <w:rFonts w:hint="default" w:ascii="Times New Roman" w:hAnsi="Times New Roman" w:eastAsia="宋体" w:cs="Times New Roman"/>
                <w:b/>
                <w:bCs/>
                <w:color w:val="auto"/>
                <w:lang w:val="en-US" w:eastAsia="zh-CN"/>
              </w:rPr>
              <w:t>声环境质量现状</w:t>
            </w:r>
          </w:p>
          <w:p w14:paraId="3ABFBD2D">
            <w:pPr>
              <w:keepNext w:val="0"/>
              <w:keepLines w:val="0"/>
              <w:suppressLineNumbers w:val="0"/>
              <w:spacing w:before="0" w:beforeAutospacing="0" w:after="0" w:afterAutospacing="0"/>
              <w:ind w:left="0" w:right="0"/>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根据《2023年淮安市生态环境状况公报》，2023年，淮安市声环境总体较好，全市各功能区昼夜噪声均达标。全市区域环境昼间噪声均值为55.1dB（A），夜间均值为45.3dB（A），同比均有所改善；全市昼间交通噪声均值为65.4dB（A），夜间交通噪声均值为55.4dB（A），均保持稳定，处于“好”水平。</w:t>
            </w:r>
          </w:p>
          <w:p w14:paraId="62CBA86B">
            <w:pPr>
              <w:keepNext w:val="0"/>
              <w:keepLines w:val="0"/>
              <w:suppressLineNumbers w:val="0"/>
              <w:spacing w:before="0" w:beforeAutospacing="0" w:after="0" w:afterAutospacing="0"/>
              <w:ind w:left="0" w:right="0"/>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建设项目</w:t>
            </w:r>
            <w:r>
              <w:rPr>
                <w:rFonts w:hint="default" w:ascii="Times New Roman" w:hAnsi="Times New Roman" w:eastAsia="宋体" w:cs="Times New Roman"/>
                <w:color w:val="auto"/>
              </w:rPr>
              <w:t>厂界外50米范围内不涉及声环境敏感保护目标。</w:t>
            </w:r>
          </w:p>
          <w:p w14:paraId="07462FC7">
            <w:pPr>
              <w:keepNext w:val="0"/>
              <w:keepLines w:val="0"/>
              <w:numPr>
                <w:ilvl w:val="0"/>
                <w:numId w:val="8"/>
              </w:numPr>
              <w:suppressLineNumbers w:val="0"/>
              <w:bidi w:val="0"/>
              <w:spacing w:before="0" w:beforeAutospacing="0" w:after="0" w:afterAutospacing="0"/>
              <w:ind w:left="0" w:leftChars="0" w:right="0" w:firstLine="482" w:firstLineChars="200"/>
              <w:rPr>
                <w:rFonts w:hint="default" w:ascii="Times New Roman" w:hAnsi="Times New Roman" w:eastAsia="宋体" w:cs="Times New Roman"/>
                <w:b/>
                <w:bCs/>
                <w:color w:val="auto"/>
                <w:lang w:val="en-US" w:eastAsia="zh-CN"/>
              </w:rPr>
            </w:pPr>
            <w:r>
              <w:rPr>
                <w:rFonts w:hint="default" w:ascii="Times New Roman" w:hAnsi="Times New Roman" w:eastAsia="宋体" w:cs="Times New Roman"/>
                <w:b/>
                <w:bCs/>
                <w:color w:val="auto"/>
                <w:lang w:val="en-US" w:eastAsia="zh-CN"/>
              </w:rPr>
              <w:t>地下水、土壤环境质量现状</w:t>
            </w:r>
          </w:p>
          <w:p w14:paraId="39E80AEF">
            <w:pPr>
              <w:keepNext w:val="0"/>
              <w:keepLines w:val="0"/>
              <w:suppressLineNumbers w:val="0"/>
              <w:spacing w:before="0" w:beforeAutospacing="0" w:after="0" w:afterAutospacing="0"/>
              <w:ind w:left="0" w:right="0" w:firstLine="480"/>
              <w:rPr>
                <w:rFonts w:hint="default" w:ascii="Times New Roman" w:hAnsi="Times New Roman" w:eastAsia="宋体" w:cs="Times New Roman"/>
                <w:color w:val="auto"/>
              </w:rPr>
            </w:pPr>
            <w:r>
              <w:rPr>
                <w:rFonts w:hint="eastAsia" w:cs="Times New Roman"/>
                <w:color w:val="auto"/>
                <w:lang w:val="en-US" w:eastAsia="zh-CN"/>
              </w:rPr>
              <w:t>拟建</w:t>
            </w:r>
            <w:r>
              <w:rPr>
                <w:rFonts w:hint="default" w:ascii="Times New Roman" w:hAnsi="Times New Roman" w:eastAsia="宋体" w:cs="Times New Roman"/>
                <w:color w:val="auto"/>
                <w:lang w:val="en-US" w:eastAsia="zh-CN"/>
              </w:rPr>
              <w:t>项目</w:t>
            </w:r>
            <w:r>
              <w:rPr>
                <w:rFonts w:hint="eastAsia" w:cs="Times New Roman"/>
                <w:color w:val="auto"/>
                <w:lang w:val="en-US" w:eastAsia="zh-CN"/>
              </w:rPr>
              <w:t>生产</w:t>
            </w:r>
            <w:r>
              <w:rPr>
                <w:rFonts w:hint="default" w:ascii="Times New Roman" w:hAnsi="Times New Roman" w:eastAsia="宋体" w:cs="Times New Roman"/>
                <w:b w:val="0"/>
                <w:bCs w:val="0"/>
                <w:color w:val="auto"/>
                <w:lang w:val="en-US" w:eastAsia="zh-CN"/>
              </w:rPr>
              <w:t>厂房、</w:t>
            </w:r>
            <w:r>
              <w:rPr>
                <w:rFonts w:hint="eastAsia" w:cs="Times New Roman"/>
                <w:b w:val="0"/>
                <w:bCs w:val="0"/>
                <w:color w:val="auto"/>
                <w:lang w:val="en-US" w:eastAsia="zh-CN"/>
              </w:rPr>
              <w:t>物料仓储区</w:t>
            </w:r>
            <w:r>
              <w:rPr>
                <w:rFonts w:hint="default" w:ascii="Times New Roman" w:hAnsi="Times New Roman" w:eastAsia="宋体" w:cs="Times New Roman"/>
                <w:b w:val="0"/>
                <w:bCs w:val="0"/>
                <w:color w:val="auto"/>
                <w:lang w:val="en-US" w:eastAsia="zh-CN"/>
              </w:rPr>
              <w:t>、一般工业固废仓库</w:t>
            </w:r>
            <w:r>
              <w:rPr>
                <w:rFonts w:hint="default" w:ascii="Times New Roman" w:hAnsi="Times New Roman" w:eastAsia="宋体" w:cs="Times New Roman"/>
                <w:color w:val="auto"/>
                <w:lang w:val="en-US" w:eastAsia="zh-CN"/>
              </w:rPr>
              <w:t>等构筑物拟</w:t>
            </w:r>
            <w:r>
              <w:rPr>
                <w:rFonts w:hint="default" w:ascii="Times New Roman" w:hAnsi="Times New Roman" w:eastAsia="宋体" w:cs="Times New Roman"/>
                <w:color w:val="auto"/>
              </w:rPr>
              <w:t>采取防腐防渗措施，基本不存在地下水、土壤污染途径，根据《建设项目环境影响报告表编制技术指南（污染影响类）》，</w:t>
            </w:r>
            <w:r>
              <w:rPr>
                <w:rFonts w:hint="default" w:ascii="Times New Roman" w:hAnsi="Times New Roman" w:eastAsia="宋体" w:cs="Times New Roman"/>
                <w:color w:val="auto"/>
                <w:lang w:val="en-US" w:eastAsia="zh-CN"/>
              </w:rPr>
              <w:t>建设项目</w:t>
            </w:r>
            <w:r>
              <w:rPr>
                <w:rFonts w:hint="default" w:ascii="Times New Roman" w:hAnsi="Times New Roman" w:eastAsia="宋体" w:cs="Times New Roman"/>
                <w:color w:val="auto"/>
              </w:rPr>
              <w:t>可不开展地下水、土壤环境质量现状调查。</w:t>
            </w:r>
          </w:p>
          <w:p w14:paraId="35A521AB">
            <w:pPr>
              <w:keepNext w:val="0"/>
              <w:keepLines w:val="0"/>
              <w:numPr>
                <w:ilvl w:val="0"/>
                <w:numId w:val="8"/>
              </w:numPr>
              <w:suppressLineNumbers w:val="0"/>
              <w:bidi w:val="0"/>
              <w:spacing w:before="0" w:beforeAutospacing="0" w:after="0" w:afterAutospacing="0"/>
              <w:ind w:left="0" w:leftChars="0" w:right="0" w:firstLine="482" w:firstLineChars="200"/>
              <w:rPr>
                <w:rFonts w:hint="default" w:ascii="Times New Roman" w:hAnsi="Times New Roman" w:eastAsia="宋体" w:cs="Times New Roman"/>
                <w:b/>
                <w:bCs/>
                <w:color w:val="auto"/>
                <w:lang w:val="en-US" w:eastAsia="zh-CN"/>
              </w:rPr>
            </w:pPr>
            <w:r>
              <w:rPr>
                <w:rFonts w:hint="default" w:ascii="Times New Roman" w:hAnsi="Times New Roman" w:eastAsia="宋体" w:cs="Times New Roman"/>
                <w:b/>
                <w:bCs/>
                <w:color w:val="auto"/>
                <w:lang w:val="en-US" w:eastAsia="zh-CN"/>
              </w:rPr>
              <w:t>生态环境质量现状</w:t>
            </w:r>
          </w:p>
          <w:p w14:paraId="2447CD18">
            <w:pPr>
              <w:keepNext w:val="0"/>
              <w:keepLines w:val="0"/>
              <w:suppressLineNumbers w:val="0"/>
              <w:bidi w:val="0"/>
              <w:spacing w:before="0" w:beforeAutospacing="0" w:after="0" w:afterAutospacing="0"/>
              <w:ind w:left="0" w:right="0"/>
              <w:rPr>
                <w:rFonts w:hint="default" w:ascii="Times New Roman" w:hAnsi="Times New Roman" w:eastAsia="宋体" w:cs="Times New Roman"/>
                <w:color w:val="auto"/>
                <w:lang w:val="en-US" w:eastAsia="zh-CN"/>
              </w:rPr>
            </w:pPr>
            <w:r>
              <w:rPr>
                <w:rFonts w:hint="eastAsia" w:cs="Times New Roman"/>
                <w:color w:val="auto"/>
                <w:kern w:val="0"/>
                <w:sz w:val="24"/>
                <w:lang w:val="en-US" w:eastAsia="zh-CN"/>
              </w:rPr>
              <w:t>拟建项目依托现有厂房</w:t>
            </w:r>
            <w:r>
              <w:rPr>
                <w:rFonts w:hint="default" w:ascii="Times New Roman" w:hAnsi="Times New Roman" w:eastAsia="宋体" w:cs="Times New Roman"/>
                <w:color w:val="auto"/>
                <w:lang w:val="en-US" w:eastAsia="zh-CN"/>
              </w:rPr>
              <w:t>，项目不新增占地</w:t>
            </w:r>
            <w:r>
              <w:rPr>
                <w:rFonts w:hint="default" w:ascii="Times New Roman" w:hAnsi="Times New Roman" w:eastAsia="宋体" w:cs="Times New Roman"/>
                <w:color w:val="auto"/>
                <w:kern w:val="0"/>
                <w:sz w:val="24"/>
                <w:lang w:eastAsia="zh-CN"/>
              </w:rPr>
              <w:t>，</w:t>
            </w:r>
            <w:r>
              <w:rPr>
                <w:rFonts w:hint="default" w:ascii="Times New Roman" w:hAnsi="Times New Roman" w:eastAsia="宋体" w:cs="Times New Roman"/>
                <w:color w:val="auto"/>
                <w:kern w:val="0"/>
                <w:sz w:val="24"/>
              </w:rPr>
              <w:t>不</w:t>
            </w:r>
            <w:r>
              <w:rPr>
                <w:rFonts w:hint="default" w:ascii="Times New Roman" w:hAnsi="Times New Roman" w:eastAsia="宋体" w:cs="Times New Roman"/>
                <w:color w:val="auto"/>
                <w:kern w:val="0"/>
                <w:sz w:val="24"/>
                <w:lang w:val="en-US" w:eastAsia="zh-CN"/>
              </w:rPr>
              <w:t>涉及</w:t>
            </w:r>
            <w:r>
              <w:rPr>
                <w:rFonts w:hint="default" w:ascii="Times New Roman" w:hAnsi="Times New Roman" w:eastAsia="宋体" w:cs="Times New Roman"/>
                <w:color w:val="auto"/>
                <w:kern w:val="0"/>
                <w:sz w:val="24"/>
              </w:rPr>
              <w:t>生态保护目标，故无需进行生态现状调查。</w:t>
            </w:r>
          </w:p>
          <w:p w14:paraId="62D0F5F6">
            <w:pPr>
              <w:keepNext w:val="0"/>
              <w:keepLines w:val="0"/>
              <w:numPr>
                <w:ilvl w:val="0"/>
                <w:numId w:val="8"/>
              </w:numPr>
              <w:suppressLineNumbers w:val="0"/>
              <w:bidi w:val="0"/>
              <w:spacing w:before="0" w:beforeAutospacing="0" w:after="0" w:afterAutospacing="0"/>
              <w:ind w:left="0" w:leftChars="0" w:right="0" w:firstLine="482" w:firstLineChars="200"/>
              <w:rPr>
                <w:rFonts w:hint="default" w:ascii="Times New Roman" w:hAnsi="Times New Roman" w:eastAsia="宋体" w:cs="Times New Roman"/>
                <w:b/>
                <w:bCs/>
                <w:color w:val="auto"/>
                <w:lang w:val="en-US" w:eastAsia="zh-CN"/>
              </w:rPr>
            </w:pPr>
            <w:r>
              <w:rPr>
                <w:rFonts w:hint="default" w:ascii="Times New Roman" w:hAnsi="Times New Roman" w:eastAsia="宋体" w:cs="Times New Roman"/>
                <w:b/>
                <w:bCs/>
                <w:color w:val="auto"/>
                <w:lang w:val="en-US" w:eastAsia="zh-CN"/>
              </w:rPr>
              <w:t>电磁辐射</w:t>
            </w:r>
          </w:p>
          <w:p w14:paraId="493A12D9">
            <w:pPr>
              <w:keepNext w:val="0"/>
              <w:keepLines w:val="0"/>
              <w:suppressLineNumbers w:val="0"/>
              <w:adjustRightInd w:val="0"/>
              <w:snapToGrid w:val="0"/>
              <w:spacing w:before="0" w:beforeAutospacing="0" w:after="0" w:afterAutospacing="0" w:line="360" w:lineRule="auto"/>
              <w:ind w:left="0" w:right="0" w:firstLine="480" w:firstLineChars="200"/>
              <w:jc w:val="left"/>
              <w:rPr>
                <w:rFonts w:hint="default" w:ascii="Times New Roman" w:hAnsi="Times New Roman" w:eastAsia="宋体" w:cs="Times New Roman"/>
                <w:color w:val="auto"/>
                <w:kern w:val="0"/>
                <w:sz w:val="24"/>
              </w:rPr>
            </w:pPr>
            <w:r>
              <w:rPr>
                <w:rFonts w:hint="default" w:ascii="Times New Roman" w:hAnsi="Times New Roman" w:eastAsia="宋体" w:cs="Times New Roman"/>
                <w:color w:val="auto"/>
                <w:kern w:val="0"/>
                <w:sz w:val="24"/>
                <w:lang w:val="en-US" w:eastAsia="zh-CN"/>
              </w:rPr>
              <w:t>建设项目不涉及电磁辐射</w:t>
            </w:r>
            <w:r>
              <w:rPr>
                <w:rFonts w:hint="default" w:ascii="Times New Roman" w:hAnsi="Times New Roman" w:eastAsia="宋体" w:cs="Times New Roman"/>
                <w:color w:val="auto"/>
                <w:kern w:val="0"/>
                <w:sz w:val="24"/>
              </w:rPr>
              <w:t>。</w:t>
            </w:r>
          </w:p>
          <w:p w14:paraId="5E135F4B">
            <w:pPr>
              <w:keepNext w:val="0"/>
              <w:keepLines w:val="0"/>
              <w:suppressLineNumbers w:val="0"/>
              <w:adjustRightInd w:val="0"/>
              <w:snapToGrid w:val="0"/>
              <w:spacing w:before="0" w:beforeAutospacing="0" w:after="0" w:afterAutospacing="0" w:line="360" w:lineRule="auto"/>
              <w:ind w:left="0" w:right="0" w:firstLine="480" w:firstLineChars="200"/>
              <w:jc w:val="left"/>
              <w:rPr>
                <w:rFonts w:hint="default" w:ascii="Times New Roman" w:hAnsi="Times New Roman" w:eastAsia="宋体" w:cs="Times New Roman"/>
                <w:color w:val="auto"/>
                <w:kern w:val="0"/>
                <w:sz w:val="24"/>
              </w:rPr>
            </w:pPr>
          </w:p>
          <w:p w14:paraId="33414F83">
            <w:pPr>
              <w:keepNext w:val="0"/>
              <w:keepLines w:val="0"/>
              <w:suppressLineNumbers w:val="0"/>
              <w:adjustRightInd w:val="0"/>
              <w:snapToGrid w:val="0"/>
              <w:spacing w:before="0" w:beforeAutospacing="0" w:after="0" w:afterAutospacing="0" w:line="360" w:lineRule="auto"/>
              <w:ind w:left="0" w:right="0" w:firstLine="480" w:firstLineChars="200"/>
              <w:jc w:val="left"/>
              <w:rPr>
                <w:rFonts w:hint="default" w:ascii="Times New Roman" w:hAnsi="Times New Roman" w:eastAsia="宋体" w:cs="Times New Roman"/>
                <w:color w:val="auto"/>
                <w:kern w:val="0"/>
                <w:sz w:val="24"/>
              </w:rPr>
            </w:pPr>
          </w:p>
          <w:p w14:paraId="3ACD1B7C">
            <w:pPr>
              <w:keepNext w:val="0"/>
              <w:keepLines w:val="0"/>
              <w:suppressLineNumbers w:val="0"/>
              <w:adjustRightInd w:val="0"/>
              <w:snapToGrid w:val="0"/>
              <w:spacing w:before="0" w:beforeAutospacing="0" w:after="0" w:afterAutospacing="0" w:line="360" w:lineRule="auto"/>
              <w:ind w:left="0" w:right="0" w:firstLine="480" w:firstLineChars="200"/>
              <w:jc w:val="left"/>
              <w:rPr>
                <w:rFonts w:hint="default" w:ascii="Times New Roman" w:hAnsi="Times New Roman" w:eastAsia="宋体" w:cs="Times New Roman"/>
                <w:color w:val="auto"/>
                <w:kern w:val="0"/>
                <w:sz w:val="24"/>
              </w:rPr>
            </w:pPr>
          </w:p>
          <w:p w14:paraId="05A5DB40">
            <w:pPr>
              <w:keepNext w:val="0"/>
              <w:keepLines w:val="0"/>
              <w:suppressLineNumbers w:val="0"/>
              <w:adjustRightInd w:val="0"/>
              <w:snapToGrid w:val="0"/>
              <w:spacing w:before="0" w:beforeAutospacing="0" w:after="0" w:afterAutospacing="0" w:line="360" w:lineRule="auto"/>
              <w:ind w:left="0" w:right="0" w:firstLine="480" w:firstLineChars="200"/>
              <w:jc w:val="left"/>
              <w:rPr>
                <w:rFonts w:hint="default" w:ascii="Times New Roman" w:hAnsi="Times New Roman" w:eastAsia="宋体" w:cs="Times New Roman"/>
                <w:color w:val="auto"/>
                <w:kern w:val="0"/>
                <w:sz w:val="24"/>
              </w:rPr>
            </w:pPr>
          </w:p>
          <w:p w14:paraId="37442116">
            <w:pPr>
              <w:keepNext w:val="0"/>
              <w:keepLines w:val="0"/>
              <w:suppressLineNumbers w:val="0"/>
              <w:adjustRightInd w:val="0"/>
              <w:snapToGrid w:val="0"/>
              <w:spacing w:before="0" w:beforeAutospacing="0" w:after="0" w:afterAutospacing="0" w:line="360" w:lineRule="auto"/>
              <w:ind w:left="0" w:right="0" w:firstLine="480" w:firstLineChars="200"/>
              <w:jc w:val="left"/>
              <w:rPr>
                <w:rFonts w:hint="default" w:ascii="Times New Roman" w:hAnsi="Times New Roman" w:eastAsia="宋体" w:cs="Times New Roman"/>
                <w:color w:val="auto"/>
                <w:kern w:val="0"/>
                <w:sz w:val="24"/>
              </w:rPr>
            </w:pPr>
          </w:p>
          <w:p w14:paraId="7444B9B2">
            <w:pPr>
              <w:keepNext w:val="0"/>
              <w:keepLines w:val="0"/>
              <w:suppressLineNumbers w:val="0"/>
              <w:adjustRightInd w:val="0"/>
              <w:snapToGrid w:val="0"/>
              <w:spacing w:before="0" w:beforeAutospacing="0" w:after="0" w:afterAutospacing="0" w:line="360" w:lineRule="auto"/>
              <w:ind w:left="0" w:right="0" w:firstLine="480" w:firstLineChars="200"/>
              <w:jc w:val="left"/>
              <w:rPr>
                <w:rFonts w:hint="default" w:ascii="Times New Roman" w:hAnsi="Times New Roman" w:eastAsia="宋体" w:cs="Times New Roman"/>
                <w:color w:val="auto"/>
                <w:kern w:val="0"/>
                <w:sz w:val="24"/>
              </w:rPr>
            </w:pPr>
          </w:p>
          <w:p w14:paraId="32D7DD64">
            <w:pPr>
              <w:keepNext w:val="0"/>
              <w:keepLines w:val="0"/>
              <w:suppressLineNumbers w:val="0"/>
              <w:adjustRightInd w:val="0"/>
              <w:snapToGrid w:val="0"/>
              <w:spacing w:before="0" w:beforeAutospacing="0" w:after="0" w:afterAutospacing="0" w:line="360" w:lineRule="auto"/>
              <w:ind w:left="0" w:right="0" w:firstLine="480" w:firstLineChars="200"/>
              <w:jc w:val="left"/>
              <w:rPr>
                <w:rFonts w:hint="default" w:ascii="Times New Roman" w:hAnsi="Times New Roman" w:eastAsia="宋体" w:cs="Times New Roman"/>
                <w:color w:val="auto"/>
                <w:kern w:val="0"/>
                <w:sz w:val="24"/>
              </w:rPr>
            </w:pPr>
          </w:p>
          <w:p w14:paraId="2FACC525">
            <w:pPr>
              <w:keepNext w:val="0"/>
              <w:keepLines w:val="0"/>
              <w:suppressLineNumbers w:val="0"/>
              <w:adjustRightInd w:val="0"/>
              <w:snapToGrid w:val="0"/>
              <w:spacing w:before="0" w:beforeAutospacing="0" w:after="0" w:afterAutospacing="0" w:line="360" w:lineRule="auto"/>
              <w:ind w:left="0" w:right="0" w:firstLine="480" w:firstLineChars="200"/>
              <w:jc w:val="left"/>
              <w:rPr>
                <w:rFonts w:hint="default" w:ascii="Times New Roman" w:hAnsi="Times New Roman" w:eastAsia="宋体" w:cs="Times New Roman"/>
                <w:color w:val="auto"/>
                <w:kern w:val="0"/>
                <w:sz w:val="24"/>
              </w:rPr>
            </w:pPr>
          </w:p>
          <w:p w14:paraId="01CCA2A4">
            <w:pPr>
              <w:keepNext w:val="0"/>
              <w:keepLines w:val="0"/>
              <w:suppressLineNumbers w:val="0"/>
              <w:adjustRightInd w:val="0"/>
              <w:snapToGrid w:val="0"/>
              <w:spacing w:before="0" w:beforeAutospacing="0" w:after="0" w:afterAutospacing="0" w:line="360" w:lineRule="auto"/>
              <w:ind w:left="0" w:right="0" w:firstLine="480" w:firstLineChars="200"/>
              <w:jc w:val="left"/>
              <w:rPr>
                <w:rFonts w:hint="default" w:ascii="Times New Roman" w:hAnsi="Times New Roman" w:eastAsia="宋体" w:cs="Times New Roman"/>
                <w:color w:val="auto"/>
                <w:kern w:val="0"/>
                <w:sz w:val="24"/>
              </w:rPr>
            </w:pPr>
          </w:p>
          <w:p w14:paraId="4C5BB1BE">
            <w:pPr>
              <w:keepNext w:val="0"/>
              <w:keepLines w:val="0"/>
              <w:suppressLineNumbers w:val="0"/>
              <w:adjustRightInd w:val="0"/>
              <w:snapToGrid w:val="0"/>
              <w:spacing w:before="0" w:beforeAutospacing="0" w:after="0" w:afterAutospacing="0" w:line="360" w:lineRule="auto"/>
              <w:ind w:left="0" w:right="0" w:firstLine="480" w:firstLineChars="200"/>
              <w:jc w:val="left"/>
              <w:rPr>
                <w:rFonts w:hint="default" w:ascii="Times New Roman" w:hAnsi="Times New Roman" w:eastAsia="宋体" w:cs="Times New Roman"/>
                <w:color w:val="auto"/>
                <w:kern w:val="0"/>
                <w:sz w:val="24"/>
              </w:rPr>
            </w:pPr>
          </w:p>
          <w:p w14:paraId="774C1855">
            <w:pPr>
              <w:keepNext w:val="0"/>
              <w:keepLines w:val="0"/>
              <w:suppressLineNumbers w:val="0"/>
              <w:adjustRightInd w:val="0"/>
              <w:snapToGrid w:val="0"/>
              <w:spacing w:before="0" w:beforeAutospacing="0" w:after="0" w:afterAutospacing="0" w:line="360" w:lineRule="auto"/>
              <w:ind w:left="0" w:right="0" w:firstLine="480" w:firstLineChars="200"/>
              <w:jc w:val="left"/>
              <w:rPr>
                <w:rFonts w:hint="default" w:ascii="Times New Roman" w:hAnsi="Times New Roman" w:eastAsia="宋体" w:cs="Times New Roman"/>
                <w:color w:val="auto"/>
                <w:kern w:val="0"/>
                <w:sz w:val="24"/>
              </w:rPr>
            </w:pPr>
          </w:p>
          <w:p w14:paraId="16C4B917">
            <w:pPr>
              <w:keepNext w:val="0"/>
              <w:keepLines w:val="0"/>
              <w:suppressLineNumbers w:val="0"/>
              <w:adjustRightInd w:val="0"/>
              <w:snapToGrid w:val="0"/>
              <w:spacing w:before="0" w:beforeAutospacing="0" w:after="0" w:afterAutospacing="0" w:line="360" w:lineRule="auto"/>
              <w:ind w:left="0" w:right="0" w:firstLine="480" w:firstLineChars="200"/>
              <w:jc w:val="left"/>
              <w:rPr>
                <w:rFonts w:hint="default" w:ascii="Times New Roman" w:hAnsi="Times New Roman" w:eastAsia="宋体" w:cs="Times New Roman"/>
                <w:color w:val="auto"/>
                <w:kern w:val="0"/>
                <w:sz w:val="24"/>
              </w:rPr>
            </w:pPr>
          </w:p>
          <w:p w14:paraId="77ED80DB">
            <w:pPr>
              <w:keepNext w:val="0"/>
              <w:keepLines w:val="0"/>
              <w:suppressLineNumbers w:val="0"/>
              <w:adjustRightInd w:val="0"/>
              <w:snapToGrid w:val="0"/>
              <w:spacing w:before="0" w:beforeAutospacing="0" w:after="0" w:afterAutospacing="0" w:line="360" w:lineRule="auto"/>
              <w:ind w:left="0" w:right="0" w:firstLine="480" w:firstLineChars="200"/>
              <w:jc w:val="left"/>
              <w:rPr>
                <w:rFonts w:hint="default" w:ascii="Times New Roman" w:hAnsi="Times New Roman" w:eastAsia="宋体" w:cs="Times New Roman"/>
                <w:color w:val="auto"/>
                <w:kern w:val="0"/>
                <w:sz w:val="24"/>
              </w:rPr>
            </w:pPr>
          </w:p>
          <w:p w14:paraId="3B377FCC">
            <w:pPr>
              <w:keepNext w:val="0"/>
              <w:keepLines w:val="0"/>
              <w:suppressLineNumbers w:val="0"/>
              <w:adjustRightInd w:val="0"/>
              <w:snapToGrid w:val="0"/>
              <w:spacing w:before="0" w:beforeAutospacing="0" w:after="0" w:afterAutospacing="0" w:line="360" w:lineRule="auto"/>
              <w:ind w:left="0" w:right="0" w:firstLine="480" w:firstLineChars="200"/>
              <w:jc w:val="left"/>
              <w:rPr>
                <w:rFonts w:hint="default" w:ascii="Times New Roman" w:hAnsi="Times New Roman" w:eastAsia="宋体" w:cs="Times New Roman"/>
                <w:color w:val="auto"/>
                <w:kern w:val="0"/>
                <w:sz w:val="24"/>
              </w:rPr>
            </w:pPr>
          </w:p>
          <w:p w14:paraId="4CBEDEFE">
            <w:pPr>
              <w:keepNext w:val="0"/>
              <w:keepLines w:val="0"/>
              <w:suppressLineNumbers w:val="0"/>
              <w:adjustRightInd w:val="0"/>
              <w:snapToGrid w:val="0"/>
              <w:spacing w:before="0" w:beforeAutospacing="0" w:after="0" w:afterAutospacing="0" w:line="360" w:lineRule="auto"/>
              <w:ind w:left="0" w:right="0" w:firstLine="480" w:firstLineChars="200"/>
              <w:jc w:val="left"/>
              <w:rPr>
                <w:rFonts w:hint="default" w:ascii="Times New Roman" w:hAnsi="Times New Roman" w:eastAsia="宋体" w:cs="Times New Roman"/>
                <w:color w:val="auto"/>
                <w:kern w:val="0"/>
                <w:sz w:val="24"/>
              </w:rPr>
            </w:pPr>
          </w:p>
          <w:p w14:paraId="32BE24F8">
            <w:pPr>
              <w:keepNext w:val="0"/>
              <w:keepLines w:val="0"/>
              <w:suppressLineNumbers w:val="0"/>
              <w:adjustRightInd w:val="0"/>
              <w:snapToGrid w:val="0"/>
              <w:spacing w:before="0" w:beforeAutospacing="0" w:after="0" w:afterAutospacing="0" w:line="360" w:lineRule="auto"/>
              <w:ind w:left="0" w:right="0" w:firstLine="480" w:firstLineChars="200"/>
              <w:jc w:val="left"/>
              <w:rPr>
                <w:rFonts w:hint="default" w:ascii="Times New Roman" w:hAnsi="Times New Roman" w:eastAsia="宋体" w:cs="Times New Roman"/>
                <w:color w:val="auto"/>
                <w:kern w:val="0"/>
                <w:sz w:val="24"/>
              </w:rPr>
            </w:pPr>
          </w:p>
          <w:p w14:paraId="3AA85C5E">
            <w:pPr>
              <w:keepNext w:val="0"/>
              <w:keepLines w:val="0"/>
              <w:suppressLineNumbers w:val="0"/>
              <w:adjustRightInd w:val="0"/>
              <w:snapToGrid w:val="0"/>
              <w:spacing w:before="0" w:beforeAutospacing="0" w:after="0" w:afterAutospacing="0" w:line="360" w:lineRule="auto"/>
              <w:ind w:left="0" w:right="0" w:firstLine="480" w:firstLineChars="200"/>
              <w:jc w:val="left"/>
              <w:rPr>
                <w:rFonts w:hint="default" w:ascii="Times New Roman" w:hAnsi="Times New Roman" w:eastAsia="宋体" w:cs="Times New Roman"/>
                <w:color w:val="auto"/>
                <w:kern w:val="0"/>
                <w:sz w:val="24"/>
              </w:rPr>
            </w:pPr>
          </w:p>
          <w:p w14:paraId="457B999A">
            <w:pPr>
              <w:keepNext w:val="0"/>
              <w:keepLines w:val="0"/>
              <w:suppressLineNumbers w:val="0"/>
              <w:adjustRightInd w:val="0"/>
              <w:snapToGrid w:val="0"/>
              <w:spacing w:before="0" w:beforeAutospacing="0" w:after="0" w:afterAutospacing="0" w:line="360" w:lineRule="auto"/>
              <w:ind w:left="0" w:right="0" w:firstLine="480" w:firstLineChars="200"/>
              <w:jc w:val="left"/>
              <w:rPr>
                <w:rFonts w:hint="default" w:ascii="Times New Roman" w:hAnsi="Times New Roman" w:eastAsia="宋体" w:cs="Times New Roman"/>
                <w:color w:val="auto"/>
                <w:kern w:val="0"/>
                <w:sz w:val="24"/>
              </w:rPr>
            </w:pPr>
          </w:p>
          <w:p w14:paraId="03FFAB68">
            <w:pPr>
              <w:keepNext w:val="0"/>
              <w:keepLines w:val="0"/>
              <w:suppressLineNumbers w:val="0"/>
              <w:adjustRightInd w:val="0"/>
              <w:snapToGrid w:val="0"/>
              <w:spacing w:before="0" w:beforeAutospacing="0" w:after="0" w:afterAutospacing="0" w:line="360" w:lineRule="auto"/>
              <w:ind w:left="0" w:right="0" w:firstLine="480" w:firstLineChars="200"/>
              <w:jc w:val="left"/>
              <w:rPr>
                <w:rFonts w:hint="default" w:ascii="Times New Roman" w:hAnsi="Times New Roman" w:eastAsia="宋体" w:cs="Times New Roman"/>
                <w:color w:val="auto"/>
                <w:kern w:val="0"/>
                <w:sz w:val="24"/>
              </w:rPr>
            </w:pPr>
          </w:p>
          <w:p w14:paraId="19A350E8">
            <w:pPr>
              <w:keepNext w:val="0"/>
              <w:keepLines w:val="0"/>
              <w:suppressLineNumbers w:val="0"/>
              <w:adjustRightInd w:val="0"/>
              <w:snapToGrid w:val="0"/>
              <w:spacing w:before="0" w:beforeAutospacing="0" w:after="0" w:afterAutospacing="0" w:line="360" w:lineRule="auto"/>
              <w:ind w:left="0" w:right="0" w:firstLine="480" w:firstLineChars="200"/>
              <w:jc w:val="left"/>
              <w:rPr>
                <w:rFonts w:hint="default" w:ascii="Times New Roman" w:hAnsi="Times New Roman" w:eastAsia="宋体" w:cs="Times New Roman"/>
                <w:color w:val="auto"/>
                <w:kern w:val="0"/>
                <w:sz w:val="24"/>
              </w:rPr>
            </w:pPr>
          </w:p>
          <w:p w14:paraId="1D8DF62A">
            <w:pPr>
              <w:keepNext w:val="0"/>
              <w:keepLines w:val="0"/>
              <w:suppressLineNumbers w:val="0"/>
              <w:adjustRightInd w:val="0"/>
              <w:snapToGrid w:val="0"/>
              <w:spacing w:before="0" w:beforeAutospacing="0" w:after="0" w:afterAutospacing="0" w:line="360" w:lineRule="auto"/>
              <w:ind w:left="0" w:right="0" w:firstLine="480" w:firstLineChars="200"/>
              <w:jc w:val="left"/>
              <w:rPr>
                <w:rFonts w:hint="default" w:ascii="Times New Roman" w:hAnsi="Times New Roman" w:eastAsia="宋体" w:cs="Times New Roman"/>
                <w:color w:val="auto"/>
                <w:kern w:val="0"/>
                <w:sz w:val="24"/>
              </w:rPr>
            </w:pPr>
          </w:p>
          <w:p w14:paraId="7A61B0D6">
            <w:pPr>
              <w:keepNext w:val="0"/>
              <w:keepLines w:val="0"/>
              <w:suppressLineNumbers w:val="0"/>
              <w:adjustRightInd w:val="0"/>
              <w:snapToGrid w:val="0"/>
              <w:spacing w:before="0" w:beforeAutospacing="0" w:after="0" w:afterAutospacing="0" w:line="360" w:lineRule="auto"/>
              <w:ind w:left="0" w:right="0" w:firstLine="480" w:firstLineChars="200"/>
              <w:jc w:val="left"/>
              <w:rPr>
                <w:rFonts w:hint="default" w:ascii="Times New Roman" w:hAnsi="Times New Roman" w:eastAsia="宋体" w:cs="Times New Roman"/>
                <w:color w:val="auto"/>
                <w:kern w:val="0"/>
                <w:sz w:val="24"/>
              </w:rPr>
            </w:pPr>
          </w:p>
          <w:p w14:paraId="0DBF367F">
            <w:pPr>
              <w:keepNext w:val="0"/>
              <w:keepLines w:val="0"/>
              <w:suppressLineNumbers w:val="0"/>
              <w:adjustRightInd w:val="0"/>
              <w:snapToGrid w:val="0"/>
              <w:spacing w:before="0" w:beforeAutospacing="0" w:after="0" w:afterAutospacing="0" w:line="360" w:lineRule="auto"/>
              <w:ind w:left="0" w:right="0" w:firstLine="480" w:firstLineChars="200"/>
              <w:jc w:val="left"/>
              <w:rPr>
                <w:rFonts w:hint="default" w:ascii="Times New Roman" w:hAnsi="Times New Roman" w:eastAsia="宋体" w:cs="Times New Roman"/>
                <w:color w:val="auto"/>
                <w:sz w:val="24"/>
                <w:lang w:val="en-US" w:eastAsia="zh-CN"/>
              </w:rPr>
            </w:pPr>
          </w:p>
        </w:tc>
      </w:tr>
      <w:tr w14:paraId="54B51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23" w:hRule="atLeast"/>
        </w:trPr>
        <w:tc>
          <w:tcPr>
            <w:tcW w:w="460" w:type="dxa"/>
            <w:vAlign w:val="center"/>
          </w:tcPr>
          <w:p w14:paraId="2E6B0CC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vertAlign w:val="baseline"/>
                <w:lang w:val="en-US" w:eastAsia="zh-CN"/>
              </w:rPr>
            </w:pPr>
            <w:r>
              <w:rPr>
                <w:rFonts w:hint="default" w:ascii="Times New Roman" w:hAnsi="Times New Roman" w:eastAsia="宋体" w:cs="Times New Roman"/>
                <w:b/>
                <w:bCs/>
                <w:color w:val="auto"/>
                <w:vertAlign w:val="baseline"/>
                <w:lang w:val="en-US" w:eastAsia="zh-CN"/>
              </w:rPr>
              <w:t>环境保护目标</w:t>
            </w:r>
          </w:p>
        </w:tc>
        <w:tc>
          <w:tcPr>
            <w:tcW w:w="8062" w:type="dxa"/>
          </w:tcPr>
          <w:p w14:paraId="274D2186">
            <w:pPr>
              <w:keepNext w:val="0"/>
              <w:keepLines w:val="0"/>
              <w:suppressLineNumbers w:val="0"/>
              <w:adjustRightInd w:val="0"/>
              <w:snapToGrid w:val="0"/>
              <w:spacing w:before="0" w:beforeLines="50" w:beforeAutospacing="0" w:after="0" w:afterAutospacing="0" w:line="360" w:lineRule="auto"/>
              <w:ind w:left="0" w:right="0" w:firstLine="480" w:firstLineChars="200"/>
              <w:jc w:val="both"/>
              <w:rPr>
                <w:rFonts w:hint="default" w:ascii="Times New Roman" w:hAnsi="Times New Roman" w:eastAsia="宋体" w:cs="Times New Roman"/>
                <w:b w:val="0"/>
                <w:bCs/>
                <w:color w:val="auto"/>
                <w:sz w:val="24"/>
              </w:rPr>
            </w:pPr>
            <w:r>
              <w:rPr>
                <w:rFonts w:hint="eastAsia" w:cs="Times New Roman"/>
                <w:color w:val="auto"/>
                <w:sz w:val="24"/>
                <w:lang w:val="en-US" w:eastAsia="zh-CN"/>
              </w:rPr>
              <w:t>拟建</w:t>
            </w:r>
            <w:r>
              <w:rPr>
                <w:rFonts w:hint="default" w:ascii="Times New Roman" w:hAnsi="Times New Roman" w:eastAsia="宋体" w:cs="Times New Roman"/>
                <w:color w:val="auto"/>
                <w:sz w:val="24"/>
                <w:lang w:val="en-US" w:eastAsia="zh-CN"/>
              </w:rPr>
              <w:t>项目</w:t>
            </w:r>
            <w:r>
              <w:rPr>
                <w:rFonts w:hint="default" w:ascii="Times New Roman" w:hAnsi="Times New Roman" w:eastAsia="宋体" w:cs="Times New Roman"/>
                <w:color w:val="auto"/>
                <w:sz w:val="24"/>
              </w:rPr>
              <w:t>位于淮安高新技术产业开发区钱塘江路333号智能装备科技园25-4号楼</w:t>
            </w:r>
            <w:r>
              <w:rPr>
                <w:rFonts w:hint="default" w:ascii="Times New Roman" w:hAnsi="Times New Roman" w:eastAsia="宋体" w:cs="Times New Roman"/>
                <w:color w:val="auto"/>
                <w:sz w:val="24"/>
                <w:lang w:val="en-US" w:eastAsia="zh-CN"/>
              </w:rPr>
              <w:t>，根据现场勘查，项目地东侧为</w:t>
            </w:r>
            <w:r>
              <w:rPr>
                <w:rFonts w:hint="eastAsia" w:cs="Times New Roman"/>
                <w:color w:val="auto"/>
                <w:sz w:val="24"/>
                <w:lang w:val="en-US" w:eastAsia="zh-CN"/>
              </w:rPr>
              <w:t>工业标准厂房</w:t>
            </w:r>
            <w:r>
              <w:rPr>
                <w:rFonts w:hint="default" w:ascii="Times New Roman" w:hAnsi="Times New Roman" w:eastAsia="宋体" w:cs="Times New Roman"/>
                <w:color w:val="auto"/>
                <w:sz w:val="24"/>
                <w:lang w:val="en-US" w:eastAsia="zh-CN"/>
              </w:rPr>
              <w:t>；南侧为</w:t>
            </w:r>
            <w:r>
              <w:rPr>
                <w:rFonts w:hint="eastAsia" w:cs="Times New Roman"/>
                <w:color w:val="auto"/>
                <w:sz w:val="24"/>
                <w:lang w:eastAsia="zh-CN"/>
              </w:rPr>
              <w:t>在建厂房</w:t>
            </w:r>
            <w:r>
              <w:rPr>
                <w:rFonts w:hint="default" w:ascii="Times New Roman" w:hAnsi="Times New Roman" w:eastAsia="宋体" w:cs="Times New Roman"/>
                <w:color w:val="auto"/>
                <w:sz w:val="24"/>
                <w:lang w:eastAsia="zh-CN"/>
              </w:rPr>
              <w:t>；西侧</w:t>
            </w:r>
            <w:r>
              <w:rPr>
                <w:rFonts w:hint="default" w:ascii="Times New Roman" w:hAnsi="Times New Roman" w:eastAsia="宋体" w:cs="Times New Roman"/>
                <w:color w:val="auto"/>
                <w:lang w:val="en-US" w:eastAsia="zh-CN"/>
              </w:rPr>
              <w:t>为</w:t>
            </w:r>
            <w:r>
              <w:rPr>
                <w:rFonts w:hint="eastAsia" w:cs="Times New Roman"/>
                <w:color w:val="auto"/>
                <w:sz w:val="24"/>
                <w:lang w:val="en-US" w:eastAsia="zh-CN"/>
              </w:rPr>
              <w:t>在建厂房</w:t>
            </w:r>
            <w:r>
              <w:rPr>
                <w:rFonts w:hint="default" w:ascii="Times New Roman" w:hAnsi="Times New Roman" w:eastAsia="宋体" w:cs="Times New Roman"/>
                <w:color w:val="auto"/>
                <w:sz w:val="24"/>
                <w:lang w:val="en-US" w:eastAsia="zh-CN"/>
              </w:rPr>
              <w:t>，北侧为空地。项目</w:t>
            </w:r>
            <w:r>
              <w:rPr>
                <w:rFonts w:hint="default" w:ascii="Times New Roman" w:hAnsi="Times New Roman" w:eastAsia="宋体" w:cs="Times New Roman"/>
                <w:color w:val="auto"/>
                <w:sz w:val="24"/>
              </w:rPr>
              <w:t>地理位置见</w:t>
            </w:r>
            <w:r>
              <w:rPr>
                <w:rFonts w:hint="default" w:ascii="Times New Roman" w:hAnsi="Times New Roman" w:eastAsia="宋体" w:cs="Times New Roman"/>
                <w:b w:val="0"/>
                <w:bCs/>
                <w:color w:val="auto"/>
                <w:sz w:val="24"/>
              </w:rPr>
              <w:t>附图</w:t>
            </w:r>
            <w:r>
              <w:rPr>
                <w:rFonts w:hint="eastAsia" w:cs="Times New Roman"/>
                <w:b w:val="0"/>
                <w:bCs/>
                <w:color w:val="auto"/>
                <w:sz w:val="24"/>
                <w:lang w:val="en-US" w:eastAsia="zh-CN"/>
              </w:rPr>
              <w:t>5</w:t>
            </w:r>
            <w:r>
              <w:rPr>
                <w:rFonts w:hint="default" w:ascii="Times New Roman" w:hAnsi="Times New Roman" w:eastAsia="宋体" w:cs="Times New Roman"/>
                <w:b w:val="0"/>
                <w:bCs/>
                <w:color w:val="auto"/>
                <w:sz w:val="24"/>
              </w:rPr>
              <w:t>，</w:t>
            </w:r>
            <w:r>
              <w:rPr>
                <w:rFonts w:hint="default" w:ascii="Times New Roman" w:hAnsi="Times New Roman" w:eastAsia="宋体" w:cs="Times New Roman"/>
                <w:b w:val="0"/>
                <w:bCs/>
                <w:color w:val="auto"/>
                <w:sz w:val="24"/>
                <w:lang w:eastAsia="zh-CN"/>
              </w:rPr>
              <w:t>项目</w:t>
            </w:r>
            <w:r>
              <w:rPr>
                <w:rFonts w:hint="default" w:ascii="Times New Roman" w:hAnsi="Times New Roman" w:eastAsia="宋体" w:cs="Times New Roman"/>
                <w:b w:val="0"/>
                <w:bCs/>
                <w:color w:val="auto"/>
                <w:sz w:val="24"/>
              </w:rPr>
              <w:t>周边500m范围内</w:t>
            </w:r>
            <w:r>
              <w:rPr>
                <w:rFonts w:hint="default" w:ascii="Times New Roman" w:hAnsi="Times New Roman" w:eastAsia="宋体" w:cs="Times New Roman"/>
                <w:b w:val="0"/>
                <w:bCs/>
                <w:color w:val="auto"/>
                <w:sz w:val="24"/>
                <w:lang w:eastAsia="zh-CN"/>
              </w:rPr>
              <w:t>主要环境保护目标</w:t>
            </w:r>
            <w:r>
              <w:rPr>
                <w:rFonts w:hint="eastAsia" w:cs="Times New Roman"/>
                <w:b w:val="0"/>
                <w:bCs/>
                <w:color w:val="auto"/>
                <w:sz w:val="24"/>
                <w:lang w:eastAsia="zh-CN"/>
              </w:rPr>
              <w:t>分布</w:t>
            </w:r>
            <w:r>
              <w:rPr>
                <w:rFonts w:hint="default" w:ascii="Times New Roman" w:hAnsi="Times New Roman" w:eastAsia="宋体" w:cs="Times New Roman"/>
                <w:b w:val="0"/>
                <w:bCs/>
                <w:color w:val="auto"/>
                <w:sz w:val="24"/>
              </w:rPr>
              <w:t>见附图</w:t>
            </w:r>
            <w:r>
              <w:rPr>
                <w:rFonts w:hint="eastAsia" w:cs="Times New Roman"/>
                <w:b w:val="0"/>
                <w:bCs/>
                <w:color w:val="auto"/>
                <w:sz w:val="24"/>
                <w:lang w:val="en-US" w:eastAsia="zh-CN"/>
              </w:rPr>
              <w:t>6</w:t>
            </w:r>
            <w:r>
              <w:rPr>
                <w:rFonts w:hint="default" w:ascii="Times New Roman" w:hAnsi="Times New Roman" w:eastAsia="宋体" w:cs="Times New Roman"/>
                <w:b w:val="0"/>
                <w:bCs/>
                <w:color w:val="auto"/>
                <w:sz w:val="24"/>
              </w:rPr>
              <w:t>。</w:t>
            </w:r>
          </w:p>
          <w:p w14:paraId="3CFF19CB">
            <w:pPr>
              <w:keepNext w:val="0"/>
              <w:keepLines w:val="0"/>
              <w:suppressLineNumbers w:val="0"/>
              <w:spacing w:before="0" w:beforeAutospacing="0" w:after="0" w:afterAutospacing="0"/>
              <w:ind w:left="0" w:right="0" w:firstLine="480"/>
              <w:rPr>
                <w:rFonts w:hint="default" w:ascii="Times New Roman" w:hAnsi="Times New Roman" w:eastAsia="宋体" w:cs="Times New Roman"/>
                <w:color w:val="auto"/>
              </w:rPr>
            </w:pPr>
            <w:r>
              <w:rPr>
                <w:rFonts w:hint="default" w:ascii="Times New Roman" w:hAnsi="Times New Roman" w:eastAsia="宋体" w:cs="Times New Roman"/>
                <w:color w:val="auto"/>
              </w:rPr>
              <w:t>根据项目周边的情况，确定主要环境保护目标见表3.</w:t>
            </w:r>
            <w:r>
              <w:rPr>
                <w:rFonts w:hint="default" w:ascii="Times New Roman" w:hAnsi="Times New Roman" w:eastAsia="宋体" w:cs="Times New Roman"/>
                <w:color w:val="auto"/>
                <w:lang w:val="en-US" w:eastAsia="zh-CN"/>
              </w:rPr>
              <w:t>2</w:t>
            </w:r>
            <w:r>
              <w:rPr>
                <w:rFonts w:hint="default" w:ascii="Times New Roman" w:hAnsi="Times New Roman" w:eastAsia="宋体" w:cs="Times New Roman"/>
                <w:color w:val="auto"/>
              </w:rPr>
              <w:t>-</w:t>
            </w:r>
            <w:r>
              <w:rPr>
                <w:rFonts w:hint="default" w:ascii="Times New Roman" w:hAnsi="Times New Roman" w:eastAsia="宋体" w:cs="Times New Roman"/>
                <w:color w:val="auto"/>
                <w:lang w:val="en-US" w:eastAsia="zh-CN"/>
              </w:rPr>
              <w:t>1</w:t>
            </w:r>
            <w:r>
              <w:rPr>
                <w:rFonts w:hint="eastAsia" w:ascii="Times New Roman" w:hAnsi="Times New Roman" w:eastAsia="宋体" w:cs="Times New Roman"/>
                <w:color w:val="auto"/>
                <w:lang w:val="en-US" w:eastAsia="zh-CN"/>
              </w:rPr>
              <w:t>、表3.2-2</w:t>
            </w:r>
            <w:r>
              <w:rPr>
                <w:rFonts w:hint="default" w:ascii="Times New Roman" w:hAnsi="Times New Roman" w:eastAsia="宋体" w:cs="Times New Roman"/>
                <w:color w:val="auto"/>
              </w:rPr>
              <w:t>。</w:t>
            </w:r>
          </w:p>
          <w:p w14:paraId="17B6F963">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lang w:val="en-US" w:eastAsia="zh-CN"/>
              </w:rPr>
            </w:pPr>
            <w:r>
              <w:rPr>
                <w:rFonts w:hint="default" w:ascii="Times New Roman" w:hAnsi="Times New Roman" w:eastAsia="宋体" w:cs="Times New Roman"/>
                <w:b/>
                <w:bCs/>
                <w:color w:val="auto"/>
              </w:rPr>
              <w:t>表3</w:t>
            </w:r>
            <w:r>
              <w:rPr>
                <w:rFonts w:hint="eastAsia" w:ascii="Times New Roman" w:hAnsi="Times New Roman" w:eastAsia="宋体" w:cs="Times New Roman"/>
                <w:b/>
                <w:bCs/>
                <w:color w:val="auto"/>
                <w:lang w:val="en-US" w:eastAsia="zh-CN"/>
              </w:rPr>
              <w:t>.2-1</w:t>
            </w:r>
            <w:r>
              <w:rPr>
                <w:rFonts w:hint="default" w:ascii="Times New Roman" w:hAnsi="Times New Roman" w:eastAsia="宋体" w:cs="Times New Roman"/>
                <w:b/>
                <w:bCs/>
                <w:color w:val="auto"/>
              </w:rPr>
              <w:t xml:space="preserve">  </w:t>
            </w:r>
            <w:r>
              <w:rPr>
                <w:rFonts w:hint="default" w:ascii="Times New Roman" w:hAnsi="Times New Roman" w:eastAsia="宋体" w:cs="Times New Roman"/>
                <w:b/>
                <w:bCs/>
                <w:color w:val="auto"/>
                <w:lang w:val="en-US" w:eastAsia="zh-CN"/>
              </w:rPr>
              <w:t>大气</w:t>
            </w:r>
            <w:r>
              <w:rPr>
                <w:rFonts w:hint="default" w:ascii="Times New Roman" w:hAnsi="Times New Roman" w:eastAsia="宋体" w:cs="Times New Roman"/>
                <w:b/>
                <w:bCs/>
                <w:color w:val="auto"/>
              </w:rPr>
              <w:t>环境保护目标</w:t>
            </w:r>
            <w:r>
              <w:rPr>
                <w:rFonts w:hint="default" w:ascii="Times New Roman" w:hAnsi="Times New Roman" w:eastAsia="宋体" w:cs="Times New Roman"/>
                <w:b/>
                <w:bCs/>
                <w:color w:val="auto"/>
                <w:lang w:val="en-US" w:eastAsia="zh-CN"/>
              </w:rPr>
              <w:t>一览表</w:t>
            </w:r>
          </w:p>
          <w:tbl>
            <w:tblPr>
              <w:tblStyle w:val="27"/>
              <w:tblW w:w="4998" w:type="pct"/>
              <w:jc w:val="center"/>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
            <w:tblGrid>
              <w:gridCol w:w="997"/>
              <w:gridCol w:w="937"/>
              <w:gridCol w:w="1237"/>
              <w:gridCol w:w="910"/>
              <w:gridCol w:w="808"/>
              <w:gridCol w:w="808"/>
              <w:gridCol w:w="771"/>
              <w:gridCol w:w="1375"/>
            </w:tblGrid>
            <w:tr w14:paraId="7A6B5088">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15" w:type="dxa"/>
                  <w:left w:w="15" w:type="dxa"/>
                  <w:bottom w:w="15" w:type="dxa"/>
                  <w:right w:w="15" w:type="dxa"/>
                </w:tblCellMar>
              </w:tblPrEx>
              <w:trPr>
                <w:trHeight w:val="398" w:hRule="atLeast"/>
                <w:jc w:val="center"/>
              </w:trPr>
              <w:tc>
                <w:tcPr>
                  <w:tcW w:w="1232" w:type="pct"/>
                  <w:gridSpan w:val="2"/>
                  <w:tcBorders>
                    <w:tl2br w:val="nil"/>
                    <w:tr2bl w:val="nil"/>
                  </w:tcBorders>
                  <w:noWrap w:val="0"/>
                  <w:vAlign w:val="center"/>
                </w:tcPr>
                <w:p w14:paraId="04D0CA4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UTM坐标</w:t>
                  </w:r>
                </w:p>
              </w:tc>
              <w:tc>
                <w:tcPr>
                  <w:tcW w:w="788" w:type="pct"/>
                  <w:vMerge w:val="restart"/>
                  <w:tcBorders>
                    <w:tl2br w:val="nil"/>
                    <w:tr2bl w:val="nil"/>
                  </w:tcBorders>
                  <w:noWrap w:val="0"/>
                  <w:vAlign w:val="center"/>
                </w:tcPr>
                <w:p w14:paraId="26FEDFC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保护对象</w:t>
                  </w:r>
                </w:p>
              </w:tc>
              <w:tc>
                <w:tcPr>
                  <w:tcW w:w="580" w:type="pct"/>
                  <w:vMerge w:val="restart"/>
                  <w:tcBorders>
                    <w:tl2br w:val="nil"/>
                    <w:tr2bl w:val="nil"/>
                  </w:tcBorders>
                  <w:noWrap w:val="0"/>
                  <w:vAlign w:val="center"/>
                </w:tcPr>
                <w:p w14:paraId="2D2F3AB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b/>
                      <w:bCs/>
                      <w:color w:val="auto"/>
                      <w:sz w:val="18"/>
                      <w:szCs w:val="18"/>
                      <w:lang w:eastAsia="zh-CN"/>
                    </w:rPr>
                  </w:pPr>
                  <w:r>
                    <w:rPr>
                      <w:rFonts w:hint="default" w:ascii="Times New Roman" w:hAnsi="Times New Roman" w:eastAsia="宋体" w:cs="Times New Roman"/>
                      <w:b/>
                      <w:bCs/>
                      <w:color w:val="auto"/>
                      <w:sz w:val="18"/>
                      <w:szCs w:val="18"/>
                    </w:rPr>
                    <w:t>保护</w:t>
                  </w:r>
                  <w:r>
                    <w:rPr>
                      <w:rFonts w:hint="default" w:ascii="Times New Roman" w:hAnsi="Times New Roman" w:eastAsia="宋体" w:cs="Times New Roman"/>
                      <w:b/>
                      <w:bCs/>
                      <w:color w:val="auto"/>
                      <w:sz w:val="18"/>
                      <w:szCs w:val="18"/>
                      <w:lang w:val="en-US" w:eastAsia="zh-CN"/>
                    </w:rPr>
                    <w:t>规模</w:t>
                  </w:r>
                </w:p>
              </w:tc>
              <w:tc>
                <w:tcPr>
                  <w:tcW w:w="515" w:type="pct"/>
                  <w:vMerge w:val="restart"/>
                  <w:tcBorders>
                    <w:tl2br w:val="nil"/>
                    <w:tr2bl w:val="nil"/>
                  </w:tcBorders>
                  <w:noWrap w:val="0"/>
                  <w:vAlign w:val="center"/>
                </w:tcPr>
                <w:p w14:paraId="4805919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b/>
                      <w:bCs/>
                      <w:color w:val="auto"/>
                      <w:sz w:val="18"/>
                      <w:szCs w:val="18"/>
                      <w:lang w:eastAsia="zh-CN"/>
                    </w:rPr>
                  </w:pPr>
                  <w:r>
                    <w:rPr>
                      <w:rFonts w:hint="default" w:ascii="Times New Roman" w:hAnsi="Times New Roman" w:eastAsia="宋体" w:cs="Times New Roman"/>
                      <w:b/>
                      <w:bCs/>
                      <w:color w:val="auto"/>
                      <w:sz w:val="18"/>
                      <w:szCs w:val="18"/>
                      <w:lang w:eastAsia="zh-CN"/>
                    </w:rPr>
                    <w:t>保护内容</w:t>
                  </w:r>
                </w:p>
              </w:tc>
              <w:tc>
                <w:tcPr>
                  <w:tcW w:w="515" w:type="pct"/>
                  <w:vMerge w:val="restart"/>
                  <w:tcBorders>
                    <w:tl2br w:val="nil"/>
                    <w:tr2bl w:val="nil"/>
                  </w:tcBorders>
                  <w:noWrap w:val="0"/>
                  <w:vAlign w:val="center"/>
                </w:tcPr>
                <w:p w14:paraId="1400229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b/>
                      <w:bCs/>
                      <w:color w:val="auto"/>
                      <w:sz w:val="18"/>
                      <w:szCs w:val="18"/>
                      <w:lang w:val="en-US" w:eastAsia="zh-CN"/>
                    </w:rPr>
                  </w:pPr>
                  <w:r>
                    <w:rPr>
                      <w:rFonts w:hint="default" w:ascii="Times New Roman" w:hAnsi="Times New Roman" w:eastAsia="宋体" w:cs="Times New Roman"/>
                      <w:b/>
                      <w:bCs/>
                      <w:color w:val="auto"/>
                      <w:sz w:val="18"/>
                      <w:szCs w:val="18"/>
                      <w:lang w:val="en-US" w:eastAsia="zh-CN"/>
                    </w:rPr>
                    <w:t>环境功能区</w:t>
                  </w:r>
                </w:p>
              </w:tc>
              <w:tc>
                <w:tcPr>
                  <w:tcW w:w="491" w:type="pct"/>
                  <w:vMerge w:val="restart"/>
                  <w:tcBorders>
                    <w:tl2br w:val="nil"/>
                    <w:tr2bl w:val="nil"/>
                  </w:tcBorders>
                  <w:noWrap w:val="0"/>
                  <w:vAlign w:val="center"/>
                </w:tcPr>
                <w:p w14:paraId="535FFDB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lang w:val="en-US" w:eastAsia="zh-CN"/>
                    </w:rPr>
                    <w:t>相对厂址</w:t>
                  </w:r>
                  <w:r>
                    <w:rPr>
                      <w:rFonts w:hint="default" w:ascii="Times New Roman" w:hAnsi="Times New Roman" w:eastAsia="宋体" w:cs="Times New Roman"/>
                      <w:b/>
                      <w:bCs/>
                      <w:color w:val="auto"/>
                      <w:sz w:val="18"/>
                      <w:szCs w:val="18"/>
                    </w:rPr>
                    <w:t>方位</w:t>
                  </w:r>
                </w:p>
              </w:tc>
              <w:tc>
                <w:tcPr>
                  <w:tcW w:w="876" w:type="pct"/>
                  <w:vMerge w:val="restart"/>
                  <w:tcBorders>
                    <w:tl2br w:val="nil"/>
                    <w:tr2bl w:val="nil"/>
                  </w:tcBorders>
                  <w:noWrap w:val="0"/>
                  <w:vAlign w:val="center"/>
                </w:tcPr>
                <w:p w14:paraId="4060DFD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lang w:val="en-US" w:eastAsia="zh-CN"/>
                    </w:rPr>
                    <w:t>相对</w:t>
                  </w:r>
                  <w:r>
                    <w:rPr>
                      <w:rFonts w:hint="default" w:ascii="Times New Roman" w:hAnsi="Times New Roman" w:eastAsia="宋体" w:cs="Times New Roman"/>
                      <w:b/>
                      <w:bCs/>
                      <w:color w:val="auto"/>
                      <w:sz w:val="18"/>
                      <w:szCs w:val="18"/>
                    </w:rPr>
                    <w:t>厂界</w:t>
                  </w:r>
                  <w:r>
                    <w:rPr>
                      <w:rFonts w:hint="default" w:ascii="Times New Roman" w:hAnsi="Times New Roman" w:eastAsia="宋体" w:cs="Times New Roman"/>
                      <w:b/>
                      <w:bCs/>
                      <w:color w:val="auto"/>
                      <w:sz w:val="18"/>
                      <w:szCs w:val="18"/>
                      <w:lang w:val="en-US" w:eastAsia="zh-CN"/>
                    </w:rPr>
                    <w:t>距离</w:t>
                  </w:r>
                  <w:r>
                    <w:rPr>
                      <w:rFonts w:hint="default" w:ascii="Times New Roman" w:hAnsi="Times New Roman" w:eastAsia="宋体" w:cs="Times New Roman"/>
                      <w:b/>
                      <w:bCs/>
                      <w:color w:val="auto"/>
                      <w:sz w:val="18"/>
                      <w:szCs w:val="18"/>
                    </w:rPr>
                    <w:t>/m</w:t>
                  </w:r>
                </w:p>
              </w:tc>
            </w:tr>
            <w:tr w14:paraId="014CD99A">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15" w:type="dxa"/>
                  <w:left w:w="15" w:type="dxa"/>
                  <w:bottom w:w="15" w:type="dxa"/>
                  <w:right w:w="15" w:type="dxa"/>
                </w:tblCellMar>
              </w:tblPrEx>
              <w:trPr>
                <w:trHeight w:val="90" w:hRule="atLeast"/>
                <w:jc w:val="center"/>
              </w:trPr>
              <w:tc>
                <w:tcPr>
                  <w:tcW w:w="635" w:type="pct"/>
                  <w:tcBorders>
                    <w:tl2br w:val="nil"/>
                    <w:tr2bl w:val="nil"/>
                  </w:tcBorders>
                  <w:noWrap w:val="0"/>
                  <w:vAlign w:val="center"/>
                </w:tcPr>
                <w:p w14:paraId="01933D8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X</w:t>
                  </w:r>
                </w:p>
              </w:tc>
              <w:tc>
                <w:tcPr>
                  <w:tcW w:w="596" w:type="pct"/>
                  <w:tcBorders>
                    <w:tl2br w:val="nil"/>
                    <w:tr2bl w:val="nil"/>
                  </w:tcBorders>
                  <w:noWrap w:val="0"/>
                  <w:vAlign w:val="center"/>
                </w:tcPr>
                <w:p w14:paraId="5242143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Y</w:t>
                  </w:r>
                </w:p>
              </w:tc>
              <w:tc>
                <w:tcPr>
                  <w:tcW w:w="788" w:type="pct"/>
                  <w:vMerge w:val="continue"/>
                  <w:tcBorders>
                    <w:tl2br w:val="nil"/>
                    <w:tr2bl w:val="nil"/>
                  </w:tcBorders>
                  <w:noWrap w:val="0"/>
                  <w:vAlign w:val="center"/>
                </w:tcPr>
                <w:p w14:paraId="32393D5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p>
              </w:tc>
              <w:tc>
                <w:tcPr>
                  <w:tcW w:w="580" w:type="pct"/>
                  <w:vMerge w:val="continue"/>
                  <w:tcBorders>
                    <w:tl2br w:val="nil"/>
                    <w:tr2bl w:val="nil"/>
                  </w:tcBorders>
                  <w:noWrap w:val="0"/>
                  <w:vAlign w:val="center"/>
                </w:tcPr>
                <w:p w14:paraId="49818C7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p>
              </w:tc>
              <w:tc>
                <w:tcPr>
                  <w:tcW w:w="515" w:type="pct"/>
                  <w:vMerge w:val="continue"/>
                  <w:tcBorders>
                    <w:tl2br w:val="nil"/>
                    <w:tr2bl w:val="nil"/>
                  </w:tcBorders>
                  <w:noWrap w:val="0"/>
                  <w:vAlign w:val="center"/>
                </w:tcPr>
                <w:p w14:paraId="32B6FE6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p>
              </w:tc>
              <w:tc>
                <w:tcPr>
                  <w:tcW w:w="515" w:type="pct"/>
                  <w:vMerge w:val="continue"/>
                  <w:tcBorders>
                    <w:tl2br w:val="nil"/>
                    <w:tr2bl w:val="nil"/>
                  </w:tcBorders>
                  <w:noWrap w:val="0"/>
                  <w:vAlign w:val="center"/>
                </w:tcPr>
                <w:p w14:paraId="52EAD68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p>
              </w:tc>
              <w:tc>
                <w:tcPr>
                  <w:tcW w:w="491" w:type="pct"/>
                  <w:vMerge w:val="continue"/>
                  <w:tcBorders>
                    <w:tl2br w:val="nil"/>
                    <w:tr2bl w:val="nil"/>
                  </w:tcBorders>
                  <w:noWrap w:val="0"/>
                  <w:vAlign w:val="center"/>
                </w:tcPr>
                <w:p w14:paraId="4428481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p>
              </w:tc>
              <w:tc>
                <w:tcPr>
                  <w:tcW w:w="876" w:type="pct"/>
                  <w:vMerge w:val="continue"/>
                  <w:tcBorders>
                    <w:tl2br w:val="nil"/>
                    <w:tr2bl w:val="nil"/>
                  </w:tcBorders>
                  <w:noWrap w:val="0"/>
                  <w:vAlign w:val="center"/>
                </w:tcPr>
                <w:p w14:paraId="1FB7BE6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p>
              </w:tc>
            </w:tr>
            <w:tr w14:paraId="675E5C47">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15" w:type="dxa"/>
                  <w:left w:w="15" w:type="dxa"/>
                  <w:bottom w:w="15" w:type="dxa"/>
                  <w:right w:w="15" w:type="dxa"/>
                </w:tblCellMar>
              </w:tblPrEx>
              <w:trPr>
                <w:trHeight w:val="318" w:hRule="atLeast"/>
                <w:jc w:val="center"/>
              </w:trPr>
              <w:tc>
                <w:tcPr>
                  <w:tcW w:w="635" w:type="pct"/>
                  <w:tcBorders>
                    <w:tl2br w:val="nil"/>
                    <w:tr2bl w:val="nil"/>
                  </w:tcBorders>
                  <w:noWrap w:val="0"/>
                  <w:vAlign w:val="center"/>
                </w:tcPr>
                <w:p w14:paraId="7680256E">
                  <w:pPr>
                    <w:pStyle w:val="7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119.</w:t>
                  </w:r>
                  <w:r>
                    <w:rPr>
                      <w:rFonts w:hint="eastAsia" w:cs="Times New Roman"/>
                      <w:color w:val="auto"/>
                      <w:sz w:val="18"/>
                      <w:szCs w:val="18"/>
                      <w:lang w:val="en-US" w:eastAsia="zh-CN"/>
                    </w:rPr>
                    <w:t>073133</w:t>
                  </w:r>
                </w:p>
              </w:tc>
              <w:tc>
                <w:tcPr>
                  <w:tcW w:w="596" w:type="pct"/>
                  <w:tcBorders>
                    <w:tl2br w:val="nil"/>
                    <w:tr2bl w:val="nil"/>
                  </w:tcBorders>
                  <w:noWrap w:val="0"/>
                  <w:vAlign w:val="center"/>
                </w:tcPr>
                <w:p w14:paraId="734DDF3C">
                  <w:pPr>
                    <w:pStyle w:val="7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33.</w:t>
                  </w:r>
                  <w:r>
                    <w:rPr>
                      <w:rFonts w:hint="eastAsia" w:cs="Times New Roman"/>
                      <w:color w:val="auto"/>
                      <w:sz w:val="18"/>
                      <w:szCs w:val="18"/>
                      <w:lang w:val="en-US" w:eastAsia="zh-CN"/>
                    </w:rPr>
                    <w:t>641371</w:t>
                  </w:r>
                </w:p>
              </w:tc>
              <w:tc>
                <w:tcPr>
                  <w:tcW w:w="788" w:type="pct"/>
                  <w:tcBorders>
                    <w:tl2br w:val="nil"/>
                    <w:tr2bl w:val="nil"/>
                  </w:tcBorders>
                  <w:noWrap w:val="0"/>
                  <w:vAlign w:val="center"/>
                </w:tcPr>
                <w:p w14:paraId="7104648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lang w:eastAsia="zh-CN"/>
                    </w:rPr>
                  </w:pPr>
                  <w:r>
                    <w:rPr>
                      <w:rFonts w:hint="eastAsia" w:cs="Times New Roman"/>
                      <w:color w:val="auto"/>
                      <w:sz w:val="18"/>
                      <w:szCs w:val="18"/>
                      <w:lang w:eastAsia="zh-CN"/>
                    </w:rPr>
                    <w:t>淮安高新区管委会</w:t>
                  </w:r>
                </w:p>
              </w:tc>
              <w:tc>
                <w:tcPr>
                  <w:tcW w:w="580" w:type="pct"/>
                  <w:tcBorders>
                    <w:tl2br w:val="nil"/>
                    <w:tr2bl w:val="nil"/>
                  </w:tcBorders>
                  <w:noWrap w:val="0"/>
                  <w:vAlign w:val="center"/>
                </w:tcPr>
                <w:p w14:paraId="10FA342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lang w:val="en-US" w:eastAsia="zh-CN"/>
                    </w:rPr>
                  </w:pPr>
                  <w:r>
                    <w:rPr>
                      <w:rFonts w:hint="eastAsia" w:cs="Times New Roman"/>
                      <w:color w:val="auto"/>
                      <w:sz w:val="18"/>
                      <w:szCs w:val="18"/>
                      <w:lang w:val="en-US" w:eastAsia="zh-CN"/>
                    </w:rPr>
                    <w:t>100</w:t>
                  </w:r>
                  <w:r>
                    <w:rPr>
                      <w:rFonts w:hint="default" w:ascii="Times New Roman" w:hAnsi="Times New Roman" w:eastAsia="宋体" w:cs="Times New Roman"/>
                      <w:color w:val="auto"/>
                      <w:sz w:val="18"/>
                      <w:szCs w:val="18"/>
                      <w:lang w:val="en-US" w:eastAsia="zh-CN"/>
                    </w:rPr>
                    <w:t>人</w:t>
                  </w:r>
                </w:p>
              </w:tc>
              <w:tc>
                <w:tcPr>
                  <w:tcW w:w="515" w:type="pct"/>
                  <w:tcBorders>
                    <w:tl2br w:val="nil"/>
                    <w:tr2bl w:val="nil"/>
                  </w:tcBorders>
                  <w:noWrap w:val="0"/>
                  <w:vAlign w:val="center"/>
                </w:tcPr>
                <w:p w14:paraId="0C5D39D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lang w:eastAsia="zh-CN"/>
                    </w:rPr>
                  </w:pPr>
                  <w:r>
                    <w:rPr>
                      <w:rFonts w:hint="eastAsia" w:cs="Times New Roman"/>
                      <w:color w:val="auto"/>
                      <w:sz w:val="18"/>
                      <w:szCs w:val="18"/>
                      <w:lang w:eastAsia="zh-CN"/>
                    </w:rPr>
                    <w:t>行政办公区</w:t>
                  </w:r>
                </w:p>
              </w:tc>
              <w:tc>
                <w:tcPr>
                  <w:tcW w:w="515" w:type="pct"/>
                  <w:tcBorders>
                    <w:tl2br w:val="nil"/>
                    <w:tr2bl w:val="nil"/>
                  </w:tcBorders>
                  <w:noWrap w:val="0"/>
                  <w:vAlign w:val="center"/>
                </w:tcPr>
                <w:p w14:paraId="39C6A52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二类区</w:t>
                  </w:r>
                </w:p>
              </w:tc>
              <w:tc>
                <w:tcPr>
                  <w:tcW w:w="491" w:type="pct"/>
                  <w:tcBorders>
                    <w:tl2br w:val="nil"/>
                    <w:tr2bl w:val="nil"/>
                  </w:tcBorders>
                  <w:noWrap w:val="0"/>
                  <w:vAlign w:val="center"/>
                </w:tcPr>
                <w:p w14:paraId="53CEC93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lang w:val="en-US" w:eastAsia="zh-CN"/>
                    </w:rPr>
                  </w:pPr>
                  <w:r>
                    <w:rPr>
                      <w:rFonts w:hint="eastAsia" w:cs="Times New Roman"/>
                      <w:color w:val="auto"/>
                      <w:sz w:val="18"/>
                      <w:szCs w:val="18"/>
                      <w:lang w:val="en-US" w:eastAsia="zh-CN"/>
                    </w:rPr>
                    <w:t>W</w:t>
                  </w:r>
                </w:p>
              </w:tc>
              <w:tc>
                <w:tcPr>
                  <w:tcW w:w="876" w:type="pct"/>
                  <w:tcBorders>
                    <w:tl2br w:val="nil"/>
                    <w:tr2bl w:val="nil"/>
                  </w:tcBorders>
                  <w:noWrap w:val="0"/>
                  <w:vAlign w:val="center"/>
                </w:tcPr>
                <w:p w14:paraId="2DC786A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lang w:val="en-US" w:eastAsia="zh-CN"/>
                    </w:rPr>
                  </w:pPr>
                  <w:r>
                    <w:rPr>
                      <w:rFonts w:hint="eastAsia" w:cs="Times New Roman"/>
                      <w:color w:val="auto"/>
                      <w:sz w:val="18"/>
                      <w:szCs w:val="18"/>
                      <w:lang w:val="en-US" w:eastAsia="zh-CN"/>
                    </w:rPr>
                    <w:t>350</w:t>
                  </w:r>
                </w:p>
              </w:tc>
            </w:tr>
            <w:tr w14:paraId="1C74C8A0">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15" w:type="dxa"/>
                  <w:left w:w="15" w:type="dxa"/>
                  <w:bottom w:w="15" w:type="dxa"/>
                  <w:right w:w="15" w:type="dxa"/>
                </w:tblCellMar>
              </w:tblPrEx>
              <w:trPr>
                <w:trHeight w:val="318" w:hRule="atLeast"/>
                <w:jc w:val="center"/>
              </w:trPr>
              <w:tc>
                <w:tcPr>
                  <w:tcW w:w="997" w:type="dxa"/>
                  <w:tcBorders>
                    <w:tl2br w:val="nil"/>
                    <w:tr2bl w:val="nil"/>
                  </w:tcBorders>
                  <w:noWrap w:val="0"/>
                  <w:vAlign w:val="center"/>
                </w:tcPr>
                <w:p w14:paraId="62AE4A4A">
                  <w:pPr>
                    <w:pStyle w:val="7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119.</w:t>
                  </w:r>
                  <w:r>
                    <w:rPr>
                      <w:rFonts w:hint="eastAsia" w:cs="Times New Roman"/>
                      <w:color w:val="auto"/>
                      <w:sz w:val="18"/>
                      <w:szCs w:val="18"/>
                      <w:lang w:val="en-US" w:eastAsia="zh-CN"/>
                    </w:rPr>
                    <w:t>070725</w:t>
                  </w:r>
                </w:p>
              </w:tc>
              <w:tc>
                <w:tcPr>
                  <w:tcW w:w="937" w:type="dxa"/>
                  <w:tcBorders>
                    <w:tl2br w:val="nil"/>
                    <w:tr2bl w:val="nil"/>
                  </w:tcBorders>
                  <w:noWrap w:val="0"/>
                  <w:vAlign w:val="center"/>
                </w:tcPr>
                <w:p w14:paraId="25E97160">
                  <w:pPr>
                    <w:pStyle w:val="7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33.</w:t>
                  </w:r>
                  <w:r>
                    <w:rPr>
                      <w:rFonts w:hint="eastAsia" w:cs="Times New Roman"/>
                      <w:color w:val="auto"/>
                      <w:sz w:val="18"/>
                      <w:szCs w:val="18"/>
                      <w:lang w:val="en-US" w:eastAsia="zh-CN"/>
                    </w:rPr>
                    <w:t>640999</w:t>
                  </w:r>
                </w:p>
              </w:tc>
              <w:tc>
                <w:tcPr>
                  <w:tcW w:w="788" w:type="pct"/>
                  <w:tcBorders>
                    <w:tl2br w:val="nil"/>
                    <w:tr2bl w:val="nil"/>
                  </w:tcBorders>
                  <w:noWrap w:val="0"/>
                  <w:vAlign w:val="center"/>
                </w:tcPr>
                <w:p w14:paraId="5CB4A5E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rPr>
                      <w:rFonts w:hint="eastAsia" w:cs="Times New Roman"/>
                      <w:color w:val="auto"/>
                      <w:sz w:val="18"/>
                      <w:szCs w:val="18"/>
                      <w:lang w:eastAsia="zh-CN"/>
                    </w:rPr>
                  </w:pPr>
                  <w:r>
                    <w:rPr>
                      <w:rFonts w:hint="eastAsia" w:cs="Times New Roman"/>
                      <w:color w:val="auto"/>
                      <w:sz w:val="18"/>
                      <w:szCs w:val="18"/>
                      <w:lang w:eastAsia="zh-CN"/>
                    </w:rPr>
                    <w:t>端庄</w:t>
                  </w:r>
                </w:p>
              </w:tc>
              <w:tc>
                <w:tcPr>
                  <w:tcW w:w="580" w:type="pct"/>
                  <w:tcBorders>
                    <w:tl2br w:val="nil"/>
                    <w:tr2bl w:val="nil"/>
                  </w:tcBorders>
                  <w:noWrap w:val="0"/>
                  <w:vAlign w:val="center"/>
                </w:tcPr>
                <w:p w14:paraId="4A4532C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rPr>
                      <w:rFonts w:hint="default" w:cs="Times New Roman"/>
                      <w:color w:val="auto"/>
                      <w:sz w:val="18"/>
                      <w:szCs w:val="18"/>
                      <w:lang w:val="en-US" w:eastAsia="zh-CN"/>
                    </w:rPr>
                  </w:pPr>
                  <w:r>
                    <w:rPr>
                      <w:rFonts w:hint="eastAsia" w:cs="Times New Roman"/>
                      <w:color w:val="auto"/>
                      <w:sz w:val="18"/>
                      <w:szCs w:val="18"/>
                      <w:lang w:val="en-US" w:eastAsia="zh-CN"/>
                    </w:rPr>
                    <w:t>20人</w:t>
                  </w:r>
                </w:p>
              </w:tc>
              <w:tc>
                <w:tcPr>
                  <w:tcW w:w="515" w:type="pct"/>
                  <w:tcBorders>
                    <w:tl2br w:val="nil"/>
                    <w:tr2bl w:val="nil"/>
                  </w:tcBorders>
                  <w:noWrap w:val="0"/>
                  <w:vAlign w:val="center"/>
                </w:tcPr>
                <w:p w14:paraId="7C21124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rPr>
                      <w:rFonts w:hint="eastAsia" w:cs="Times New Roman"/>
                      <w:color w:val="auto"/>
                      <w:sz w:val="18"/>
                      <w:szCs w:val="18"/>
                      <w:lang w:eastAsia="zh-CN"/>
                    </w:rPr>
                  </w:pPr>
                  <w:r>
                    <w:rPr>
                      <w:rFonts w:hint="eastAsia" w:cs="Times New Roman"/>
                      <w:color w:val="auto"/>
                      <w:sz w:val="18"/>
                      <w:szCs w:val="18"/>
                      <w:lang w:eastAsia="zh-CN"/>
                    </w:rPr>
                    <w:t>居住区</w:t>
                  </w:r>
                </w:p>
              </w:tc>
              <w:tc>
                <w:tcPr>
                  <w:tcW w:w="808" w:type="dxa"/>
                  <w:tcBorders>
                    <w:tl2br w:val="nil"/>
                    <w:tr2bl w:val="nil"/>
                  </w:tcBorders>
                  <w:noWrap w:val="0"/>
                  <w:vAlign w:val="center"/>
                </w:tcPr>
                <w:p w14:paraId="1D9B67E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二类区</w:t>
                  </w:r>
                </w:p>
              </w:tc>
              <w:tc>
                <w:tcPr>
                  <w:tcW w:w="771" w:type="dxa"/>
                  <w:tcBorders>
                    <w:tl2br w:val="nil"/>
                    <w:tr2bl w:val="nil"/>
                  </w:tcBorders>
                  <w:noWrap w:val="0"/>
                  <w:vAlign w:val="center"/>
                </w:tcPr>
                <w:p w14:paraId="428F49F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rPr>
                      <w:rFonts w:hint="eastAsia" w:cs="Times New Roman"/>
                      <w:color w:val="auto"/>
                      <w:sz w:val="18"/>
                      <w:szCs w:val="18"/>
                      <w:lang w:val="en-US" w:eastAsia="zh-CN"/>
                    </w:rPr>
                  </w:pPr>
                  <w:r>
                    <w:rPr>
                      <w:rFonts w:hint="eastAsia" w:cs="Times New Roman"/>
                      <w:color w:val="auto"/>
                      <w:sz w:val="18"/>
                      <w:szCs w:val="18"/>
                      <w:lang w:val="en-US" w:eastAsia="zh-CN"/>
                    </w:rPr>
                    <w:t>NW</w:t>
                  </w:r>
                </w:p>
              </w:tc>
              <w:tc>
                <w:tcPr>
                  <w:tcW w:w="1375" w:type="dxa"/>
                  <w:tcBorders>
                    <w:tl2br w:val="nil"/>
                    <w:tr2bl w:val="nil"/>
                  </w:tcBorders>
                  <w:noWrap w:val="0"/>
                  <w:vAlign w:val="center"/>
                </w:tcPr>
                <w:p w14:paraId="06F3128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rPr>
                      <w:rFonts w:hint="default" w:cs="Times New Roman"/>
                      <w:color w:val="auto"/>
                      <w:sz w:val="18"/>
                      <w:szCs w:val="18"/>
                      <w:lang w:val="en-US" w:eastAsia="zh-CN"/>
                    </w:rPr>
                  </w:pPr>
                  <w:r>
                    <w:rPr>
                      <w:rFonts w:hint="eastAsia" w:cs="Times New Roman"/>
                      <w:color w:val="auto"/>
                      <w:sz w:val="18"/>
                      <w:szCs w:val="18"/>
                      <w:lang w:val="en-US" w:eastAsia="zh-CN"/>
                    </w:rPr>
                    <w:t>500</w:t>
                  </w:r>
                </w:p>
              </w:tc>
            </w:tr>
          </w:tbl>
          <w:p w14:paraId="683494C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lang w:eastAsia="zh-CN"/>
              </w:rPr>
            </w:pPr>
            <w:r>
              <w:rPr>
                <w:rFonts w:hint="default" w:ascii="Times New Roman" w:hAnsi="Times New Roman" w:eastAsia="宋体" w:cs="Times New Roman"/>
                <w:b/>
                <w:bCs/>
                <w:color w:val="auto"/>
              </w:rPr>
              <w:t>表3.</w:t>
            </w:r>
            <w:r>
              <w:rPr>
                <w:rFonts w:hint="default" w:ascii="Times New Roman" w:hAnsi="Times New Roman" w:eastAsia="宋体" w:cs="Times New Roman"/>
                <w:b/>
                <w:bCs/>
                <w:color w:val="auto"/>
                <w:lang w:val="en-US" w:eastAsia="zh-CN"/>
              </w:rPr>
              <w:t>2</w:t>
            </w:r>
            <w:r>
              <w:rPr>
                <w:rFonts w:hint="default" w:ascii="Times New Roman" w:hAnsi="Times New Roman" w:eastAsia="宋体" w:cs="Times New Roman"/>
                <w:b/>
                <w:bCs/>
                <w:color w:val="auto"/>
              </w:rPr>
              <w:t>-</w:t>
            </w:r>
            <w:r>
              <w:rPr>
                <w:rFonts w:hint="eastAsia" w:ascii="Times New Roman" w:hAnsi="Times New Roman" w:eastAsia="宋体" w:cs="Times New Roman"/>
                <w:b/>
                <w:bCs/>
                <w:color w:val="auto"/>
                <w:lang w:val="en-US" w:eastAsia="zh-CN"/>
              </w:rPr>
              <w:t>2</w:t>
            </w:r>
            <w:r>
              <w:rPr>
                <w:rFonts w:hint="default" w:ascii="Times New Roman" w:hAnsi="Times New Roman" w:eastAsia="宋体" w:cs="Times New Roman"/>
                <w:b/>
                <w:bCs/>
                <w:color w:val="auto"/>
              </w:rPr>
              <w:t xml:space="preserve">  </w:t>
            </w:r>
            <w:r>
              <w:rPr>
                <w:rFonts w:hint="default" w:ascii="Times New Roman" w:hAnsi="Times New Roman" w:eastAsia="宋体" w:cs="Times New Roman"/>
                <w:b/>
                <w:bCs/>
                <w:color w:val="auto"/>
                <w:lang w:eastAsia="zh-CN"/>
              </w:rPr>
              <w:t>其他生态</w:t>
            </w:r>
            <w:r>
              <w:rPr>
                <w:rFonts w:hint="default" w:ascii="Times New Roman" w:hAnsi="Times New Roman" w:eastAsia="宋体" w:cs="Times New Roman"/>
                <w:b/>
                <w:bCs/>
                <w:color w:val="auto"/>
              </w:rPr>
              <w:t>环境保护目标</w:t>
            </w:r>
            <w:r>
              <w:rPr>
                <w:rFonts w:hint="default" w:ascii="Times New Roman" w:hAnsi="Times New Roman" w:eastAsia="宋体" w:cs="Times New Roman"/>
                <w:b/>
                <w:bCs/>
                <w:color w:val="auto"/>
                <w:lang w:eastAsia="zh-CN"/>
              </w:rPr>
              <w:t>一览表</w:t>
            </w:r>
          </w:p>
          <w:tbl>
            <w:tblPr>
              <w:tblStyle w:val="27"/>
              <w:tblW w:w="7859"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
            <w:tblGrid>
              <w:gridCol w:w="901"/>
              <w:gridCol w:w="1335"/>
              <w:gridCol w:w="887"/>
              <w:gridCol w:w="1324"/>
              <w:gridCol w:w="1467"/>
              <w:gridCol w:w="1945"/>
            </w:tblGrid>
            <w:tr w14:paraId="541D58A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901" w:type="dxa"/>
                  <w:vAlign w:val="center"/>
                </w:tcPr>
                <w:p w14:paraId="5726217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b/>
                      <w:bCs/>
                      <w:color w:val="auto"/>
                      <w:sz w:val="18"/>
                      <w:szCs w:val="18"/>
                    </w:rPr>
                    <w:t>环境要素</w:t>
                  </w:r>
                </w:p>
              </w:tc>
              <w:tc>
                <w:tcPr>
                  <w:tcW w:w="1335" w:type="dxa"/>
                  <w:vAlign w:val="center"/>
                </w:tcPr>
                <w:p w14:paraId="3A03B6C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b/>
                      <w:bCs/>
                      <w:color w:val="auto"/>
                      <w:sz w:val="18"/>
                      <w:szCs w:val="18"/>
                    </w:rPr>
                    <w:t>保护对象</w:t>
                  </w:r>
                </w:p>
              </w:tc>
              <w:tc>
                <w:tcPr>
                  <w:tcW w:w="887" w:type="dxa"/>
                  <w:vAlign w:val="center"/>
                </w:tcPr>
                <w:p w14:paraId="405AD5B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b/>
                      <w:bCs/>
                      <w:color w:val="auto"/>
                      <w:sz w:val="18"/>
                      <w:szCs w:val="18"/>
                    </w:rPr>
                    <w:t>保护内容</w:t>
                  </w:r>
                </w:p>
              </w:tc>
              <w:tc>
                <w:tcPr>
                  <w:tcW w:w="1324" w:type="dxa"/>
                  <w:vAlign w:val="center"/>
                </w:tcPr>
                <w:p w14:paraId="543D657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b/>
                      <w:bCs/>
                      <w:color w:val="auto"/>
                      <w:sz w:val="18"/>
                      <w:szCs w:val="18"/>
                    </w:rPr>
                    <w:t>相对厂址方位</w:t>
                  </w:r>
                </w:p>
              </w:tc>
              <w:tc>
                <w:tcPr>
                  <w:tcW w:w="1467" w:type="dxa"/>
                  <w:vAlign w:val="center"/>
                </w:tcPr>
                <w:p w14:paraId="1BE0AB3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b/>
                      <w:bCs/>
                      <w:color w:val="auto"/>
                      <w:sz w:val="18"/>
                      <w:szCs w:val="18"/>
                    </w:rPr>
                    <w:t>相对厂界距离(米)</w:t>
                  </w:r>
                </w:p>
              </w:tc>
              <w:tc>
                <w:tcPr>
                  <w:tcW w:w="1945" w:type="dxa"/>
                  <w:vAlign w:val="center"/>
                </w:tcPr>
                <w:p w14:paraId="709B234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b/>
                      <w:bCs/>
                      <w:color w:val="auto"/>
                      <w:sz w:val="18"/>
                      <w:szCs w:val="18"/>
                    </w:rPr>
                    <w:t>环境功能区</w:t>
                  </w:r>
                </w:p>
              </w:tc>
            </w:tr>
            <w:tr w14:paraId="37FA1B5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255" w:hRule="atLeast"/>
                <w:jc w:val="center"/>
              </w:trPr>
              <w:tc>
                <w:tcPr>
                  <w:tcW w:w="901" w:type="dxa"/>
                  <w:vAlign w:val="center"/>
                </w:tcPr>
                <w:p w14:paraId="59D6A9B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声环境</w:t>
                  </w:r>
                </w:p>
              </w:tc>
              <w:tc>
                <w:tcPr>
                  <w:tcW w:w="6958" w:type="dxa"/>
                  <w:gridSpan w:val="5"/>
                  <w:vAlign w:val="center"/>
                </w:tcPr>
                <w:p w14:paraId="6E9CDCE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lang w:val="en-US" w:eastAsia="zh-CN"/>
                    </w:rPr>
                    <w:t>项目</w:t>
                  </w:r>
                  <w:r>
                    <w:rPr>
                      <w:rFonts w:hint="default" w:ascii="Times New Roman" w:hAnsi="Times New Roman" w:eastAsia="宋体" w:cs="Times New Roman"/>
                      <w:color w:val="auto"/>
                      <w:sz w:val="18"/>
                      <w:szCs w:val="18"/>
                    </w:rPr>
                    <w:t>厂界外50米范围内无声环境保护目标</w:t>
                  </w:r>
                </w:p>
              </w:tc>
            </w:tr>
            <w:tr w14:paraId="370DD67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901" w:type="dxa"/>
                  <w:vAlign w:val="center"/>
                </w:tcPr>
                <w:p w14:paraId="593A8BA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地下水环境</w:t>
                  </w:r>
                </w:p>
              </w:tc>
              <w:tc>
                <w:tcPr>
                  <w:tcW w:w="6958" w:type="dxa"/>
                  <w:gridSpan w:val="5"/>
                  <w:vAlign w:val="center"/>
                </w:tcPr>
                <w:p w14:paraId="2FB2DA2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厂界外500米范围内无地下水集中式饮用水水源和热水、矿泉水、温泉等特殊地下水资源</w:t>
                  </w:r>
                </w:p>
              </w:tc>
            </w:tr>
            <w:tr w14:paraId="14452CB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901" w:type="dxa"/>
                  <w:vMerge w:val="restart"/>
                  <w:vAlign w:val="center"/>
                </w:tcPr>
                <w:p w14:paraId="173E085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生态</w:t>
                  </w:r>
                </w:p>
              </w:tc>
              <w:tc>
                <w:tcPr>
                  <w:tcW w:w="2222" w:type="dxa"/>
                  <w:gridSpan w:val="2"/>
                  <w:vAlign w:val="center"/>
                </w:tcPr>
                <w:p w14:paraId="38EC0D7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lang w:val="en-US" w:eastAsia="zh-CN"/>
                    </w:rPr>
                    <w:t>淮阴区饮用水水源保护区</w:t>
                  </w:r>
                </w:p>
              </w:tc>
              <w:tc>
                <w:tcPr>
                  <w:tcW w:w="1324" w:type="dxa"/>
                  <w:vAlign w:val="center"/>
                </w:tcPr>
                <w:p w14:paraId="76E4CC6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S</w:t>
                  </w:r>
                </w:p>
              </w:tc>
              <w:tc>
                <w:tcPr>
                  <w:tcW w:w="1467" w:type="dxa"/>
                  <w:vAlign w:val="center"/>
                </w:tcPr>
                <w:p w14:paraId="340F01B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1</w:t>
                  </w:r>
                  <w:r>
                    <w:rPr>
                      <w:rFonts w:hint="eastAsia" w:cs="Times New Roman"/>
                      <w:color w:val="auto"/>
                      <w:sz w:val="18"/>
                      <w:szCs w:val="18"/>
                      <w:lang w:val="en-US" w:eastAsia="zh-CN"/>
                    </w:rPr>
                    <w:t>90</w:t>
                  </w:r>
                  <w:r>
                    <w:rPr>
                      <w:rFonts w:hint="default" w:ascii="Times New Roman" w:hAnsi="Times New Roman" w:eastAsia="宋体" w:cs="Times New Roman"/>
                      <w:color w:val="auto"/>
                      <w:sz w:val="18"/>
                      <w:szCs w:val="18"/>
                      <w:lang w:val="en-US" w:eastAsia="zh-CN"/>
                    </w:rPr>
                    <w:t>0</w:t>
                  </w:r>
                </w:p>
              </w:tc>
              <w:tc>
                <w:tcPr>
                  <w:tcW w:w="1945" w:type="dxa"/>
                  <w:vAlign w:val="center"/>
                </w:tcPr>
                <w:p w14:paraId="20926C8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水源水质保护</w:t>
                  </w:r>
                </w:p>
              </w:tc>
            </w:tr>
            <w:tr w14:paraId="47CB2C1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901" w:type="dxa"/>
                  <w:vMerge w:val="continue"/>
                  <w:vAlign w:val="center"/>
                </w:tcPr>
                <w:p w14:paraId="357875C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p>
              </w:tc>
              <w:tc>
                <w:tcPr>
                  <w:tcW w:w="2222" w:type="dxa"/>
                  <w:gridSpan w:val="2"/>
                  <w:vAlign w:val="center"/>
                </w:tcPr>
                <w:p w14:paraId="28F54F0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废黄河（淮阴区）重要湿地</w:t>
                  </w:r>
                </w:p>
              </w:tc>
              <w:tc>
                <w:tcPr>
                  <w:tcW w:w="1324" w:type="dxa"/>
                  <w:vAlign w:val="center"/>
                </w:tcPr>
                <w:p w14:paraId="7A57E3F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S</w:t>
                  </w:r>
                </w:p>
              </w:tc>
              <w:tc>
                <w:tcPr>
                  <w:tcW w:w="1467" w:type="dxa"/>
                  <w:vAlign w:val="center"/>
                </w:tcPr>
                <w:p w14:paraId="43A2FF6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cs="Times New Roman"/>
                      <w:color w:val="auto"/>
                      <w:sz w:val="18"/>
                      <w:szCs w:val="18"/>
                      <w:lang w:val="en-US" w:eastAsia="zh-CN"/>
                    </w:rPr>
                    <w:t>1750</w:t>
                  </w:r>
                </w:p>
              </w:tc>
              <w:tc>
                <w:tcPr>
                  <w:tcW w:w="1945" w:type="dxa"/>
                  <w:vAlign w:val="center"/>
                </w:tcPr>
                <w:p w14:paraId="3FB5BE8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湿地生态系统保护</w:t>
                  </w:r>
                </w:p>
              </w:tc>
            </w:tr>
          </w:tbl>
          <w:p w14:paraId="6C2E53F5">
            <w:pPr>
              <w:keepNext w:val="0"/>
              <w:keepLines w:val="0"/>
              <w:suppressLineNumbers w:val="0"/>
              <w:bidi w:val="0"/>
              <w:spacing w:before="0" w:beforeAutospacing="0" w:after="0" w:afterAutospacing="0"/>
              <w:ind w:left="0" w:leftChars="0" w:right="0" w:firstLine="0" w:firstLineChars="0"/>
              <w:rPr>
                <w:rFonts w:hint="default" w:ascii="Times New Roman" w:hAnsi="Times New Roman" w:eastAsia="宋体" w:cs="Times New Roman"/>
                <w:color w:val="auto"/>
                <w:lang w:val="en-US" w:eastAsia="zh-CN"/>
              </w:rPr>
            </w:pPr>
          </w:p>
          <w:p w14:paraId="53137A06">
            <w:pPr>
              <w:keepNext w:val="0"/>
              <w:keepLines w:val="0"/>
              <w:suppressLineNumbers w:val="0"/>
              <w:bidi w:val="0"/>
              <w:spacing w:before="0" w:beforeAutospacing="0" w:after="0" w:afterAutospacing="0"/>
              <w:ind w:left="0" w:leftChars="0" w:right="0" w:firstLine="0" w:firstLineChars="0"/>
              <w:rPr>
                <w:rFonts w:hint="default" w:ascii="Times New Roman" w:hAnsi="Times New Roman" w:eastAsia="宋体" w:cs="Times New Roman"/>
                <w:color w:val="auto"/>
                <w:lang w:val="en-US" w:eastAsia="zh-CN"/>
              </w:rPr>
            </w:pPr>
          </w:p>
          <w:p w14:paraId="75F08D4A">
            <w:pPr>
              <w:keepNext w:val="0"/>
              <w:keepLines w:val="0"/>
              <w:suppressLineNumbers w:val="0"/>
              <w:bidi w:val="0"/>
              <w:spacing w:before="0" w:beforeAutospacing="0" w:after="0" w:afterAutospacing="0"/>
              <w:ind w:left="0" w:leftChars="0" w:right="0" w:firstLine="0" w:firstLineChars="0"/>
              <w:rPr>
                <w:rFonts w:hint="default" w:ascii="Times New Roman" w:hAnsi="Times New Roman" w:eastAsia="宋体" w:cs="Times New Roman"/>
                <w:color w:val="auto"/>
                <w:lang w:val="en-US" w:eastAsia="zh-CN"/>
              </w:rPr>
            </w:pPr>
          </w:p>
          <w:p w14:paraId="6144D01E">
            <w:pPr>
              <w:keepNext w:val="0"/>
              <w:keepLines w:val="0"/>
              <w:suppressLineNumbers w:val="0"/>
              <w:bidi w:val="0"/>
              <w:spacing w:before="0" w:beforeAutospacing="0" w:after="0" w:afterAutospacing="0"/>
              <w:ind w:left="0" w:leftChars="0" w:right="0" w:firstLine="0" w:firstLineChars="0"/>
              <w:rPr>
                <w:rFonts w:hint="default" w:ascii="Times New Roman" w:hAnsi="Times New Roman" w:eastAsia="宋体" w:cs="Times New Roman"/>
                <w:color w:val="auto"/>
                <w:lang w:val="en-US" w:eastAsia="zh-CN"/>
              </w:rPr>
            </w:pPr>
          </w:p>
          <w:p w14:paraId="6ACA2116">
            <w:pPr>
              <w:keepNext w:val="0"/>
              <w:keepLines w:val="0"/>
              <w:suppressLineNumbers w:val="0"/>
              <w:bidi w:val="0"/>
              <w:spacing w:before="0" w:beforeAutospacing="0" w:after="0" w:afterAutospacing="0"/>
              <w:ind w:left="0" w:leftChars="0" w:right="0" w:firstLine="0" w:firstLineChars="0"/>
              <w:rPr>
                <w:rFonts w:hint="default" w:ascii="Times New Roman" w:hAnsi="Times New Roman" w:eastAsia="宋体" w:cs="Times New Roman"/>
                <w:color w:val="auto"/>
                <w:lang w:val="en-US" w:eastAsia="zh-CN"/>
              </w:rPr>
            </w:pPr>
          </w:p>
          <w:p w14:paraId="306EE20C">
            <w:pPr>
              <w:keepNext w:val="0"/>
              <w:keepLines w:val="0"/>
              <w:suppressLineNumbers w:val="0"/>
              <w:bidi w:val="0"/>
              <w:spacing w:before="0" w:beforeAutospacing="0" w:after="0" w:afterAutospacing="0"/>
              <w:ind w:left="0" w:leftChars="0" w:right="0" w:firstLine="0" w:firstLineChars="0"/>
              <w:rPr>
                <w:rFonts w:hint="default" w:ascii="Times New Roman" w:hAnsi="Times New Roman" w:eastAsia="宋体" w:cs="Times New Roman"/>
                <w:color w:val="auto"/>
                <w:lang w:val="en-US" w:eastAsia="zh-CN"/>
              </w:rPr>
            </w:pPr>
          </w:p>
          <w:p w14:paraId="2F160625">
            <w:pPr>
              <w:keepNext w:val="0"/>
              <w:keepLines w:val="0"/>
              <w:suppressLineNumbers w:val="0"/>
              <w:bidi w:val="0"/>
              <w:spacing w:before="0" w:beforeAutospacing="0" w:after="0" w:afterAutospacing="0"/>
              <w:ind w:left="0" w:leftChars="0" w:right="0" w:firstLine="0" w:firstLineChars="0"/>
              <w:rPr>
                <w:rFonts w:hint="default" w:ascii="Times New Roman" w:hAnsi="Times New Roman" w:eastAsia="宋体" w:cs="Times New Roman"/>
                <w:color w:val="auto"/>
                <w:lang w:val="en-US" w:eastAsia="zh-CN"/>
              </w:rPr>
            </w:pPr>
          </w:p>
          <w:p w14:paraId="278E8156">
            <w:pPr>
              <w:keepNext w:val="0"/>
              <w:keepLines w:val="0"/>
              <w:suppressLineNumbers w:val="0"/>
              <w:bidi w:val="0"/>
              <w:spacing w:before="0" w:beforeAutospacing="0" w:after="0" w:afterAutospacing="0"/>
              <w:ind w:left="0" w:leftChars="0" w:right="0" w:firstLine="0" w:firstLineChars="0"/>
              <w:rPr>
                <w:rFonts w:hint="default" w:ascii="Times New Roman" w:hAnsi="Times New Roman" w:eastAsia="宋体" w:cs="Times New Roman"/>
                <w:color w:val="auto"/>
                <w:lang w:val="en-US" w:eastAsia="zh-CN"/>
              </w:rPr>
            </w:pPr>
          </w:p>
          <w:p w14:paraId="018644FF">
            <w:pPr>
              <w:keepNext w:val="0"/>
              <w:keepLines w:val="0"/>
              <w:suppressLineNumbers w:val="0"/>
              <w:bidi w:val="0"/>
              <w:spacing w:before="0" w:beforeAutospacing="0" w:after="0" w:afterAutospacing="0"/>
              <w:ind w:left="0" w:leftChars="0" w:right="0" w:firstLine="0" w:firstLineChars="0"/>
              <w:rPr>
                <w:rFonts w:hint="default" w:ascii="Times New Roman" w:hAnsi="Times New Roman" w:eastAsia="宋体" w:cs="Times New Roman"/>
                <w:color w:val="auto"/>
                <w:lang w:val="en-US" w:eastAsia="zh-CN"/>
              </w:rPr>
            </w:pPr>
          </w:p>
          <w:p w14:paraId="58915B16">
            <w:pPr>
              <w:keepNext w:val="0"/>
              <w:keepLines w:val="0"/>
              <w:suppressLineNumbers w:val="0"/>
              <w:bidi w:val="0"/>
              <w:spacing w:before="0" w:beforeAutospacing="0" w:after="0" w:afterAutospacing="0"/>
              <w:ind w:left="0" w:leftChars="0" w:right="0" w:firstLine="0" w:firstLineChars="0"/>
              <w:rPr>
                <w:rFonts w:hint="default" w:ascii="Times New Roman" w:hAnsi="Times New Roman" w:eastAsia="宋体" w:cs="Times New Roman"/>
                <w:color w:val="auto"/>
                <w:lang w:val="en-US" w:eastAsia="zh-CN"/>
              </w:rPr>
            </w:pPr>
          </w:p>
          <w:p w14:paraId="59A3E820">
            <w:pPr>
              <w:keepNext w:val="0"/>
              <w:keepLines w:val="0"/>
              <w:suppressLineNumbers w:val="0"/>
              <w:bidi w:val="0"/>
              <w:spacing w:before="0" w:beforeAutospacing="0" w:after="0" w:afterAutospacing="0"/>
              <w:ind w:left="0" w:leftChars="0" w:right="0" w:firstLine="0" w:firstLineChars="0"/>
              <w:rPr>
                <w:rFonts w:hint="default" w:ascii="Times New Roman" w:hAnsi="Times New Roman" w:eastAsia="宋体" w:cs="Times New Roman"/>
                <w:color w:val="auto"/>
                <w:lang w:val="en-US" w:eastAsia="zh-CN"/>
              </w:rPr>
            </w:pPr>
          </w:p>
          <w:p w14:paraId="27790F2F">
            <w:pPr>
              <w:keepNext w:val="0"/>
              <w:keepLines w:val="0"/>
              <w:suppressLineNumbers w:val="0"/>
              <w:bidi w:val="0"/>
              <w:spacing w:before="0" w:beforeAutospacing="0" w:after="0" w:afterAutospacing="0"/>
              <w:ind w:left="0" w:leftChars="0" w:right="0" w:firstLine="0" w:firstLineChars="0"/>
              <w:rPr>
                <w:rFonts w:hint="default" w:ascii="Times New Roman" w:hAnsi="Times New Roman" w:eastAsia="宋体" w:cs="Times New Roman"/>
                <w:color w:val="auto"/>
                <w:lang w:val="en-US" w:eastAsia="zh-CN"/>
              </w:rPr>
            </w:pPr>
          </w:p>
        </w:tc>
      </w:tr>
      <w:tr w14:paraId="3B13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0" w:type="dxa"/>
            <w:vAlign w:val="center"/>
          </w:tcPr>
          <w:p w14:paraId="3A839AE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vertAlign w:val="baseline"/>
                <w:lang w:val="en-US" w:eastAsia="zh-CN"/>
              </w:rPr>
            </w:pPr>
            <w:r>
              <w:rPr>
                <w:rFonts w:hint="default" w:ascii="Times New Roman" w:hAnsi="Times New Roman" w:eastAsia="宋体" w:cs="Times New Roman"/>
                <w:b/>
                <w:bCs/>
                <w:color w:val="auto"/>
                <w:vertAlign w:val="baseline"/>
                <w:lang w:val="en-US" w:eastAsia="zh-CN"/>
              </w:rPr>
              <w:t>污染物排放控制标准</w:t>
            </w:r>
          </w:p>
        </w:tc>
        <w:tc>
          <w:tcPr>
            <w:tcW w:w="8062" w:type="dxa"/>
          </w:tcPr>
          <w:p w14:paraId="0C3E43F6">
            <w:pPr>
              <w:keepNext w:val="0"/>
              <w:keepLines w:val="0"/>
              <w:numPr>
                <w:ilvl w:val="0"/>
                <w:numId w:val="9"/>
              </w:numPr>
              <w:suppressLineNumbers w:val="0"/>
              <w:bidi w:val="0"/>
              <w:adjustRightInd w:val="0"/>
              <w:snapToGrid w:val="0"/>
              <w:spacing w:before="0" w:beforeAutospacing="0" w:after="0" w:afterAutospacing="0"/>
              <w:ind w:left="-2" w:right="0" w:firstLine="482" w:firstLineChars="0"/>
              <w:rPr>
                <w:rFonts w:hint="default" w:ascii="Times New Roman" w:hAnsi="Times New Roman" w:eastAsia="宋体" w:cs="Times New Roman"/>
                <w:color w:val="auto"/>
                <w:lang w:val="en-US" w:eastAsia="zh-CN"/>
              </w:rPr>
            </w:pPr>
            <w:r>
              <w:rPr>
                <w:rFonts w:hint="default" w:ascii="Times New Roman" w:hAnsi="Times New Roman" w:eastAsia="宋体" w:cs="Times New Roman"/>
                <w:b/>
                <w:bCs/>
                <w:color w:val="auto"/>
                <w:lang w:val="en-US" w:eastAsia="zh-CN"/>
              </w:rPr>
              <w:t>废气</w:t>
            </w:r>
          </w:p>
          <w:p w14:paraId="03FA089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本项目颗粒物有组织</w:t>
            </w:r>
            <w:r>
              <w:rPr>
                <w:rFonts w:hint="eastAsia" w:cs="Times New Roman"/>
                <w:color w:val="auto"/>
                <w:lang w:val="en-US" w:eastAsia="zh-CN"/>
              </w:rPr>
              <w:t>及无组织</w:t>
            </w:r>
            <w:r>
              <w:rPr>
                <w:rFonts w:hint="default" w:ascii="Times New Roman" w:hAnsi="Times New Roman" w:eastAsia="宋体" w:cs="Times New Roman"/>
                <w:color w:val="auto"/>
                <w:lang w:val="en-US" w:eastAsia="zh-CN"/>
              </w:rPr>
              <w:t>排放</w:t>
            </w:r>
            <w:r>
              <w:rPr>
                <w:rFonts w:hint="eastAsia" w:cs="Times New Roman"/>
                <w:color w:val="auto"/>
                <w:lang w:val="en-US" w:eastAsia="zh-CN"/>
              </w:rPr>
              <w:t>分别</w:t>
            </w:r>
            <w:r>
              <w:rPr>
                <w:rFonts w:hint="default" w:ascii="Times New Roman" w:hAnsi="Times New Roman" w:eastAsia="宋体" w:cs="Times New Roman"/>
                <w:color w:val="auto"/>
                <w:lang w:val="en-US" w:eastAsia="zh-CN"/>
              </w:rPr>
              <w:t>执行</w:t>
            </w:r>
            <w:r>
              <w:rPr>
                <w:rFonts w:hint="eastAsia"/>
                <w:color w:val="auto"/>
              </w:rPr>
              <w:t>《大气污染物综合排放标准》（</w:t>
            </w:r>
            <w:r>
              <w:rPr>
                <w:rFonts w:hint="eastAsia" w:ascii="Times New Roman" w:hAnsi="Times New Roman" w:cs="Times New Roman"/>
                <w:bCs/>
                <w:color w:val="auto"/>
                <w:kern w:val="2"/>
              </w:rPr>
              <w:t>DB32/4041-2021）表1</w:t>
            </w:r>
            <w:r>
              <w:rPr>
                <w:rFonts w:hint="eastAsia" w:cs="Times New Roman"/>
                <w:bCs/>
                <w:color w:val="auto"/>
                <w:kern w:val="2"/>
                <w:lang w:eastAsia="zh-CN"/>
              </w:rPr>
              <w:t>及表</w:t>
            </w:r>
            <w:r>
              <w:rPr>
                <w:rFonts w:hint="eastAsia" w:cs="Times New Roman"/>
                <w:bCs/>
                <w:color w:val="auto"/>
                <w:kern w:val="2"/>
                <w:lang w:val="en-US" w:eastAsia="zh-CN"/>
              </w:rPr>
              <w:t>3</w:t>
            </w:r>
            <w:r>
              <w:rPr>
                <w:rFonts w:hint="eastAsia" w:ascii="Times New Roman" w:hAnsi="Times New Roman" w:cs="Times New Roman"/>
                <w:bCs/>
                <w:color w:val="auto"/>
                <w:kern w:val="2"/>
              </w:rPr>
              <w:t>限值</w:t>
            </w:r>
            <w:r>
              <w:rPr>
                <w:rFonts w:hint="eastAsia" w:cs="Times New Roman"/>
                <w:bCs/>
                <w:color w:val="auto"/>
                <w:kern w:val="2"/>
                <w:lang w:val="en-US" w:eastAsia="zh-CN"/>
              </w:rPr>
              <w:t>要求</w:t>
            </w:r>
            <w:r>
              <w:rPr>
                <w:rFonts w:hint="default" w:ascii="Times New Roman" w:hAnsi="Times New Roman" w:eastAsia="宋体" w:cs="Times New Roman"/>
                <w:color w:val="auto"/>
                <w:lang w:val="en-US" w:eastAsia="zh-CN"/>
              </w:rPr>
              <w:t>。</w:t>
            </w:r>
            <w:r>
              <w:rPr>
                <w:rFonts w:hint="eastAsia" w:cs="Times New Roman"/>
                <w:color w:val="auto"/>
                <w:lang w:val="en-US" w:eastAsia="zh-CN"/>
              </w:rPr>
              <w:t>具体见表3.3-1、3.3-2。</w:t>
            </w:r>
          </w:p>
          <w:p w14:paraId="17075BAE">
            <w:pPr>
              <w:pStyle w:val="3"/>
              <w:keepNext w:val="0"/>
              <w:keepLines w:val="0"/>
              <w:suppressLineNumbers w:val="0"/>
              <w:adjustRightInd w:val="0"/>
              <w:snapToGrid w:val="0"/>
              <w:spacing w:before="0" w:beforeAutospacing="0" w:after="0" w:afterAutospacing="0" w:line="240" w:lineRule="auto"/>
              <w:ind w:left="1141" w:right="0" w:firstLine="0" w:firstLineChars="0"/>
              <w:jc w:val="center"/>
              <w:rPr>
                <w:rFonts w:hint="eastAsia" w:eastAsia="宋体"/>
                <w:b/>
                <w:color w:val="auto"/>
              </w:rPr>
            </w:pPr>
            <w:r>
              <w:rPr>
                <w:rFonts w:hint="eastAsia" w:eastAsia="宋体"/>
                <w:b/>
                <w:color w:val="auto"/>
              </w:rPr>
              <w:t>表3</w:t>
            </w:r>
            <w:r>
              <w:rPr>
                <w:rFonts w:hint="eastAsia" w:eastAsia="宋体"/>
                <w:b/>
                <w:color w:val="auto"/>
                <w:lang w:val="en-US" w:eastAsia="zh-CN"/>
              </w:rPr>
              <w:t>.3</w:t>
            </w:r>
            <w:r>
              <w:rPr>
                <w:rFonts w:hint="eastAsia" w:eastAsia="宋体"/>
                <w:b/>
                <w:color w:val="auto"/>
              </w:rPr>
              <w:t>-</w:t>
            </w:r>
            <w:r>
              <w:rPr>
                <w:rFonts w:hint="eastAsia" w:eastAsia="宋体"/>
                <w:b/>
                <w:color w:val="auto"/>
                <w:lang w:val="en-US" w:eastAsia="zh-CN"/>
              </w:rPr>
              <w:t>1</w:t>
            </w:r>
            <w:r>
              <w:rPr>
                <w:rFonts w:hint="eastAsia" w:eastAsia="宋体"/>
                <w:b/>
                <w:color w:val="auto"/>
              </w:rPr>
              <w:t xml:space="preserve"> 有组织废气污染物排放标准</w:t>
            </w:r>
          </w:p>
          <w:tbl>
            <w:tblPr>
              <w:tblStyle w:val="27"/>
              <w:tblW w:w="4998" w:type="pct"/>
              <w:jc w:val="center"/>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1302"/>
              <w:gridCol w:w="1315"/>
              <w:gridCol w:w="1495"/>
              <w:gridCol w:w="1431"/>
              <w:gridCol w:w="2300"/>
            </w:tblGrid>
            <w:tr w14:paraId="0D4E5CE2">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524" w:hRule="atLeast"/>
                <w:jc w:val="center"/>
              </w:trPr>
              <w:tc>
                <w:tcPr>
                  <w:tcW w:w="830" w:type="pct"/>
                  <w:vAlign w:val="center"/>
                </w:tcPr>
                <w:p w14:paraId="0888760D">
                  <w:pPr>
                    <w:pStyle w:val="49"/>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eastAsiaTheme="minorEastAsia"/>
                      <w:b/>
                      <w:bCs/>
                      <w:color w:val="auto"/>
                      <w:sz w:val="18"/>
                      <w:szCs w:val="18"/>
                    </w:rPr>
                  </w:pPr>
                  <w:r>
                    <w:rPr>
                      <w:rFonts w:hint="eastAsia" w:eastAsiaTheme="minorEastAsia"/>
                      <w:b/>
                      <w:bCs/>
                      <w:color w:val="auto"/>
                      <w:sz w:val="18"/>
                      <w:szCs w:val="18"/>
                    </w:rPr>
                    <w:t>污染物</w:t>
                  </w:r>
                </w:p>
                <w:p w14:paraId="02E14F7B">
                  <w:pPr>
                    <w:pStyle w:val="49"/>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eastAsiaTheme="minorEastAsia"/>
                      <w:b/>
                      <w:bCs/>
                      <w:color w:val="auto"/>
                      <w:sz w:val="18"/>
                      <w:szCs w:val="18"/>
                    </w:rPr>
                  </w:pPr>
                  <w:r>
                    <w:rPr>
                      <w:rFonts w:hint="eastAsia" w:eastAsiaTheme="minorEastAsia"/>
                      <w:b/>
                      <w:bCs/>
                      <w:color w:val="auto"/>
                      <w:sz w:val="18"/>
                      <w:szCs w:val="18"/>
                    </w:rPr>
                    <w:t>名称</w:t>
                  </w:r>
                </w:p>
              </w:tc>
              <w:tc>
                <w:tcPr>
                  <w:tcW w:w="838" w:type="pct"/>
                  <w:vAlign w:val="center"/>
                </w:tcPr>
                <w:p w14:paraId="60DFDA09">
                  <w:pPr>
                    <w:pStyle w:val="49"/>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eastAsiaTheme="minorEastAsia"/>
                      <w:b/>
                      <w:bCs/>
                      <w:color w:val="auto"/>
                      <w:sz w:val="18"/>
                      <w:szCs w:val="18"/>
                      <w:lang w:val="en-US" w:eastAsia="zh-CN"/>
                    </w:rPr>
                  </w:pPr>
                  <w:r>
                    <w:rPr>
                      <w:rFonts w:hint="eastAsia" w:eastAsiaTheme="minorEastAsia"/>
                      <w:b/>
                      <w:bCs/>
                      <w:color w:val="auto"/>
                      <w:sz w:val="18"/>
                      <w:szCs w:val="18"/>
                      <w:lang w:val="en-US" w:eastAsia="zh-CN"/>
                    </w:rPr>
                    <w:t>排气筒高度及编号</w:t>
                  </w:r>
                </w:p>
              </w:tc>
              <w:tc>
                <w:tcPr>
                  <w:tcW w:w="953" w:type="pct"/>
                  <w:vAlign w:val="center"/>
                </w:tcPr>
                <w:p w14:paraId="48FEEFC0">
                  <w:pPr>
                    <w:pStyle w:val="49"/>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eastAsiaTheme="minorEastAsia"/>
                      <w:b/>
                      <w:bCs/>
                      <w:color w:val="auto"/>
                      <w:sz w:val="18"/>
                      <w:szCs w:val="18"/>
                    </w:rPr>
                  </w:pPr>
                  <w:r>
                    <w:rPr>
                      <w:rFonts w:hint="eastAsia" w:eastAsiaTheme="minorEastAsia"/>
                      <w:b/>
                      <w:bCs/>
                      <w:color w:val="auto"/>
                      <w:sz w:val="18"/>
                      <w:szCs w:val="18"/>
                    </w:rPr>
                    <w:t>最高允许排放浓度（mg/m</w:t>
                  </w:r>
                  <w:r>
                    <w:rPr>
                      <w:rFonts w:hint="eastAsia" w:eastAsiaTheme="minorEastAsia"/>
                      <w:b/>
                      <w:bCs/>
                      <w:color w:val="auto"/>
                      <w:sz w:val="18"/>
                      <w:szCs w:val="18"/>
                      <w:vertAlign w:val="superscript"/>
                    </w:rPr>
                    <w:t>3</w:t>
                  </w:r>
                  <w:r>
                    <w:rPr>
                      <w:rFonts w:hint="eastAsia" w:eastAsiaTheme="minorEastAsia"/>
                      <w:b/>
                      <w:bCs/>
                      <w:color w:val="auto"/>
                      <w:sz w:val="18"/>
                      <w:szCs w:val="18"/>
                    </w:rPr>
                    <w:t>）</w:t>
                  </w:r>
                </w:p>
              </w:tc>
              <w:tc>
                <w:tcPr>
                  <w:tcW w:w="912" w:type="pct"/>
                  <w:vAlign w:val="center"/>
                </w:tcPr>
                <w:p w14:paraId="5C3BD240">
                  <w:pPr>
                    <w:pStyle w:val="49"/>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eastAsiaTheme="minorEastAsia"/>
                      <w:b/>
                      <w:bCs/>
                      <w:color w:val="auto"/>
                      <w:sz w:val="18"/>
                      <w:szCs w:val="18"/>
                    </w:rPr>
                  </w:pPr>
                  <w:r>
                    <w:rPr>
                      <w:rFonts w:hint="eastAsia" w:eastAsiaTheme="minorEastAsia"/>
                      <w:b/>
                      <w:bCs/>
                      <w:color w:val="auto"/>
                      <w:sz w:val="18"/>
                      <w:szCs w:val="18"/>
                    </w:rPr>
                    <w:t>最高允许排放速率（kg/h）</w:t>
                  </w:r>
                </w:p>
              </w:tc>
              <w:tc>
                <w:tcPr>
                  <w:tcW w:w="1465" w:type="pct"/>
                  <w:vAlign w:val="center"/>
                </w:tcPr>
                <w:p w14:paraId="328348D1">
                  <w:pPr>
                    <w:pStyle w:val="49"/>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eastAsiaTheme="minorEastAsia"/>
                      <w:b/>
                      <w:bCs/>
                      <w:color w:val="auto"/>
                      <w:sz w:val="18"/>
                      <w:szCs w:val="18"/>
                      <w:lang w:val="en-US" w:eastAsia="zh-CN"/>
                    </w:rPr>
                  </w:pPr>
                  <w:r>
                    <w:rPr>
                      <w:rFonts w:hint="eastAsia" w:eastAsiaTheme="minorEastAsia"/>
                      <w:b/>
                      <w:bCs/>
                      <w:color w:val="auto"/>
                      <w:sz w:val="18"/>
                      <w:szCs w:val="18"/>
                      <w:lang w:val="en-US" w:eastAsia="zh-CN"/>
                    </w:rPr>
                    <w:t>标准来源</w:t>
                  </w:r>
                </w:p>
              </w:tc>
            </w:tr>
            <w:tr w14:paraId="6F870DF9">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474" w:hRule="atLeast"/>
                <w:jc w:val="center"/>
              </w:trPr>
              <w:tc>
                <w:tcPr>
                  <w:tcW w:w="830" w:type="pct"/>
                  <w:vAlign w:val="center"/>
                </w:tcPr>
                <w:p w14:paraId="4DD6CEE9">
                  <w:pPr>
                    <w:pStyle w:val="49"/>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eastAsiaTheme="minorEastAsia"/>
                      <w:b/>
                      <w:bCs/>
                      <w:color w:val="auto"/>
                      <w:sz w:val="18"/>
                      <w:szCs w:val="18"/>
                      <w:lang w:val="en-US" w:eastAsia="zh-CN"/>
                    </w:rPr>
                  </w:pPr>
                  <w:r>
                    <w:rPr>
                      <w:rFonts w:hint="eastAsia" w:eastAsiaTheme="minorEastAsia"/>
                      <w:b w:val="0"/>
                      <w:bCs w:val="0"/>
                      <w:color w:val="auto"/>
                      <w:sz w:val="18"/>
                      <w:szCs w:val="18"/>
                      <w:lang w:val="en-US" w:eastAsia="zh-CN"/>
                    </w:rPr>
                    <w:t>颗粒物</w:t>
                  </w:r>
                </w:p>
              </w:tc>
              <w:tc>
                <w:tcPr>
                  <w:tcW w:w="838" w:type="pct"/>
                  <w:vAlign w:val="center"/>
                </w:tcPr>
                <w:p w14:paraId="71667CA6">
                  <w:pPr>
                    <w:pStyle w:val="49"/>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eastAsiaTheme="minorEastAsia"/>
                      <w:b w:val="0"/>
                      <w:bCs w:val="0"/>
                      <w:color w:val="auto"/>
                      <w:sz w:val="18"/>
                      <w:szCs w:val="18"/>
                      <w:lang w:val="en-US" w:eastAsia="zh-CN"/>
                    </w:rPr>
                  </w:pPr>
                  <w:r>
                    <w:rPr>
                      <w:rFonts w:hint="eastAsia" w:eastAsiaTheme="minorEastAsia"/>
                      <w:b w:val="0"/>
                      <w:bCs w:val="0"/>
                      <w:color w:val="auto"/>
                      <w:sz w:val="18"/>
                      <w:szCs w:val="18"/>
                      <w:lang w:val="en-US" w:eastAsia="zh-CN"/>
                    </w:rPr>
                    <w:t>15m/DA001</w:t>
                  </w:r>
                </w:p>
              </w:tc>
              <w:tc>
                <w:tcPr>
                  <w:tcW w:w="953" w:type="pct"/>
                  <w:vAlign w:val="center"/>
                </w:tcPr>
                <w:p w14:paraId="0B6EEF60">
                  <w:pPr>
                    <w:pStyle w:val="49"/>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eastAsiaTheme="minorEastAsia"/>
                      <w:b w:val="0"/>
                      <w:bCs w:val="0"/>
                      <w:color w:val="auto"/>
                      <w:sz w:val="18"/>
                      <w:szCs w:val="18"/>
                      <w:lang w:val="en-US" w:eastAsia="zh-CN"/>
                    </w:rPr>
                  </w:pPr>
                  <w:r>
                    <w:rPr>
                      <w:rFonts w:hint="eastAsia" w:eastAsiaTheme="minorEastAsia"/>
                      <w:b w:val="0"/>
                      <w:bCs w:val="0"/>
                      <w:color w:val="auto"/>
                      <w:sz w:val="18"/>
                      <w:szCs w:val="18"/>
                      <w:lang w:val="en-US" w:eastAsia="zh-CN"/>
                    </w:rPr>
                    <w:t>20</w:t>
                  </w:r>
                </w:p>
              </w:tc>
              <w:tc>
                <w:tcPr>
                  <w:tcW w:w="912" w:type="pct"/>
                  <w:vAlign w:val="center"/>
                </w:tcPr>
                <w:p w14:paraId="186D4FCC">
                  <w:pPr>
                    <w:pStyle w:val="49"/>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eastAsiaTheme="minorEastAsia"/>
                      <w:b w:val="0"/>
                      <w:bCs w:val="0"/>
                      <w:color w:val="auto"/>
                      <w:sz w:val="18"/>
                      <w:szCs w:val="18"/>
                      <w:lang w:val="en-US" w:eastAsia="zh-CN"/>
                    </w:rPr>
                  </w:pPr>
                  <w:r>
                    <w:rPr>
                      <w:rFonts w:hint="eastAsia" w:eastAsiaTheme="minorEastAsia"/>
                      <w:b w:val="0"/>
                      <w:bCs w:val="0"/>
                      <w:color w:val="auto"/>
                      <w:sz w:val="18"/>
                      <w:szCs w:val="18"/>
                      <w:lang w:val="en-US" w:eastAsia="zh-CN"/>
                    </w:rPr>
                    <w:t>1</w:t>
                  </w:r>
                </w:p>
              </w:tc>
              <w:tc>
                <w:tcPr>
                  <w:tcW w:w="1465" w:type="pct"/>
                  <w:vAlign w:val="center"/>
                </w:tcPr>
                <w:p w14:paraId="6DB20B25">
                  <w:pPr>
                    <w:pStyle w:val="49"/>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eastAsiaTheme="minorEastAsia"/>
                      <w:b/>
                      <w:bCs/>
                      <w:color w:val="auto"/>
                      <w:sz w:val="18"/>
                      <w:szCs w:val="18"/>
                      <w:lang w:val="en-US" w:eastAsia="zh-CN"/>
                    </w:rPr>
                  </w:pPr>
                  <w:r>
                    <w:rPr>
                      <w:rFonts w:hint="default" w:ascii="Times New Roman" w:hAnsi="Times New Roman" w:eastAsia="宋体" w:cs="Times New Roman"/>
                      <w:color w:val="auto"/>
                      <w:sz w:val="18"/>
                      <w:szCs w:val="18"/>
                    </w:rPr>
                    <w:t>《大气污染物综合排放标准》（DB32/4041</w:t>
                  </w:r>
                  <w:r>
                    <w:rPr>
                      <w:rFonts w:hint="default" w:ascii="Times New Roman" w:hAnsi="Times New Roman" w:eastAsia="宋体" w:cs="Times New Roman"/>
                      <w:color w:val="auto"/>
                      <w:sz w:val="18"/>
                      <w:szCs w:val="18"/>
                      <w:lang w:val="en-US" w:eastAsia="zh-CN"/>
                    </w:rPr>
                    <w:t>-</w:t>
                  </w:r>
                  <w:r>
                    <w:rPr>
                      <w:rFonts w:hint="default" w:ascii="Times New Roman" w:hAnsi="Times New Roman" w:eastAsia="宋体" w:cs="Times New Roman"/>
                      <w:color w:val="auto"/>
                      <w:sz w:val="18"/>
                      <w:szCs w:val="18"/>
                    </w:rPr>
                    <w:t>2021）</w:t>
                  </w:r>
                </w:p>
              </w:tc>
            </w:tr>
          </w:tbl>
          <w:p w14:paraId="033A9BAC">
            <w:pPr>
              <w:pStyle w:val="3"/>
              <w:keepNext w:val="0"/>
              <w:keepLines w:val="0"/>
              <w:suppressLineNumbers w:val="0"/>
              <w:adjustRightInd w:val="0"/>
              <w:snapToGrid w:val="0"/>
              <w:spacing w:before="0" w:beforeAutospacing="0" w:after="0" w:afterAutospacing="0" w:line="240" w:lineRule="auto"/>
              <w:ind w:left="1141" w:right="0" w:firstLine="0" w:firstLineChars="0"/>
              <w:jc w:val="center"/>
              <w:rPr>
                <w:rFonts w:hint="eastAsia"/>
                <w:b/>
                <w:color w:val="auto"/>
              </w:rPr>
            </w:pPr>
            <w:r>
              <w:rPr>
                <w:rFonts w:hint="eastAsia"/>
                <w:b/>
                <w:color w:val="auto"/>
              </w:rPr>
              <w:t>表3</w:t>
            </w:r>
            <w:r>
              <w:rPr>
                <w:rFonts w:hint="eastAsia"/>
                <w:b/>
                <w:color w:val="auto"/>
                <w:lang w:val="en-US" w:eastAsia="zh-CN"/>
              </w:rPr>
              <w:t>.3</w:t>
            </w:r>
            <w:r>
              <w:rPr>
                <w:rFonts w:hint="eastAsia"/>
                <w:b/>
                <w:color w:val="auto"/>
              </w:rPr>
              <w:t>-</w:t>
            </w:r>
            <w:r>
              <w:rPr>
                <w:rFonts w:hint="eastAsia"/>
                <w:b/>
                <w:color w:val="auto"/>
                <w:lang w:val="en-US" w:eastAsia="zh-CN"/>
              </w:rPr>
              <w:t>2</w:t>
            </w:r>
            <w:r>
              <w:rPr>
                <w:rFonts w:hint="eastAsia"/>
                <w:b/>
                <w:color w:val="auto"/>
              </w:rPr>
              <w:t>厂界无组织排放标准</w:t>
            </w:r>
          </w:p>
          <w:tbl>
            <w:tblPr>
              <w:tblStyle w:val="27"/>
              <w:tblW w:w="5000" w:type="pct"/>
              <w:jc w:val="center"/>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1408"/>
              <w:gridCol w:w="2059"/>
              <w:gridCol w:w="1686"/>
              <w:gridCol w:w="2693"/>
            </w:tblGrid>
            <w:tr w14:paraId="5EFDE7B7">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150" w:hRule="atLeast"/>
                <w:jc w:val="center"/>
              </w:trPr>
              <w:tc>
                <w:tcPr>
                  <w:tcW w:w="897" w:type="pct"/>
                  <w:vAlign w:val="center"/>
                </w:tcPr>
                <w:p w14:paraId="37865E04">
                  <w:pPr>
                    <w:pStyle w:val="49"/>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b/>
                      <w:bCs/>
                      <w:color w:val="auto"/>
                      <w:sz w:val="18"/>
                      <w:szCs w:val="18"/>
                    </w:rPr>
                  </w:pPr>
                  <w:r>
                    <w:rPr>
                      <w:rFonts w:hint="eastAsia"/>
                      <w:b/>
                      <w:bCs/>
                      <w:color w:val="auto"/>
                      <w:sz w:val="18"/>
                      <w:szCs w:val="18"/>
                    </w:rPr>
                    <w:t>污染物名称</w:t>
                  </w:r>
                </w:p>
              </w:tc>
              <w:tc>
                <w:tcPr>
                  <w:tcW w:w="1312" w:type="pct"/>
                  <w:vAlign w:val="center"/>
                </w:tcPr>
                <w:p w14:paraId="25B7DF5D">
                  <w:pPr>
                    <w:pStyle w:val="49"/>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b/>
                      <w:bCs/>
                      <w:color w:val="auto"/>
                      <w:sz w:val="18"/>
                      <w:szCs w:val="18"/>
                    </w:rPr>
                  </w:pPr>
                  <w:r>
                    <w:rPr>
                      <w:rFonts w:hint="eastAsia"/>
                      <w:b/>
                      <w:bCs/>
                      <w:color w:val="auto"/>
                      <w:sz w:val="18"/>
                      <w:szCs w:val="18"/>
                    </w:rPr>
                    <w:t>监控浓度限值（mg/m</w:t>
                  </w:r>
                  <w:r>
                    <w:rPr>
                      <w:rFonts w:hint="eastAsia"/>
                      <w:b/>
                      <w:bCs/>
                      <w:color w:val="auto"/>
                      <w:sz w:val="18"/>
                      <w:szCs w:val="18"/>
                      <w:vertAlign w:val="superscript"/>
                    </w:rPr>
                    <w:t>3</w:t>
                  </w:r>
                  <w:r>
                    <w:rPr>
                      <w:rFonts w:hint="eastAsia"/>
                      <w:b/>
                      <w:bCs/>
                      <w:color w:val="auto"/>
                      <w:sz w:val="18"/>
                      <w:szCs w:val="18"/>
                    </w:rPr>
                    <w:t>）</w:t>
                  </w:r>
                </w:p>
              </w:tc>
              <w:tc>
                <w:tcPr>
                  <w:tcW w:w="1074" w:type="pct"/>
                  <w:vAlign w:val="center"/>
                </w:tcPr>
                <w:p w14:paraId="0FB5C653">
                  <w:pPr>
                    <w:pStyle w:val="41"/>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color w:val="auto"/>
                      <w:sz w:val="18"/>
                      <w:szCs w:val="18"/>
                    </w:rPr>
                  </w:pPr>
                  <w:r>
                    <w:rPr>
                      <w:rFonts w:hint="eastAsia"/>
                      <w:b/>
                      <w:bCs/>
                      <w:color w:val="auto"/>
                      <w:sz w:val="18"/>
                      <w:szCs w:val="18"/>
                      <w:lang w:val="en-US" w:eastAsia="zh-CN"/>
                    </w:rPr>
                    <w:t>监控位置</w:t>
                  </w:r>
                </w:p>
              </w:tc>
              <w:tc>
                <w:tcPr>
                  <w:tcW w:w="1716" w:type="pct"/>
                  <w:vAlign w:val="center"/>
                </w:tcPr>
                <w:p w14:paraId="382C922F">
                  <w:pPr>
                    <w:pStyle w:val="49"/>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b/>
                      <w:bCs/>
                      <w:color w:val="auto"/>
                      <w:sz w:val="18"/>
                      <w:szCs w:val="18"/>
                    </w:rPr>
                  </w:pPr>
                  <w:r>
                    <w:rPr>
                      <w:rFonts w:hint="eastAsia"/>
                      <w:b/>
                      <w:bCs/>
                      <w:color w:val="auto"/>
                      <w:sz w:val="18"/>
                      <w:szCs w:val="18"/>
                    </w:rPr>
                    <w:t>依据</w:t>
                  </w:r>
                </w:p>
              </w:tc>
            </w:tr>
            <w:tr w14:paraId="10BD511B">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0" w:hRule="atLeast"/>
                <w:jc w:val="center"/>
              </w:trPr>
              <w:tc>
                <w:tcPr>
                  <w:tcW w:w="897" w:type="pct"/>
                  <w:vAlign w:val="center"/>
                </w:tcPr>
                <w:p w14:paraId="4A2BF109">
                  <w:pPr>
                    <w:pStyle w:val="49"/>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bCs/>
                      <w:color w:val="auto"/>
                      <w:sz w:val="18"/>
                      <w:szCs w:val="18"/>
                    </w:rPr>
                  </w:pPr>
                  <w:r>
                    <w:rPr>
                      <w:rFonts w:hint="eastAsia"/>
                      <w:bCs/>
                      <w:color w:val="auto"/>
                      <w:sz w:val="18"/>
                      <w:szCs w:val="18"/>
                    </w:rPr>
                    <w:t>颗粒物</w:t>
                  </w:r>
                </w:p>
              </w:tc>
              <w:tc>
                <w:tcPr>
                  <w:tcW w:w="1312" w:type="pct"/>
                  <w:vAlign w:val="center"/>
                </w:tcPr>
                <w:p w14:paraId="1EC4217E">
                  <w:pPr>
                    <w:pStyle w:val="49"/>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eastAsia="宋体"/>
                      <w:bCs/>
                      <w:color w:val="auto"/>
                      <w:sz w:val="18"/>
                      <w:szCs w:val="18"/>
                      <w:lang w:eastAsia="zh-CN"/>
                    </w:rPr>
                  </w:pPr>
                  <w:r>
                    <w:rPr>
                      <w:rFonts w:hint="eastAsia"/>
                      <w:bCs/>
                      <w:color w:val="auto"/>
                      <w:sz w:val="18"/>
                      <w:szCs w:val="18"/>
                    </w:rPr>
                    <w:t>0.5</w:t>
                  </w:r>
                </w:p>
              </w:tc>
              <w:tc>
                <w:tcPr>
                  <w:tcW w:w="1074" w:type="pct"/>
                  <w:vAlign w:val="center"/>
                </w:tcPr>
                <w:p w14:paraId="1990D695">
                  <w:pPr>
                    <w:pStyle w:val="49"/>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bCs/>
                      <w:color w:val="auto"/>
                      <w:sz w:val="18"/>
                      <w:szCs w:val="18"/>
                    </w:rPr>
                  </w:pPr>
                  <w:r>
                    <w:rPr>
                      <w:rFonts w:hint="eastAsia"/>
                      <w:bCs/>
                      <w:color w:val="auto"/>
                      <w:sz w:val="18"/>
                      <w:szCs w:val="18"/>
                    </w:rPr>
                    <w:t>边界外浓度</w:t>
                  </w:r>
                  <w:r>
                    <w:rPr>
                      <w:rFonts w:hint="eastAsia"/>
                      <w:bCs/>
                      <w:color w:val="auto"/>
                      <w:sz w:val="18"/>
                      <w:szCs w:val="18"/>
                      <w:lang w:eastAsia="zh-CN"/>
                    </w:rPr>
                    <w:t>最高</w:t>
                  </w:r>
                  <w:r>
                    <w:rPr>
                      <w:rFonts w:hint="eastAsia"/>
                      <w:bCs/>
                      <w:color w:val="auto"/>
                      <w:sz w:val="18"/>
                      <w:szCs w:val="18"/>
                    </w:rPr>
                    <w:t>点</w:t>
                  </w:r>
                </w:p>
              </w:tc>
              <w:tc>
                <w:tcPr>
                  <w:tcW w:w="1716" w:type="pct"/>
                  <w:vAlign w:val="center"/>
                </w:tcPr>
                <w:p w14:paraId="13095F5B">
                  <w:pPr>
                    <w:pStyle w:val="49"/>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bCs/>
                      <w:color w:val="auto"/>
                      <w:sz w:val="18"/>
                      <w:szCs w:val="18"/>
                    </w:rPr>
                  </w:pPr>
                  <w:r>
                    <w:rPr>
                      <w:rFonts w:hint="eastAsia"/>
                      <w:bCs/>
                      <w:color w:val="auto"/>
                      <w:sz w:val="18"/>
                      <w:szCs w:val="18"/>
                    </w:rPr>
                    <w:t>《大气污染物综合排放标准》（DB32/4041-2021）</w:t>
                  </w:r>
                </w:p>
              </w:tc>
            </w:tr>
          </w:tbl>
          <w:p w14:paraId="6453C6FA">
            <w:pPr>
              <w:keepNext w:val="0"/>
              <w:keepLines w:val="0"/>
              <w:numPr>
                <w:ilvl w:val="0"/>
                <w:numId w:val="0"/>
              </w:numPr>
              <w:suppressLineNumbers w:val="0"/>
              <w:bidi w:val="0"/>
              <w:spacing w:before="0" w:beforeAutospacing="0" w:after="0" w:afterAutospacing="0"/>
              <w:ind w:left="480" w:leftChars="200" w:right="0" w:rightChars="0"/>
              <w:rPr>
                <w:rFonts w:hint="default" w:ascii="Times New Roman" w:hAnsi="Times New Roman" w:eastAsia="宋体" w:cs="Times New Roman"/>
                <w:b/>
                <w:bCs/>
                <w:color w:val="auto"/>
                <w:lang w:val="en-US" w:eastAsia="zh-CN"/>
              </w:rPr>
            </w:pPr>
            <w:r>
              <w:rPr>
                <w:rFonts w:hint="default" w:ascii="Times New Roman" w:hAnsi="Times New Roman" w:eastAsia="宋体" w:cs="Times New Roman"/>
                <w:b/>
                <w:bCs/>
                <w:color w:val="auto"/>
                <w:lang w:val="en-US" w:eastAsia="zh-CN"/>
              </w:rPr>
              <w:t>2.废水</w:t>
            </w:r>
          </w:p>
          <w:p w14:paraId="71661372">
            <w:pPr>
              <w:keepNext w:val="0"/>
              <w:keepLines w:val="0"/>
              <w:suppressLineNumbers w:val="0"/>
              <w:spacing w:before="0" w:beforeAutospacing="0" w:after="0" w:afterAutospacing="0"/>
              <w:ind w:left="0" w:right="0" w:firstLine="480"/>
              <w:rPr>
                <w:rFonts w:hint="eastAsia"/>
                <w:color w:val="auto"/>
              </w:rPr>
            </w:pPr>
            <w:r>
              <w:rPr>
                <w:rFonts w:hint="eastAsia"/>
                <w:color w:val="auto"/>
                <w:lang w:val="en-US" w:eastAsia="zh-CN"/>
              </w:rPr>
              <w:t>厂区生活污水接管新渡片区污水处理厂处理。废水接管及污水厂尾水排放标准见表3.3-3</w:t>
            </w:r>
            <w:r>
              <w:rPr>
                <w:rFonts w:hint="eastAsia"/>
                <w:color w:val="auto"/>
              </w:rPr>
              <w:t>。</w:t>
            </w:r>
          </w:p>
          <w:p w14:paraId="5AB9BB2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480"/>
              <w:jc w:val="center"/>
              <w:textAlignment w:val="auto"/>
              <w:rPr>
                <w:rFonts w:hint="eastAsia" w:eastAsia="宋体"/>
                <w:b/>
                <w:bCs/>
                <w:color w:val="auto"/>
                <w:lang w:eastAsia="zh-CN"/>
              </w:rPr>
            </w:pPr>
            <w:r>
              <w:rPr>
                <w:rFonts w:hint="eastAsia"/>
                <w:b/>
                <w:bCs/>
                <w:color w:val="auto"/>
              </w:rPr>
              <w:t>表3.</w:t>
            </w:r>
            <w:r>
              <w:rPr>
                <w:rFonts w:hint="eastAsia"/>
                <w:b/>
                <w:bCs/>
                <w:color w:val="auto"/>
                <w:lang w:val="en-US" w:eastAsia="zh-CN"/>
              </w:rPr>
              <w:t>3</w:t>
            </w:r>
            <w:r>
              <w:rPr>
                <w:rFonts w:hint="eastAsia"/>
                <w:b/>
                <w:bCs/>
                <w:color w:val="auto"/>
              </w:rPr>
              <w:t>-</w:t>
            </w:r>
            <w:r>
              <w:rPr>
                <w:rFonts w:hint="eastAsia"/>
                <w:b/>
                <w:bCs/>
                <w:color w:val="auto"/>
                <w:lang w:val="en-US" w:eastAsia="zh-CN"/>
              </w:rPr>
              <w:t>3</w:t>
            </w:r>
            <w:r>
              <w:rPr>
                <w:rFonts w:hint="eastAsia"/>
                <w:b/>
                <w:bCs/>
                <w:color w:val="auto"/>
              </w:rPr>
              <w:t xml:space="preserve">  </w:t>
            </w:r>
            <w:r>
              <w:rPr>
                <w:rFonts w:hint="eastAsia"/>
                <w:b/>
                <w:bCs/>
                <w:color w:val="auto"/>
                <w:lang w:eastAsia="zh-CN"/>
              </w:rPr>
              <w:t>建设项目</w:t>
            </w:r>
            <w:r>
              <w:rPr>
                <w:rFonts w:hint="eastAsia"/>
                <w:b/>
                <w:bCs/>
                <w:color w:val="auto"/>
              </w:rPr>
              <w:t>污水排放标准</w:t>
            </w:r>
            <w:r>
              <w:rPr>
                <w:rFonts w:hint="eastAsia"/>
                <w:b/>
                <w:bCs/>
                <w:color w:val="auto"/>
                <w:lang w:val="en-US" w:eastAsia="zh-CN"/>
              </w:rPr>
              <w:t xml:space="preserve"> </w:t>
            </w:r>
            <w:r>
              <w:rPr>
                <w:rFonts w:hint="eastAsia"/>
                <w:b/>
                <w:bCs/>
                <w:color w:val="auto"/>
                <w:sz w:val="21"/>
                <w:szCs w:val="21"/>
              </w:rPr>
              <w:t>单位：mg/L</w:t>
            </w:r>
            <w:r>
              <w:rPr>
                <w:rFonts w:hint="eastAsia"/>
                <w:b/>
                <w:bCs/>
                <w:color w:val="auto"/>
                <w:sz w:val="21"/>
                <w:szCs w:val="21"/>
                <w:lang w:eastAsia="zh-CN"/>
              </w:rPr>
              <w:t>（</w:t>
            </w:r>
            <w:r>
              <w:rPr>
                <w:rFonts w:hint="eastAsia"/>
                <w:b/>
                <w:bCs/>
                <w:color w:val="auto"/>
                <w:sz w:val="21"/>
                <w:szCs w:val="21"/>
                <w:lang w:val="en-US" w:eastAsia="zh-CN"/>
              </w:rPr>
              <w:t>pH无量纲</w:t>
            </w:r>
            <w:r>
              <w:rPr>
                <w:rFonts w:hint="eastAsia"/>
                <w:b/>
                <w:bCs/>
                <w:color w:val="auto"/>
                <w:sz w:val="21"/>
                <w:szCs w:val="21"/>
                <w:lang w:eastAsia="zh-CN"/>
              </w:rPr>
              <w:t>）</w:t>
            </w:r>
          </w:p>
          <w:tbl>
            <w:tblPr>
              <w:tblStyle w:val="27"/>
              <w:tblW w:w="4999"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
            <w:tblGrid>
              <w:gridCol w:w="1478"/>
              <w:gridCol w:w="1084"/>
              <w:gridCol w:w="797"/>
              <w:gridCol w:w="1210"/>
              <w:gridCol w:w="1172"/>
              <w:gridCol w:w="896"/>
              <w:gridCol w:w="1175"/>
              <w:gridCol w:w="32"/>
            </w:tblGrid>
            <w:tr w14:paraId="3268424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gridAfter w:val="1"/>
                <w:wAfter w:w="17" w:type="pct"/>
                <w:cantSplit/>
                <w:trHeight w:val="283" w:hRule="atLeast"/>
                <w:jc w:val="center"/>
              </w:trPr>
              <w:tc>
                <w:tcPr>
                  <w:tcW w:w="942" w:type="pct"/>
                  <w:tcBorders>
                    <w:top w:val="single" w:color="auto" w:sz="12" w:space="0"/>
                    <w:bottom w:val="single" w:color="auto" w:sz="4" w:space="0"/>
                    <w:tl2br w:val="nil"/>
                    <w:tr2bl w:val="nil"/>
                  </w:tcBorders>
                  <w:vAlign w:val="center"/>
                </w:tcPr>
                <w:p w14:paraId="1C16FDF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bCs/>
                      <w:color w:val="auto"/>
                      <w:sz w:val="18"/>
                      <w:szCs w:val="18"/>
                    </w:rPr>
                  </w:pPr>
                  <w:r>
                    <w:rPr>
                      <w:rFonts w:hint="eastAsia"/>
                      <w:b/>
                      <w:bCs/>
                      <w:color w:val="auto"/>
                      <w:sz w:val="18"/>
                      <w:szCs w:val="18"/>
                    </w:rPr>
                    <w:t>污染物</w:t>
                  </w:r>
                </w:p>
              </w:tc>
              <w:tc>
                <w:tcPr>
                  <w:tcW w:w="691" w:type="pct"/>
                  <w:tcBorders>
                    <w:top w:val="single" w:color="auto" w:sz="12" w:space="0"/>
                    <w:bottom w:val="single" w:color="auto" w:sz="4" w:space="0"/>
                    <w:tl2br w:val="nil"/>
                    <w:tr2bl w:val="nil"/>
                  </w:tcBorders>
                  <w:vAlign w:val="center"/>
                </w:tcPr>
                <w:p w14:paraId="1F7AB69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bCs/>
                      <w:color w:val="auto"/>
                      <w:sz w:val="18"/>
                      <w:szCs w:val="18"/>
                    </w:rPr>
                  </w:pPr>
                  <w:r>
                    <w:rPr>
                      <w:rFonts w:hint="eastAsia"/>
                      <w:b/>
                      <w:bCs/>
                      <w:color w:val="auto"/>
                      <w:sz w:val="18"/>
                      <w:szCs w:val="18"/>
                    </w:rPr>
                    <w:t>COD</w:t>
                  </w:r>
                </w:p>
              </w:tc>
              <w:tc>
                <w:tcPr>
                  <w:tcW w:w="508" w:type="pct"/>
                  <w:tcBorders>
                    <w:top w:val="single" w:color="auto" w:sz="12" w:space="0"/>
                    <w:bottom w:val="single" w:color="auto" w:sz="4" w:space="0"/>
                    <w:tl2br w:val="nil"/>
                    <w:tr2bl w:val="nil"/>
                  </w:tcBorders>
                  <w:vAlign w:val="center"/>
                </w:tcPr>
                <w:p w14:paraId="06E7E78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bCs/>
                      <w:color w:val="auto"/>
                      <w:sz w:val="18"/>
                      <w:szCs w:val="18"/>
                    </w:rPr>
                  </w:pPr>
                  <w:r>
                    <w:rPr>
                      <w:rFonts w:hint="eastAsia"/>
                      <w:b/>
                      <w:bCs/>
                      <w:color w:val="auto"/>
                      <w:sz w:val="18"/>
                      <w:szCs w:val="18"/>
                    </w:rPr>
                    <w:t>SS</w:t>
                  </w:r>
                </w:p>
              </w:tc>
              <w:tc>
                <w:tcPr>
                  <w:tcW w:w="771" w:type="pct"/>
                  <w:tcBorders>
                    <w:top w:val="single" w:color="auto" w:sz="12" w:space="0"/>
                    <w:bottom w:val="single" w:color="auto" w:sz="4" w:space="0"/>
                    <w:tl2br w:val="nil"/>
                    <w:tr2bl w:val="nil"/>
                  </w:tcBorders>
                  <w:vAlign w:val="center"/>
                </w:tcPr>
                <w:p w14:paraId="23F3F7D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bCs/>
                      <w:color w:val="auto"/>
                      <w:sz w:val="18"/>
                      <w:szCs w:val="18"/>
                    </w:rPr>
                  </w:pPr>
                  <w:r>
                    <w:rPr>
                      <w:rFonts w:hint="eastAsia"/>
                      <w:b/>
                      <w:bCs/>
                      <w:color w:val="auto"/>
                      <w:sz w:val="18"/>
                      <w:szCs w:val="18"/>
                    </w:rPr>
                    <w:t>氨氮</w:t>
                  </w:r>
                </w:p>
              </w:tc>
              <w:tc>
                <w:tcPr>
                  <w:tcW w:w="747" w:type="pct"/>
                  <w:tcBorders>
                    <w:top w:val="single" w:color="auto" w:sz="12" w:space="0"/>
                    <w:bottom w:val="single" w:color="auto" w:sz="4" w:space="0"/>
                    <w:tl2br w:val="nil"/>
                    <w:tr2bl w:val="nil"/>
                  </w:tcBorders>
                  <w:vAlign w:val="center"/>
                </w:tcPr>
                <w:p w14:paraId="532932D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bCs/>
                      <w:color w:val="auto"/>
                      <w:sz w:val="18"/>
                      <w:szCs w:val="18"/>
                    </w:rPr>
                  </w:pPr>
                  <w:r>
                    <w:rPr>
                      <w:rFonts w:hint="eastAsia"/>
                      <w:b/>
                      <w:bCs/>
                      <w:color w:val="auto"/>
                      <w:sz w:val="18"/>
                      <w:szCs w:val="18"/>
                    </w:rPr>
                    <w:t>总氮</w:t>
                  </w:r>
                </w:p>
              </w:tc>
              <w:tc>
                <w:tcPr>
                  <w:tcW w:w="571" w:type="pct"/>
                  <w:tcBorders>
                    <w:top w:val="single" w:color="auto" w:sz="12" w:space="0"/>
                    <w:bottom w:val="single" w:color="auto" w:sz="4" w:space="0"/>
                    <w:tl2br w:val="nil"/>
                    <w:tr2bl w:val="nil"/>
                  </w:tcBorders>
                  <w:vAlign w:val="center"/>
                </w:tcPr>
                <w:p w14:paraId="50E76CD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bCs/>
                      <w:color w:val="auto"/>
                      <w:sz w:val="18"/>
                      <w:szCs w:val="18"/>
                    </w:rPr>
                  </w:pPr>
                  <w:r>
                    <w:rPr>
                      <w:rFonts w:hint="eastAsia"/>
                      <w:b/>
                      <w:bCs/>
                      <w:color w:val="auto"/>
                      <w:sz w:val="18"/>
                      <w:szCs w:val="18"/>
                    </w:rPr>
                    <w:t>总磷</w:t>
                  </w:r>
                </w:p>
              </w:tc>
              <w:tc>
                <w:tcPr>
                  <w:tcW w:w="749" w:type="pct"/>
                  <w:tcBorders>
                    <w:top w:val="single" w:color="auto" w:sz="12" w:space="0"/>
                    <w:bottom w:val="single" w:color="auto" w:sz="4" w:space="0"/>
                    <w:tl2br w:val="nil"/>
                    <w:tr2bl w:val="nil"/>
                  </w:tcBorders>
                  <w:vAlign w:val="center"/>
                </w:tcPr>
                <w:p w14:paraId="65C33BC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eastAsia"/>
                      <w:b/>
                      <w:bCs/>
                      <w:color w:val="auto"/>
                      <w:sz w:val="18"/>
                      <w:szCs w:val="18"/>
                      <w:lang w:val="en-US" w:eastAsia="zh-CN"/>
                    </w:rPr>
                  </w:pPr>
                  <w:r>
                    <w:rPr>
                      <w:rFonts w:hint="eastAsia"/>
                      <w:b/>
                      <w:bCs/>
                      <w:color w:val="auto"/>
                      <w:sz w:val="18"/>
                      <w:szCs w:val="18"/>
                      <w:lang w:val="en-US" w:eastAsia="zh-CN"/>
                    </w:rPr>
                    <w:t>pH</w:t>
                  </w:r>
                </w:p>
              </w:tc>
            </w:tr>
            <w:tr w14:paraId="3564BAD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gridAfter w:val="1"/>
                <w:wAfter w:w="17" w:type="pct"/>
                <w:cantSplit/>
                <w:trHeight w:val="90" w:hRule="atLeast"/>
                <w:jc w:val="center"/>
              </w:trPr>
              <w:tc>
                <w:tcPr>
                  <w:tcW w:w="942" w:type="pct"/>
                  <w:tcBorders>
                    <w:top w:val="single" w:color="auto" w:sz="4" w:space="0"/>
                    <w:bottom w:val="single" w:color="auto" w:sz="4" w:space="0"/>
                    <w:tl2br w:val="nil"/>
                    <w:tr2bl w:val="nil"/>
                  </w:tcBorders>
                  <w:vAlign w:val="center"/>
                </w:tcPr>
                <w:p w14:paraId="53EE127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r>
                    <w:rPr>
                      <w:rFonts w:hint="eastAsia"/>
                      <w:color w:val="auto"/>
                      <w:sz w:val="18"/>
                      <w:szCs w:val="18"/>
                    </w:rPr>
                    <w:t>接管标准≤</w:t>
                  </w:r>
                </w:p>
              </w:tc>
              <w:tc>
                <w:tcPr>
                  <w:tcW w:w="691" w:type="pct"/>
                  <w:tcBorders>
                    <w:top w:val="single" w:color="auto" w:sz="4" w:space="0"/>
                    <w:bottom w:val="single" w:color="auto" w:sz="4" w:space="0"/>
                    <w:tl2br w:val="nil"/>
                    <w:tr2bl w:val="nil"/>
                  </w:tcBorders>
                  <w:vAlign w:val="center"/>
                </w:tcPr>
                <w:p w14:paraId="360D3B0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eastAsia="宋体"/>
                      <w:color w:val="auto"/>
                      <w:sz w:val="18"/>
                      <w:szCs w:val="18"/>
                      <w:lang w:val="en-US" w:eastAsia="zh-CN"/>
                    </w:rPr>
                  </w:pPr>
                  <w:r>
                    <w:rPr>
                      <w:rFonts w:hint="eastAsia"/>
                      <w:color w:val="auto"/>
                      <w:sz w:val="18"/>
                      <w:szCs w:val="18"/>
                      <w:lang w:val="en-US" w:eastAsia="zh-CN"/>
                    </w:rPr>
                    <w:t>450</w:t>
                  </w:r>
                </w:p>
              </w:tc>
              <w:tc>
                <w:tcPr>
                  <w:tcW w:w="508" w:type="pct"/>
                  <w:tcBorders>
                    <w:top w:val="single" w:color="auto" w:sz="4" w:space="0"/>
                    <w:bottom w:val="single" w:color="auto" w:sz="4" w:space="0"/>
                    <w:tl2br w:val="nil"/>
                    <w:tr2bl w:val="nil"/>
                  </w:tcBorders>
                  <w:vAlign w:val="center"/>
                </w:tcPr>
                <w:p w14:paraId="5E3499D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eastAsia="宋体"/>
                      <w:color w:val="auto"/>
                      <w:sz w:val="18"/>
                      <w:szCs w:val="18"/>
                      <w:lang w:val="en-US" w:eastAsia="zh-CN"/>
                    </w:rPr>
                  </w:pPr>
                  <w:r>
                    <w:rPr>
                      <w:rFonts w:hint="eastAsia"/>
                      <w:color w:val="auto"/>
                      <w:sz w:val="18"/>
                      <w:szCs w:val="18"/>
                      <w:lang w:val="en-US" w:eastAsia="zh-CN"/>
                    </w:rPr>
                    <w:t>200</w:t>
                  </w:r>
                </w:p>
              </w:tc>
              <w:tc>
                <w:tcPr>
                  <w:tcW w:w="771" w:type="pct"/>
                  <w:tcBorders>
                    <w:top w:val="single" w:color="auto" w:sz="4" w:space="0"/>
                    <w:bottom w:val="single" w:color="auto" w:sz="4" w:space="0"/>
                    <w:tl2br w:val="nil"/>
                    <w:tr2bl w:val="nil"/>
                  </w:tcBorders>
                  <w:vAlign w:val="center"/>
                </w:tcPr>
                <w:p w14:paraId="38B475A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eastAsia="宋体"/>
                      <w:color w:val="auto"/>
                      <w:sz w:val="18"/>
                      <w:szCs w:val="18"/>
                      <w:lang w:val="en-US" w:eastAsia="zh-CN"/>
                    </w:rPr>
                  </w:pPr>
                  <w:r>
                    <w:rPr>
                      <w:rFonts w:hint="eastAsia"/>
                      <w:color w:val="auto"/>
                      <w:sz w:val="18"/>
                      <w:szCs w:val="18"/>
                      <w:lang w:val="en-US" w:eastAsia="zh-CN"/>
                    </w:rPr>
                    <w:t>45</w:t>
                  </w:r>
                </w:p>
              </w:tc>
              <w:tc>
                <w:tcPr>
                  <w:tcW w:w="747" w:type="pct"/>
                  <w:tcBorders>
                    <w:top w:val="single" w:color="auto" w:sz="4" w:space="0"/>
                    <w:bottom w:val="single" w:color="auto" w:sz="4" w:space="0"/>
                    <w:tl2br w:val="nil"/>
                    <w:tr2bl w:val="nil"/>
                  </w:tcBorders>
                  <w:vAlign w:val="center"/>
                </w:tcPr>
                <w:p w14:paraId="100A61D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eastAsia="宋体"/>
                      <w:color w:val="auto"/>
                      <w:sz w:val="18"/>
                      <w:szCs w:val="18"/>
                      <w:lang w:val="en-US" w:eastAsia="zh-CN"/>
                    </w:rPr>
                  </w:pPr>
                  <w:r>
                    <w:rPr>
                      <w:rFonts w:hint="eastAsia"/>
                      <w:color w:val="auto"/>
                      <w:sz w:val="18"/>
                      <w:szCs w:val="18"/>
                      <w:lang w:val="en-US" w:eastAsia="zh-CN"/>
                    </w:rPr>
                    <w:t>70</w:t>
                  </w:r>
                </w:p>
              </w:tc>
              <w:tc>
                <w:tcPr>
                  <w:tcW w:w="571" w:type="pct"/>
                  <w:tcBorders>
                    <w:top w:val="single" w:color="auto" w:sz="4" w:space="0"/>
                    <w:bottom w:val="single" w:color="auto" w:sz="4" w:space="0"/>
                    <w:tl2br w:val="nil"/>
                    <w:tr2bl w:val="nil"/>
                  </w:tcBorders>
                  <w:vAlign w:val="center"/>
                </w:tcPr>
                <w:p w14:paraId="4C82862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eastAsia="宋体"/>
                      <w:color w:val="auto"/>
                      <w:sz w:val="18"/>
                      <w:szCs w:val="18"/>
                      <w:lang w:eastAsia="zh-CN"/>
                    </w:rPr>
                  </w:pPr>
                  <w:r>
                    <w:rPr>
                      <w:rFonts w:hint="eastAsia"/>
                      <w:color w:val="auto"/>
                      <w:sz w:val="18"/>
                      <w:szCs w:val="18"/>
                      <w:lang w:val="en-US" w:eastAsia="zh-CN"/>
                    </w:rPr>
                    <w:t>5</w:t>
                  </w:r>
                </w:p>
              </w:tc>
              <w:tc>
                <w:tcPr>
                  <w:tcW w:w="749" w:type="pct"/>
                  <w:tcBorders>
                    <w:top w:val="single" w:color="auto" w:sz="4" w:space="0"/>
                    <w:bottom w:val="single" w:color="auto" w:sz="4" w:space="0"/>
                    <w:tl2br w:val="nil"/>
                    <w:tr2bl w:val="nil"/>
                  </w:tcBorders>
                  <w:vAlign w:val="center"/>
                </w:tcPr>
                <w:p w14:paraId="0C3E023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eastAsia"/>
                      <w:color w:val="auto"/>
                      <w:sz w:val="18"/>
                      <w:szCs w:val="18"/>
                      <w:lang w:val="en-US" w:eastAsia="zh-CN"/>
                    </w:rPr>
                  </w:pPr>
                  <w:r>
                    <w:rPr>
                      <w:rFonts w:hint="eastAsia"/>
                      <w:color w:val="auto"/>
                      <w:sz w:val="18"/>
                      <w:szCs w:val="18"/>
                      <w:lang w:val="en-US" w:eastAsia="zh-CN"/>
                    </w:rPr>
                    <w:t>6~9</w:t>
                  </w:r>
                </w:p>
              </w:tc>
            </w:tr>
            <w:tr w14:paraId="6B0E084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gridAfter w:val="1"/>
                <w:wAfter w:w="17" w:type="pct"/>
                <w:cantSplit/>
                <w:trHeight w:val="167" w:hRule="atLeast"/>
                <w:jc w:val="center"/>
              </w:trPr>
              <w:tc>
                <w:tcPr>
                  <w:tcW w:w="942" w:type="pct"/>
                  <w:tcBorders>
                    <w:top w:val="single" w:color="auto" w:sz="4" w:space="0"/>
                    <w:bottom w:val="single" w:color="auto" w:sz="4" w:space="0"/>
                    <w:tl2br w:val="nil"/>
                    <w:tr2bl w:val="nil"/>
                  </w:tcBorders>
                  <w:vAlign w:val="center"/>
                </w:tcPr>
                <w:p w14:paraId="5AC5010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r>
                    <w:rPr>
                      <w:rFonts w:hint="eastAsia"/>
                      <w:color w:val="auto"/>
                      <w:sz w:val="18"/>
                      <w:szCs w:val="18"/>
                    </w:rPr>
                    <w:t>出水标准≤</w:t>
                  </w:r>
                </w:p>
              </w:tc>
              <w:tc>
                <w:tcPr>
                  <w:tcW w:w="691" w:type="pct"/>
                  <w:tcBorders>
                    <w:top w:val="single" w:color="auto" w:sz="4" w:space="0"/>
                    <w:bottom w:val="single" w:color="auto" w:sz="4" w:space="0"/>
                    <w:tl2br w:val="nil"/>
                    <w:tr2bl w:val="nil"/>
                  </w:tcBorders>
                  <w:vAlign w:val="center"/>
                </w:tcPr>
                <w:p w14:paraId="53EAB7A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r>
                    <w:rPr>
                      <w:rFonts w:hint="eastAsia"/>
                      <w:color w:val="auto"/>
                      <w:sz w:val="18"/>
                      <w:szCs w:val="18"/>
                    </w:rPr>
                    <w:t>50</w:t>
                  </w:r>
                </w:p>
              </w:tc>
              <w:tc>
                <w:tcPr>
                  <w:tcW w:w="508" w:type="pct"/>
                  <w:tcBorders>
                    <w:top w:val="single" w:color="auto" w:sz="4" w:space="0"/>
                    <w:bottom w:val="single" w:color="auto" w:sz="4" w:space="0"/>
                    <w:tl2br w:val="nil"/>
                    <w:tr2bl w:val="nil"/>
                  </w:tcBorders>
                  <w:vAlign w:val="center"/>
                </w:tcPr>
                <w:p w14:paraId="1E4D2BA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r>
                    <w:rPr>
                      <w:rFonts w:hint="eastAsia"/>
                      <w:color w:val="auto"/>
                      <w:sz w:val="18"/>
                      <w:szCs w:val="18"/>
                    </w:rPr>
                    <w:t>10</w:t>
                  </w:r>
                </w:p>
              </w:tc>
              <w:tc>
                <w:tcPr>
                  <w:tcW w:w="771" w:type="pct"/>
                  <w:tcBorders>
                    <w:top w:val="single" w:color="auto" w:sz="4" w:space="0"/>
                    <w:bottom w:val="single" w:color="auto" w:sz="4" w:space="0"/>
                    <w:tl2br w:val="nil"/>
                    <w:tr2bl w:val="nil"/>
                  </w:tcBorders>
                  <w:vAlign w:val="center"/>
                </w:tcPr>
                <w:p w14:paraId="773AD4C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eastAsia="宋体"/>
                      <w:color w:val="auto"/>
                      <w:sz w:val="18"/>
                      <w:szCs w:val="18"/>
                      <w:lang w:eastAsia="zh-CN"/>
                    </w:rPr>
                  </w:pPr>
                  <w:r>
                    <w:rPr>
                      <w:rFonts w:hint="eastAsia"/>
                      <w:color w:val="auto"/>
                      <w:sz w:val="18"/>
                      <w:szCs w:val="18"/>
                    </w:rPr>
                    <w:t>5（8）</w:t>
                  </w:r>
                  <w:r>
                    <w:rPr>
                      <w:rFonts w:hint="eastAsia"/>
                      <w:color w:val="auto"/>
                      <w:sz w:val="18"/>
                      <w:szCs w:val="18"/>
                      <w:vertAlign w:val="superscript"/>
                      <w:lang w:val="en-US" w:eastAsia="zh-CN"/>
                    </w:rPr>
                    <w:t>①</w:t>
                  </w:r>
                </w:p>
              </w:tc>
              <w:tc>
                <w:tcPr>
                  <w:tcW w:w="747" w:type="pct"/>
                  <w:tcBorders>
                    <w:top w:val="single" w:color="auto" w:sz="4" w:space="0"/>
                    <w:bottom w:val="single" w:color="auto" w:sz="4" w:space="0"/>
                    <w:tl2br w:val="nil"/>
                    <w:tr2bl w:val="nil"/>
                  </w:tcBorders>
                  <w:vAlign w:val="center"/>
                </w:tcPr>
                <w:p w14:paraId="23B9566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r>
                    <w:rPr>
                      <w:rFonts w:hint="eastAsia"/>
                      <w:color w:val="auto"/>
                      <w:sz w:val="18"/>
                      <w:szCs w:val="18"/>
                    </w:rPr>
                    <w:t>15</w:t>
                  </w:r>
                </w:p>
              </w:tc>
              <w:tc>
                <w:tcPr>
                  <w:tcW w:w="571" w:type="pct"/>
                  <w:tcBorders>
                    <w:top w:val="single" w:color="auto" w:sz="4" w:space="0"/>
                    <w:bottom w:val="single" w:color="auto" w:sz="4" w:space="0"/>
                    <w:tl2br w:val="nil"/>
                    <w:tr2bl w:val="nil"/>
                  </w:tcBorders>
                  <w:vAlign w:val="center"/>
                </w:tcPr>
                <w:p w14:paraId="2B678A5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r>
                    <w:rPr>
                      <w:rFonts w:hint="eastAsia"/>
                      <w:color w:val="auto"/>
                      <w:sz w:val="18"/>
                      <w:szCs w:val="18"/>
                    </w:rPr>
                    <w:t>0.5</w:t>
                  </w:r>
                </w:p>
              </w:tc>
              <w:tc>
                <w:tcPr>
                  <w:tcW w:w="749" w:type="pct"/>
                  <w:tcBorders>
                    <w:top w:val="single" w:color="auto" w:sz="4" w:space="0"/>
                    <w:bottom w:val="single" w:color="auto" w:sz="4" w:space="0"/>
                    <w:tl2br w:val="nil"/>
                    <w:tr2bl w:val="nil"/>
                  </w:tcBorders>
                  <w:vAlign w:val="center"/>
                </w:tcPr>
                <w:p w14:paraId="32B9540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eastAsia"/>
                      <w:color w:val="auto"/>
                      <w:sz w:val="18"/>
                      <w:szCs w:val="18"/>
                      <w:lang w:val="en-US" w:eastAsia="zh-CN"/>
                    </w:rPr>
                  </w:pPr>
                  <w:r>
                    <w:rPr>
                      <w:rFonts w:hint="eastAsia"/>
                      <w:color w:val="auto"/>
                      <w:sz w:val="18"/>
                      <w:szCs w:val="18"/>
                      <w:lang w:val="en-US" w:eastAsia="zh-CN"/>
                    </w:rPr>
                    <w:t>6~9</w:t>
                  </w:r>
                </w:p>
              </w:tc>
            </w:tr>
            <w:tr w14:paraId="714365C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cantSplit/>
                <w:trHeight w:val="328" w:hRule="atLeast"/>
                <w:jc w:val="center"/>
              </w:trPr>
              <w:tc>
                <w:tcPr>
                  <w:tcW w:w="942" w:type="pct"/>
                  <w:tcBorders>
                    <w:top w:val="single" w:color="auto" w:sz="4" w:space="0"/>
                    <w:bottom w:val="single" w:color="auto" w:sz="12" w:space="0"/>
                    <w:tl2br w:val="nil"/>
                    <w:tr2bl w:val="nil"/>
                  </w:tcBorders>
                  <w:vAlign w:val="center"/>
                </w:tcPr>
                <w:p w14:paraId="6A82CBE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r>
                    <w:rPr>
                      <w:rFonts w:hint="eastAsia"/>
                      <w:color w:val="auto"/>
                      <w:sz w:val="18"/>
                      <w:szCs w:val="18"/>
                    </w:rPr>
                    <w:t>标准来源</w:t>
                  </w:r>
                </w:p>
              </w:tc>
              <w:tc>
                <w:tcPr>
                  <w:tcW w:w="4057" w:type="pct"/>
                  <w:gridSpan w:val="7"/>
                  <w:tcBorders>
                    <w:top w:val="single" w:color="auto" w:sz="4" w:space="0"/>
                    <w:bottom w:val="single" w:color="auto" w:sz="12" w:space="0"/>
                    <w:tl2br w:val="nil"/>
                    <w:tr2bl w:val="nil"/>
                  </w:tcBorders>
                  <w:vAlign w:val="center"/>
                </w:tcPr>
                <w:p w14:paraId="619367D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r>
                    <w:rPr>
                      <w:rFonts w:hint="eastAsia"/>
                      <w:color w:val="auto"/>
                      <w:sz w:val="18"/>
                      <w:szCs w:val="18"/>
                      <w:lang w:val="en-US" w:eastAsia="zh-CN"/>
                    </w:rPr>
                    <w:t>新渡片区污水处理厂</w:t>
                  </w:r>
                  <w:r>
                    <w:rPr>
                      <w:rFonts w:hint="eastAsia"/>
                      <w:color w:val="auto"/>
                      <w:sz w:val="18"/>
                      <w:szCs w:val="18"/>
                    </w:rPr>
                    <w:t>接管标准</w:t>
                  </w:r>
                </w:p>
                <w:p w14:paraId="6947889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r>
                    <w:rPr>
                      <w:rFonts w:hint="eastAsia"/>
                      <w:color w:val="auto"/>
                      <w:sz w:val="18"/>
                      <w:szCs w:val="18"/>
                    </w:rPr>
                    <w:t>《城镇污水处理厂污染物排放标准》（GB18918-2002）表1一级A标准</w:t>
                  </w:r>
                </w:p>
              </w:tc>
            </w:tr>
          </w:tbl>
          <w:p w14:paraId="1D04594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firstLine="361" w:firstLineChars="200"/>
              <w:textAlignment w:val="auto"/>
              <w:rPr>
                <w:rFonts w:hint="default" w:ascii="Times New Roman" w:hAnsi="Times New Roman" w:eastAsia="宋体" w:cs="Times New Roman"/>
                <w:b/>
                <w:bCs/>
                <w:color w:val="auto"/>
                <w:sz w:val="18"/>
                <w:szCs w:val="18"/>
                <w:lang w:val="en-US" w:eastAsia="zh-CN"/>
              </w:rPr>
            </w:pPr>
            <w:r>
              <w:rPr>
                <w:rFonts w:hint="eastAsia"/>
                <w:b/>
                <w:bCs/>
                <w:color w:val="auto"/>
                <w:sz w:val="18"/>
                <w:szCs w:val="18"/>
              </w:rPr>
              <w:t>注：①括号外数值为水温＞12℃时的控制指标，括号内数值为水温≤12℃时的控制指标。</w:t>
            </w:r>
          </w:p>
          <w:p w14:paraId="6826B2ED">
            <w:pPr>
              <w:keepNext w:val="0"/>
              <w:keepLines w:val="0"/>
              <w:numPr>
                <w:ilvl w:val="0"/>
                <w:numId w:val="0"/>
              </w:numPr>
              <w:suppressLineNumbers w:val="0"/>
              <w:bidi w:val="0"/>
              <w:spacing w:before="0" w:beforeAutospacing="0" w:after="0" w:afterAutospacing="0"/>
              <w:ind w:left="480" w:leftChars="0" w:right="0" w:rightChars="0"/>
              <w:rPr>
                <w:rFonts w:hint="default" w:ascii="Times New Roman" w:hAnsi="Times New Roman" w:eastAsia="宋体" w:cs="Times New Roman"/>
                <w:b/>
                <w:bCs/>
                <w:color w:val="auto"/>
              </w:rPr>
            </w:pPr>
            <w:r>
              <w:rPr>
                <w:rFonts w:hint="default" w:ascii="Times New Roman" w:hAnsi="Times New Roman" w:eastAsia="宋体" w:cs="Times New Roman"/>
                <w:b/>
                <w:bCs/>
                <w:color w:val="auto"/>
                <w:lang w:val="en-US" w:eastAsia="zh-CN"/>
              </w:rPr>
              <w:t>3.噪声</w:t>
            </w:r>
          </w:p>
          <w:p w14:paraId="7E13017A">
            <w:pPr>
              <w:keepNext w:val="0"/>
              <w:keepLines w:val="0"/>
              <w:numPr>
                <w:ilvl w:val="0"/>
                <w:numId w:val="0"/>
              </w:numPr>
              <w:suppressLineNumbers w:val="0"/>
              <w:spacing w:before="0" w:beforeAutospacing="0" w:after="0" w:afterAutospacing="0"/>
              <w:ind w:left="0" w:leftChars="0" w:right="0" w:rightChars="0" w:firstLine="480" w:firstLineChars="200"/>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建设项目</w:t>
            </w:r>
            <w:r>
              <w:rPr>
                <w:rFonts w:hint="default" w:ascii="Times New Roman" w:hAnsi="Times New Roman" w:eastAsia="宋体" w:cs="Times New Roman"/>
                <w:color w:val="auto"/>
              </w:rPr>
              <w:t>位于淮安高新技术产业开发区钱塘江路333号智能装备科技园</w:t>
            </w:r>
            <w:r>
              <w:rPr>
                <w:rFonts w:hint="default" w:ascii="Times New Roman" w:hAnsi="Times New Roman" w:eastAsia="宋体" w:cs="Times New Roman"/>
                <w:color w:val="auto"/>
                <w:kern w:val="0"/>
                <w:sz w:val="24"/>
                <w:lang w:val="en-US" w:eastAsia="zh-CN"/>
              </w:rPr>
              <w:t>，项目厂界</w:t>
            </w:r>
            <w:r>
              <w:rPr>
                <w:rFonts w:hint="default" w:ascii="Times New Roman" w:hAnsi="Times New Roman" w:eastAsia="宋体" w:cs="Times New Roman"/>
                <w:color w:val="auto"/>
              </w:rPr>
              <w:t>噪声执行《工业企业厂界环境噪声排放标准》（GB12348-2008）中的3类标准，详见下表</w:t>
            </w:r>
            <w:r>
              <w:rPr>
                <w:rFonts w:hint="eastAsia" w:cs="Times New Roman"/>
                <w:color w:val="auto"/>
                <w:lang w:val="en-US" w:eastAsia="zh-CN"/>
              </w:rPr>
              <w:t>3.3-4</w:t>
            </w:r>
            <w:r>
              <w:rPr>
                <w:rFonts w:hint="default" w:ascii="Times New Roman" w:hAnsi="Times New Roman" w:eastAsia="宋体" w:cs="Times New Roman"/>
                <w:color w:val="auto"/>
              </w:rPr>
              <w:t>。</w:t>
            </w:r>
          </w:p>
          <w:p w14:paraId="563F45C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Cs w:val="24"/>
                <w:lang w:val="en-US" w:eastAsia="zh-CN"/>
              </w:rPr>
            </w:pPr>
            <w:r>
              <w:rPr>
                <w:rFonts w:hint="default" w:ascii="Times New Roman" w:hAnsi="Times New Roman" w:eastAsia="宋体" w:cs="Times New Roman"/>
                <w:b/>
                <w:bCs/>
                <w:color w:val="auto"/>
                <w:szCs w:val="24"/>
                <w:lang w:val="en-US" w:eastAsia="zh-CN"/>
              </w:rPr>
              <w:t>表</w:t>
            </w:r>
            <w:r>
              <w:rPr>
                <w:rFonts w:hint="eastAsia" w:ascii="Times New Roman" w:hAnsi="Times New Roman" w:eastAsia="宋体" w:cs="Times New Roman"/>
                <w:b/>
                <w:bCs/>
                <w:color w:val="auto"/>
                <w:szCs w:val="24"/>
                <w:lang w:val="en-US" w:eastAsia="zh-CN"/>
              </w:rPr>
              <w:t>3.3-</w:t>
            </w:r>
            <w:r>
              <w:rPr>
                <w:rFonts w:hint="eastAsia" w:cs="Times New Roman"/>
                <w:b/>
                <w:bCs/>
                <w:color w:val="auto"/>
                <w:szCs w:val="24"/>
                <w:lang w:val="en-US" w:eastAsia="zh-CN"/>
              </w:rPr>
              <w:t>4</w:t>
            </w:r>
            <w:r>
              <w:rPr>
                <w:rFonts w:hint="default" w:ascii="Times New Roman" w:hAnsi="Times New Roman" w:eastAsia="宋体" w:cs="Times New Roman"/>
                <w:b/>
                <w:bCs/>
                <w:color w:val="auto"/>
                <w:szCs w:val="24"/>
                <w:lang w:val="en-US" w:eastAsia="zh-CN"/>
              </w:rPr>
              <w:t xml:space="preserve">  项目厂界噪声排放标准</w:t>
            </w:r>
          </w:p>
          <w:tbl>
            <w:tblPr>
              <w:tblStyle w:val="27"/>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759"/>
              <w:gridCol w:w="738"/>
              <w:gridCol w:w="1112"/>
              <w:gridCol w:w="4489"/>
            </w:tblGrid>
            <w:tr w14:paraId="326E66E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189" w:hRule="atLeast"/>
                <w:jc w:val="center"/>
              </w:trPr>
              <w:tc>
                <w:tcPr>
                  <w:tcW w:w="474" w:type="pct"/>
                  <w:vMerge w:val="restart"/>
                  <w:vAlign w:val="center"/>
                </w:tcPr>
                <w:p w14:paraId="1EFD51C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b/>
                      <w:bCs/>
                      <w:color w:val="auto"/>
                      <w:sz w:val="18"/>
                      <w:szCs w:val="18"/>
                    </w:rPr>
                  </w:pPr>
                  <w:r>
                    <w:rPr>
                      <w:rFonts w:hint="default"/>
                      <w:b/>
                      <w:bCs/>
                      <w:color w:val="auto"/>
                      <w:sz w:val="18"/>
                      <w:szCs w:val="18"/>
                    </w:rPr>
                    <w:t>类别</w:t>
                  </w:r>
                </w:p>
              </w:tc>
              <w:tc>
                <w:tcPr>
                  <w:tcW w:w="954" w:type="pct"/>
                  <w:gridSpan w:val="2"/>
                  <w:vAlign w:val="center"/>
                </w:tcPr>
                <w:p w14:paraId="71A8A84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b/>
                      <w:bCs/>
                      <w:color w:val="auto"/>
                      <w:sz w:val="18"/>
                      <w:szCs w:val="18"/>
                    </w:rPr>
                  </w:pPr>
                  <w:r>
                    <w:rPr>
                      <w:rFonts w:hint="default"/>
                      <w:b/>
                      <w:bCs/>
                      <w:color w:val="auto"/>
                      <w:sz w:val="18"/>
                      <w:szCs w:val="18"/>
                    </w:rPr>
                    <w:t>标准值</w:t>
                  </w:r>
                </w:p>
              </w:tc>
              <w:tc>
                <w:tcPr>
                  <w:tcW w:w="708" w:type="pct"/>
                  <w:vMerge w:val="restart"/>
                  <w:vAlign w:val="center"/>
                </w:tcPr>
                <w:p w14:paraId="3D99E87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b/>
                      <w:bCs/>
                      <w:color w:val="auto"/>
                      <w:sz w:val="18"/>
                      <w:szCs w:val="18"/>
                    </w:rPr>
                  </w:pPr>
                  <w:r>
                    <w:rPr>
                      <w:rFonts w:hint="default"/>
                      <w:b/>
                      <w:bCs/>
                      <w:color w:val="auto"/>
                      <w:sz w:val="18"/>
                      <w:szCs w:val="18"/>
                    </w:rPr>
                    <w:t>单位</w:t>
                  </w:r>
                </w:p>
              </w:tc>
              <w:tc>
                <w:tcPr>
                  <w:tcW w:w="2861" w:type="pct"/>
                  <w:vMerge w:val="restart"/>
                  <w:vAlign w:val="center"/>
                </w:tcPr>
                <w:p w14:paraId="120DC22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color w:val="auto"/>
                      <w:sz w:val="18"/>
                      <w:szCs w:val="18"/>
                    </w:rPr>
                  </w:pPr>
                  <w:r>
                    <w:rPr>
                      <w:rFonts w:hint="default"/>
                      <w:b/>
                      <w:bCs/>
                      <w:color w:val="auto"/>
                      <w:sz w:val="18"/>
                      <w:szCs w:val="18"/>
                    </w:rPr>
                    <w:t>标准来源</w:t>
                  </w:r>
                </w:p>
              </w:tc>
            </w:tr>
            <w:tr w14:paraId="6BBEAEE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trPr>
              <w:tc>
                <w:tcPr>
                  <w:tcW w:w="474" w:type="pct"/>
                  <w:vMerge w:val="continue"/>
                  <w:vAlign w:val="center"/>
                </w:tcPr>
                <w:p w14:paraId="5B750AB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color w:val="auto"/>
                      <w:sz w:val="18"/>
                      <w:szCs w:val="18"/>
                    </w:rPr>
                  </w:pPr>
                </w:p>
              </w:tc>
              <w:tc>
                <w:tcPr>
                  <w:tcW w:w="483" w:type="pct"/>
                  <w:vAlign w:val="center"/>
                </w:tcPr>
                <w:p w14:paraId="24F0E7B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b/>
                      <w:bCs/>
                      <w:color w:val="auto"/>
                      <w:sz w:val="18"/>
                      <w:szCs w:val="18"/>
                    </w:rPr>
                  </w:pPr>
                  <w:r>
                    <w:rPr>
                      <w:rFonts w:hint="default"/>
                      <w:b/>
                      <w:bCs/>
                      <w:color w:val="auto"/>
                      <w:sz w:val="18"/>
                      <w:szCs w:val="18"/>
                    </w:rPr>
                    <w:t>昼间</w:t>
                  </w:r>
                </w:p>
              </w:tc>
              <w:tc>
                <w:tcPr>
                  <w:tcW w:w="470" w:type="pct"/>
                  <w:vAlign w:val="center"/>
                </w:tcPr>
                <w:p w14:paraId="0056B76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b/>
                      <w:bCs/>
                      <w:color w:val="auto"/>
                      <w:sz w:val="18"/>
                      <w:szCs w:val="18"/>
                    </w:rPr>
                  </w:pPr>
                  <w:r>
                    <w:rPr>
                      <w:rFonts w:hint="default"/>
                      <w:b/>
                      <w:bCs/>
                      <w:color w:val="auto"/>
                      <w:sz w:val="18"/>
                      <w:szCs w:val="18"/>
                    </w:rPr>
                    <w:t>夜间</w:t>
                  </w:r>
                </w:p>
              </w:tc>
              <w:tc>
                <w:tcPr>
                  <w:tcW w:w="708" w:type="pct"/>
                  <w:vMerge w:val="continue"/>
                  <w:vAlign w:val="center"/>
                </w:tcPr>
                <w:p w14:paraId="6EE9881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color w:val="auto"/>
                      <w:sz w:val="18"/>
                      <w:szCs w:val="18"/>
                    </w:rPr>
                  </w:pPr>
                </w:p>
              </w:tc>
              <w:tc>
                <w:tcPr>
                  <w:tcW w:w="2861" w:type="pct"/>
                  <w:vMerge w:val="continue"/>
                  <w:vAlign w:val="center"/>
                </w:tcPr>
                <w:p w14:paraId="6455E90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color w:val="auto"/>
                      <w:sz w:val="18"/>
                      <w:szCs w:val="18"/>
                    </w:rPr>
                  </w:pPr>
                </w:p>
              </w:tc>
            </w:tr>
            <w:tr w14:paraId="4E6C0CB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138" w:hRule="atLeast"/>
                <w:jc w:val="center"/>
              </w:trPr>
              <w:tc>
                <w:tcPr>
                  <w:tcW w:w="474" w:type="pct"/>
                  <w:vAlign w:val="center"/>
                </w:tcPr>
                <w:p w14:paraId="060CDAC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color w:val="auto"/>
                      <w:sz w:val="18"/>
                      <w:szCs w:val="18"/>
                      <w:lang w:eastAsia="zh-CN"/>
                    </w:rPr>
                  </w:pPr>
                  <w:r>
                    <w:rPr>
                      <w:rFonts w:hint="default"/>
                      <w:color w:val="auto"/>
                      <w:sz w:val="18"/>
                      <w:szCs w:val="18"/>
                      <w:lang w:val="en-US" w:eastAsia="zh-CN"/>
                    </w:rPr>
                    <w:t>3</w:t>
                  </w:r>
                </w:p>
              </w:tc>
              <w:tc>
                <w:tcPr>
                  <w:tcW w:w="483" w:type="pct"/>
                  <w:vAlign w:val="center"/>
                </w:tcPr>
                <w:p w14:paraId="54E1970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color w:val="auto"/>
                      <w:sz w:val="18"/>
                      <w:szCs w:val="18"/>
                      <w:lang w:eastAsia="zh-CN"/>
                    </w:rPr>
                  </w:pPr>
                  <w:r>
                    <w:rPr>
                      <w:rFonts w:hint="default"/>
                      <w:color w:val="auto"/>
                      <w:sz w:val="18"/>
                      <w:szCs w:val="18"/>
                    </w:rPr>
                    <w:t>≤6</w:t>
                  </w:r>
                  <w:r>
                    <w:rPr>
                      <w:rFonts w:hint="default"/>
                      <w:color w:val="auto"/>
                      <w:sz w:val="18"/>
                      <w:szCs w:val="18"/>
                      <w:lang w:val="en-US" w:eastAsia="zh-CN"/>
                    </w:rPr>
                    <w:t>5</w:t>
                  </w:r>
                </w:p>
              </w:tc>
              <w:tc>
                <w:tcPr>
                  <w:tcW w:w="470" w:type="pct"/>
                  <w:vAlign w:val="center"/>
                </w:tcPr>
                <w:p w14:paraId="6E1AD6B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color w:val="auto"/>
                      <w:sz w:val="18"/>
                      <w:szCs w:val="18"/>
                      <w:lang w:eastAsia="zh-CN"/>
                    </w:rPr>
                  </w:pPr>
                  <w:r>
                    <w:rPr>
                      <w:rFonts w:hint="default"/>
                      <w:color w:val="auto"/>
                      <w:sz w:val="18"/>
                      <w:szCs w:val="18"/>
                    </w:rPr>
                    <w:t>≤5</w:t>
                  </w:r>
                  <w:r>
                    <w:rPr>
                      <w:rFonts w:hint="default"/>
                      <w:color w:val="auto"/>
                      <w:sz w:val="18"/>
                      <w:szCs w:val="18"/>
                      <w:lang w:val="en-US" w:eastAsia="zh-CN"/>
                    </w:rPr>
                    <w:t>5</w:t>
                  </w:r>
                </w:p>
              </w:tc>
              <w:tc>
                <w:tcPr>
                  <w:tcW w:w="708" w:type="pct"/>
                  <w:vAlign w:val="center"/>
                </w:tcPr>
                <w:p w14:paraId="60BCB2D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color w:val="auto"/>
                      <w:sz w:val="18"/>
                      <w:szCs w:val="18"/>
                    </w:rPr>
                  </w:pPr>
                  <w:r>
                    <w:rPr>
                      <w:rFonts w:hint="default"/>
                      <w:color w:val="auto"/>
                      <w:sz w:val="18"/>
                      <w:szCs w:val="18"/>
                    </w:rPr>
                    <w:t>dB（A）</w:t>
                  </w:r>
                </w:p>
              </w:tc>
              <w:tc>
                <w:tcPr>
                  <w:tcW w:w="2861" w:type="pct"/>
                  <w:vAlign w:val="center"/>
                </w:tcPr>
                <w:p w14:paraId="72F5C18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color w:val="auto"/>
                      <w:sz w:val="18"/>
                      <w:szCs w:val="18"/>
                    </w:rPr>
                  </w:pPr>
                  <w:r>
                    <w:rPr>
                      <w:rFonts w:hint="default"/>
                      <w:color w:val="auto"/>
                      <w:sz w:val="18"/>
                      <w:szCs w:val="18"/>
                    </w:rPr>
                    <w:t>《工业企业厂界环境噪声排放标准》（GB12348-2008）</w:t>
                  </w:r>
                </w:p>
              </w:tc>
            </w:tr>
          </w:tbl>
          <w:p w14:paraId="65299B3C">
            <w:pPr>
              <w:keepNext w:val="0"/>
              <w:keepLines w:val="0"/>
              <w:pageBreakBefore w:val="0"/>
              <w:widowControl w:val="0"/>
              <w:suppressLineNumbers w:val="0"/>
              <w:kinsoku/>
              <w:wordWrap/>
              <w:overflowPunct/>
              <w:topLinePunct w:val="0"/>
              <w:autoSpaceDE/>
              <w:autoSpaceDN/>
              <w:bidi w:val="0"/>
              <w:adjustRightInd/>
              <w:snapToGrid/>
              <w:spacing w:before="156" w:beforeLines="50" w:beforeAutospacing="0" w:after="0" w:afterAutospacing="0" w:line="360" w:lineRule="auto"/>
              <w:ind w:left="0" w:right="0" w:firstLine="482"/>
              <w:textAlignment w:val="auto"/>
              <w:rPr>
                <w:rFonts w:hint="default" w:ascii="Times New Roman" w:hAnsi="Times New Roman" w:eastAsia="宋体" w:cs="Times New Roman"/>
                <w:b/>
                <w:bCs/>
                <w:color w:val="auto"/>
              </w:rPr>
            </w:pPr>
            <w:r>
              <w:rPr>
                <w:rFonts w:hint="default" w:ascii="Times New Roman" w:hAnsi="Times New Roman" w:eastAsia="宋体" w:cs="Times New Roman"/>
                <w:b/>
                <w:bCs/>
                <w:color w:val="auto"/>
              </w:rPr>
              <w:t>4.固废</w:t>
            </w:r>
          </w:p>
          <w:p w14:paraId="67691776">
            <w:pPr>
              <w:keepNext w:val="0"/>
              <w:keepLines w:val="0"/>
              <w:widowControl/>
              <w:suppressLineNumbers w:val="0"/>
              <w:adjustRightInd w:val="0"/>
              <w:snapToGrid w:val="0"/>
              <w:spacing w:before="0" w:beforeAutospacing="0" w:after="0" w:afterAutospacing="0" w:line="360" w:lineRule="auto"/>
              <w:ind w:left="0" w:right="0" w:firstLine="480" w:firstLineChars="200"/>
              <w:jc w:val="both"/>
              <w:rPr>
                <w:rFonts w:hint="default" w:ascii="Times New Roman" w:hAnsi="Times New Roman" w:eastAsia="宋体" w:cs="Times New Roman"/>
                <w:color w:val="auto"/>
                <w:kern w:val="0"/>
                <w:sz w:val="24"/>
              </w:rPr>
            </w:pPr>
            <w:r>
              <w:rPr>
                <w:rFonts w:hint="default" w:ascii="Times New Roman" w:hAnsi="Times New Roman" w:eastAsia="宋体" w:cs="Times New Roman"/>
                <w:color w:val="auto"/>
                <w:lang w:val="en-US" w:eastAsia="zh-CN"/>
              </w:rPr>
              <w:t>建设项目</w:t>
            </w:r>
            <w:r>
              <w:rPr>
                <w:rFonts w:hint="default" w:ascii="Times New Roman" w:hAnsi="Times New Roman" w:eastAsia="宋体" w:cs="Times New Roman"/>
                <w:color w:val="auto"/>
                <w:kern w:val="0"/>
                <w:sz w:val="24"/>
              </w:rPr>
              <w:t>固体废物环境监管执行《省生态环境厅关于印发&lt;江苏省固体废物全过程环境监管工作意见&gt;的通知》（苏环办[2024]16号）相关要求。</w:t>
            </w:r>
          </w:p>
          <w:p w14:paraId="5BD8E1B3">
            <w:pPr>
              <w:keepNext w:val="0"/>
              <w:keepLines w:val="0"/>
              <w:suppressLineNumbers w:val="0"/>
              <w:adjustRightInd w:val="0"/>
              <w:snapToGrid w:val="0"/>
              <w:spacing w:before="0" w:beforeAutospacing="0" w:after="0" w:afterAutospacing="0" w:line="360" w:lineRule="auto"/>
              <w:ind w:left="0" w:right="0" w:firstLine="480" w:firstLineChars="200"/>
              <w:rPr>
                <w:rFonts w:hint="eastAsia" w:ascii="Times New Roman" w:hAnsi="Times New Roman" w:eastAsia="宋体" w:cs="Times New Roman"/>
                <w:color w:val="auto"/>
                <w:lang w:val="en-US" w:eastAsia="zh-CN"/>
              </w:rPr>
            </w:pPr>
            <w:r>
              <w:rPr>
                <w:rFonts w:hint="default" w:ascii="Times New Roman" w:hAnsi="Times New Roman" w:eastAsia="宋体" w:cs="Times New Roman"/>
                <w:color w:val="auto"/>
                <w:kern w:val="0"/>
                <w:sz w:val="24"/>
              </w:rPr>
              <w:t>一般工业固废</w:t>
            </w:r>
            <w:r>
              <w:rPr>
                <w:rFonts w:hint="default" w:ascii="Times New Roman" w:hAnsi="Times New Roman" w:eastAsia="宋体" w:cs="Times New Roman"/>
                <w:color w:val="auto"/>
                <w:kern w:val="0"/>
                <w:sz w:val="24"/>
                <w:lang w:eastAsia="zh-CN"/>
              </w:rPr>
              <w:t>贮存</w:t>
            </w:r>
            <w:r>
              <w:rPr>
                <w:rFonts w:hint="default" w:ascii="Times New Roman" w:hAnsi="Times New Roman" w:eastAsia="宋体" w:cs="Times New Roman"/>
                <w:color w:val="auto"/>
                <w:kern w:val="0"/>
                <w:sz w:val="24"/>
              </w:rPr>
              <w:t>执行《一般工业固体废物贮存和填埋污染控制标准》（GB18599-2020）</w:t>
            </w:r>
            <w:r>
              <w:rPr>
                <w:rFonts w:hint="default" w:ascii="Times New Roman" w:hAnsi="Times New Roman" w:eastAsia="宋体" w:cs="Times New Roman"/>
                <w:color w:val="auto"/>
                <w:kern w:val="0"/>
                <w:sz w:val="24"/>
                <w:lang w:val="en-US" w:eastAsia="zh-CN"/>
              </w:rPr>
              <w:t>以及</w:t>
            </w:r>
            <w:r>
              <w:rPr>
                <w:rFonts w:hint="default" w:ascii="Times New Roman" w:hAnsi="Times New Roman" w:eastAsia="宋体" w:cs="Times New Roman"/>
                <w:color w:val="auto"/>
                <w:kern w:val="0"/>
                <w:sz w:val="24"/>
                <w:highlight w:val="none"/>
                <w:lang w:val="en-US" w:eastAsia="zh-CN"/>
              </w:rPr>
              <w:t>《省生态环境厅关于进一步完善一般工业固体废物环境管理的通知》（苏环办[2023]327号）</w:t>
            </w:r>
            <w:r>
              <w:rPr>
                <w:rFonts w:hint="default" w:ascii="Times New Roman" w:hAnsi="Times New Roman" w:eastAsia="宋体" w:cs="Times New Roman"/>
                <w:color w:val="auto"/>
                <w:kern w:val="0"/>
                <w:sz w:val="24"/>
                <w:highlight w:val="none"/>
              </w:rPr>
              <w:t>中相关规定</w:t>
            </w:r>
            <w:r>
              <w:rPr>
                <w:rFonts w:hint="default" w:ascii="Times New Roman" w:hAnsi="Times New Roman" w:eastAsia="宋体" w:cs="Times New Roman"/>
                <w:color w:val="auto"/>
                <w:kern w:val="0"/>
                <w:sz w:val="24"/>
              </w:rPr>
              <w:t>；生活垃圾的储存与处置执行《城市生活垃圾管理办法》（住房和城乡建设部令第24号</w:t>
            </w:r>
            <w:r>
              <w:rPr>
                <w:rFonts w:hint="eastAsia" w:cs="Times New Roman"/>
                <w:color w:val="auto"/>
                <w:kern w:val="0"/>
                <w:sz w:val="24"/>
                <w:lang w:eastAsia="zh-CN"/>
              </w:rPr>
              <w:t>）</w:t>
            </w:r>
            <w:r>
              <w:rPr>
                <w:rFonts w:hint="default" w:ascii="Times New Roman" w:hAnsi="Times New Roman" w:eastAsia="宋体" w:cs="Times New Roman"/>
                <w:color w:val="auto"/>
                <w:kern w:val="0"/>
                <w:sz w:val="24"/>
              </w:rPr>
              <w:t>。</w:t>
            </w:r>
          </w:p>
        </w:tc>
      </w:tr>
      <w:tr w14:paraId="02760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01" w:hRule="atLeast"/>
        </w:trPr>
        <w:tc>
          <w:tcPr>
            <w:tcW w:w="460" w:type="dxa"/>
            <w:vAlign w:val="center"/>
          </w:tcPr>
          <w:p w14:paraId="11A984D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vertAlign w:val="baseline"/>
                <w:lang w:val="en-US" w:eastAsia="zh-CN"/>
              </w:rPr>
            </w:pPr>
            <w:r>
              <w:rPr>
                <w:rFonts w:hint="default" w:ascii="Times New Roman" w:hAnsi="Times New Roman" w:eastAsia="宋体" w:cs="Times New Roman"/>
                <w:b/>
                <w:bCs/>
                <w:color w:val="auto"/>
                <w:vertAlign w:val="baseline"/>
                <w:lang w:val="en-US" w:eastAsia="zh-CN"/>
              </w:rPr>
              <w:t>总量控制指标</w:t>
            </w:r>
          </w:p>
        </w:tc>
        <w:tc>
          <w:tcPr>
            <w:tcW w:w="8062" w:type="dxa"/>
          </w:tcPr>
          <w:p w14:paraId="511DAAF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lang w:val="en-US" w:eastAsia="zh-CN"/>
              </w:rPr>
            </w:pPr>
            <w:r>
              <w:rPr>
                <w:rFonts w:hint="default" w:ascii="Times New Roman" w:hAnsi="Times New Roman" w:eastAsia="宋体" w:cs="Times New Roman"/>
                <w:b/>
                <w:bCs/>
                <w:color w:val="auto"/>
                <w:lang w:val="en-US" w:eastAsia="zh-CN"/>
              </w:rPr>
              <w:t>表3.3-</w:t>
            </w:r>
            <w:r>
              <w:rPr>
                <w:rFonts w:hint="eastAsia" w:cs="Times New Roman"/>
                <w:b/>
                <w:bCs/>
                <w:color w:val="auto"/>
                <w:lang w:val="en-US" w:eastAsia="zh-CN"/>
              </w:rPr>
              <w:t>5</w:t>
            </w:r>
            <w:r>
              <w:rPr>
                <w:rFonts w:hint="default" w:ascii="Times New Roman" w:hAnsi="Times New Roman" w:eastAsia="宋体" w:cs="Times New Roman"/>
                <w:b/>
                <w:bCs/>
                <w:color w:val="auto"/>
                <w:lang w:val="en-US" w:eastAsia="zh-CN"/>
              </w:rPr>
              <w:t xml:space="preserve">  </w:t>
            </w:r>
            <w:r>
              <w:rPr>
                <w:rFonts w:hint="eastAsia" w:cs="Times New Roman"/>
                <w:b/>
                <w:bCs/>
                <w:color w:val="auto"/>
                <w:lang w:val="en-US" w:eastAsia="zh-CN"/>
              </w:rPr>
              <w:t>拟建</w:t>
            </w:r>
            <w:r>
              <w:rPr>
                <w:rFonts w:hint="default" w:ascii="Times New Roman" w:hAnsi="Times New Roman" w:eastAsia="宋体" w:cs="Times New Roman"/>
                <w:b/>
                <w:bCs/>
                <w:color w:val="auto"/>
                <w:lang w:val="en-US" w:eastAsia="zh-CN"/>
              </w:rPr>
              <w:t>项目污染物排放情况一览表  单位：t/a</w:t>
            </w:r>
          </w:p>
          <w:tbl>
            <w:tblPr>
              <w:tblStyle w:val="27"/>
              <w:tblW w:w="4996"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
            <w:tblGrid>
              <w:gridCol w:w="511"/>
              <w:gridCol w:w="825"/>
              <w:gridCol w:w="2311"/>
              <w:gridCol w:w="1021"/>
              <w:gridCol w:w="1037"/>
              <w:gridCol w:w="888"/>
              <w:gridCol w:w="1247"/>
            </w:tblGrid>
            <w:tr w14:paraId="047B320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326" w:type="pct"/>
                  <w:tcBorders>
                    <w:top w:val="single" w:color="auto" w:sz="12" w:space="0"/>
                  </w:tcBorders>
                  <w:vAlign w:val="center"/>
                </w:tcPr>
                <w:p w14:paraId="6A1916E2">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
                      <w:color w:val="auto"/>
                      <w:sz w:val="18"/>
                      <w:szCs w:val="18"/>
                    </w:rPr>
                  </w:pPr>
                  <w:r>
                    <w:rPr>
                      <w:rFonts w:hint="default" w:ascii="Times New Roman" w:hAnsi="Times New Roman" w:cs="Times New Roman" w:eastAsiaTheme="minorEastAsia"/>
                      <w:b/>
                      <w:color w:val="auto"/>
                      <w:sz w:val="18"/>
                      <w:szCs w:val="18"/>
                    </w:rPr>
                    <w:t>种类</w:t>
                  </w:r>
                </w:p>
              </w:tc>
              <w:tc>
                <w:tcPr>
                  <w:tcW w:w="1999" w:type="pct"/>
                  <w:gridSpan w:val="2"/>
                  <w:tcBorders>
                    <w:top w:val="single" w:color="auto" w:sz="12" w:space="0"/>
                  </w:tcBorders>
                  <w:vAlign w:val="center"/>
                </w:tcPr>
                <w:p w14:paraId="6ACD4091">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
                      <w:color w:val="auto"/>
                      <w:sz w:val="18"/>
                      <w:szCs w:val="18"/>
                    </w:rPr>
                  </w:pPr>
                  <w:r>
                    <w:rPr>
                      <w:rFonts w:hint="default" w:ascii="Times New Roman" w:hAnsi="Times New Roman" w:cs="Times New Roman" w:eastAsiaTheme="minorEastAsia"/>
                      <w:b/>
                      <w:color w:val="auto"/>
                      <w:sz w:val="18"/>
                      <w:szCs w:val="18"/>
                    </w:rPr>
                    <w:t>污染物名称</w:t>
                  </w:r>
                </w:p>
              </w:tc>
              <w:tc>
                <w:tcPr>
                  <w:tcW w:w="651" w:type="pct"/>
                  <w:tcBorders>
                    <w:top w:val="single" w:color="auto" w:sz="12" w:space="0"/>
                  </w:tcBorders>
                  <w:vAlign w:val="center"/>
                </w:tcPr>
                <w:p w14:paraId="6FCFB260">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
                      <w:color w:val="auto"/>
                      <w:sz w:val="18"/>
                      <w:szCs w:val="18"/>
                    </w:rPr>
                  </w:pPr>
                  <w:r>
                    <w:rPr>
                      <w:rFonts w:hint="default" w:ascii="Times New Roman" w:hAnsi="Times New Roman" w:cs="Times New Roman" w:eastAsiaTheme="minorEastAsia"/>
                      <w:b/>
                      <w:color w:val="auto"/>
                      <w:sz w:val="18"/>
                      <w:szCs w:val="18"/>
                    </w:rPr>
                    <w:t>产生量</w:t>
                  </w:r>
                </w:p>
              </w:tc>
              <w:tc>
                <w:tcPr>
                  <w:tcW w:w="661" w:type="pct"/>
                  <w:tcBorders>
                    <w:top w:val="single" w:color="auto" w:sz="12" w:space="0"/>
                  </w:tcBorders>
                  <w:vAlign w:val="center"/>
                </w:tcPr>
                <w:p w14:paraId="609181EB">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
                      <w:color w:val="auto"/>
                      <w:sz w:val="18"/>
                      <w:szCs w:val="18"/>
                    </w:rPr>
                  </w:pPr>
                  <w:r>
                    <w:rPr>
                      <w:rFonts w:hint="default" w:ascii="Times New Roman" w:hAnsi="Times New Roman" w:cs="Times New Roman" w:eastAsiaTheme="minorEastAsia"/>
                      <w:b/>
                      <w:color w:val="auto"/>
                      <w:sz w:val="18"/>
                      <w:szCs w:val="18"/>
                    </w:rPr>
                    <w:t>削减量</w:t>
                  </w:r>
                </w:p>
              </w:tc>
              <w:tc>
                <w:tcPr>
                  <w:tcW w:w="566" w:type="pct"/>
                  <w:tcBorders>
                    <w:top w:val="single" w:color="auto" w:sz="12" w:space="0"/>
                  </w:tcBorders>
                  <w:vAlign w:val="center"/>
                </w:tcPr>
                <w:p w14:paraId="3D317857">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
                      <w:color w:val="auto"/>
                      <w:sz w:val="18"/>
                      <w:szCs w:val="18"/>
                    </w:rPr>
                  </w:pPr>
                  <w:r>
                    <w:rPr>
                      <w:rFonts w:hint="default" w:ascii="Times New Roman" w:hAnsi="Times New Roman" w:cs="Times New Roman" w:eastAsiaTheme="minorEastAsia"/>
                      <w:b/>
                      <w:color w:val="auto"/>
                      <w:sz w:val="18"/>
                      <w:szCs w:val="18"/>
                    </w:rPr>
                    <w:t>接管量</w:t>
                  </w:r>
                </w:p>
              </w:tc>
              <w:tc>
                <w:tcPr>
                  <w:tcW w:w="795" w:type="pct"/>
                  <w:tcBorders>
                    <w:top w:val="single" w:color="auto" w:sz="12" w:space="0"/>
                  </w:tcBorders>
                  <w:vAlign w:val="center"/>
                </w:tcPr>
                <w:p w14:paraId="76350D10">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
                      <w:color w:val="auto"/>
                      <w:sz w:val="18"/>
                      <w:szCs w:val="18"/>
                    </w:rPr>
                  </w:pPr>
                  <w:r>
                    <w:rPr>
                      <w:rFonts w:hint="default" w:ascii="Times New Roman" w:hAnsi="Times New Roman" w:cs="Times New Roman" w:eastAsiaTheme="minorEastAsia"/>
                      <w:b/>
                      <w:color w:val="auto"/>
                      <w:sz w:val="18"/>
                      <w:szCs w:val="18"/>
                    </w:rPr>
                    <w:t>环境排放量</w:t>
                  </w:r>
                </w:p>
              </w:tc>
            </w:tr>
            <w:tr w14:paraId="6605EAE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280" w:hRule="atLeast"/>
                <w:jc w:val="center"/>
              </w:trPr>
              <w:tc>
                <w:tcPr>
                  <w:tcW w:w="326" w:type="pct"/>
                  <w:vMerge w:val="restart"/>
                  <w:vAlign w:val="center"/>
                </w:tcPr>
                <w:p w14:paraId="4760DA9A">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color w:val="auto"/>
                      <w:sz w:val="18"/>
                      <w:szCs w:val="18"/>
                    </w:rPr>
                  </w:pPr>
                  <w:r>
                    <w:rPr>
                      <w:rFonts w:hint="default" w:ascii="Times New Roman" w:hAnsi="Times New Roman" w:cs="Times New Roman" w:eastAsiaTheme="minorEastAsia"/>
                      <w:color w:val="auto"/>
                      <w:sz w:val="18"/>
                      <w:szCs w:val="18"/>
                    </w:rPr>
                    <w:t>废气</w:t>
                  </w:r>
                </w:p>
              </w:tc>
              <w:tc>
                <w:tcPr>
                  <w:tcW w:w="526" w:type="pct"/>
                  <w:tcBorders>
                    <w:right w:val="single" w:color="000000" w:sz="4" w:space="0"/>
                  </w:tcBorders>
                  <w:vAlign w:val="center"/>
                </w:tcPr>
                <w:p w14:paraId="0C9436CC">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color w:val="auto"/>
                      <w:sz w:val="18"/>
                      <w:szCs w:val="18"/>
                    </w:rPr>
                  </w:pPr>
                  <w:r>
                    <w:rPr>
                      <w:rFonts w:hint="default" w:ascii="Times New Roman" w:hAnsi="Times New Roman" w:cs="Times New Roman" w:eastAsiaTheme="minorEastAsia"/>
                      <w:color w:val="auto"/>
                      <w:sz w:val="18"/>
                      <w:szCs w:val="18"/>
                    </w:rPr>
                    <w:t>有组织</w:t>
                  </w:r>
                </w:p>
              </w:tc>
              <w:tc>
                <w:tcPr>
                  <w:tcW w:w="1473" w:type="pct"/>
                  <w:tcBorders>
                    <w:left w:val="single" w:color="000000" w:sz="4" w:space="0"/>
                    <w:bottom w:val="single" w:color="000000" w:sz="4" w:space="0"/>
                  </w:tcBorders>
                  <w:vAlign w:val="center"/>
                </w:tcPr>
                <w:p w14:paraId="5C7E51D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color w:val="auto"/>
                      <w:kern w:val="0"/>
                      <w:sz w:val="18"/>
                      <w:szCs w:val="18"/>
                    </w:rPr>
                  </w:pPr>
                  <w:r>
                    <w:rPr>
                      <w:rFonts w:hint="default" w:ascii="Times New Roman" w:hAnsi="Times New Roman" w:cs="Times New Roman" w:eastAsiaTheme="minorEastAsia"/>
                      <w:color w:val="auto"/>
                      <w:kern w:val="0"/>
                      <w:sz w:val="18"/>
                      <w:szCs w:val="18"/>
                    </w:rPr>
                    <w:t>颗粒物</w:t>
                  </w:r>
                </w:p>
              </w:tc>
              <w:tc>
                <w:tcPr>
                  <w:tcW w:w="1022" w:type="dxa"/>
                  <w:vAlign w:val="center"/>
                </w:tcPr>
                <w:p w14:paraId="1C54276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eastAsiaTheme="minorEastAsia"/>
                      <w:color w:val="auto"/>
                      <w:kern w:val="0"/>
                      <w:sz w:val="18"/>
                      <w:szCs w:val="18"/>
                      <w:lang w:val="en-US" w:eastAsia="zh-CN"/>
                    </w:rPr>
                  </w:pPr>
                  <w:r>
                    <w:rPr>
                      <w:rFonts w:hint="default" w:ascii="Times New Roman" w:hAnsi="Times New Roman" w:eastAsia="宋体" w:cs="Times New Roman"/>
                      <w:color w:val="auto"/>
                      <w:kern w:val="0"/>
                      <w:sz w:val="18"/>
                      <w:szCs w:val="18"/>
                      <w:lang w:val="en-US" w:eastAsia="zh-CN" w:bidi="ar"/>
                    </w:rPr>
                    <w:t>0.7</w:t>
                  </w:r>
                  <w:r>
                    <w:rPr>
                      <w:rFonts w:hint="eastAsia" w:cs="Times New Roman"/>
                      <w:color w:val="auto"/>
                      <w:kern w:val="0"/>
                      <w:sz w:val="18"/>
                      <w:szCs w:val="18"/>
                      <w:lang w:val="en-US" w:eastAsia="zh-CN" w:bidi="ar"/>
                    </w:rPr>
                    <w:t>84</w:t>
                  </w:r>
                </w:p>
              </w:tc>
              <w:tc>
                <w:tcPr>
                  <w:tcW w:w="1038" w:type="dxa"/>
                  <w:vAlign w:val="center"/>
                </w:tcPr>
                <w:p w14:paraId="47E83B5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eastAsiaTheme="minorEastAsia"/>
                      <w:color w:val="auto"/>
                      <w:kern w:val="0"/>
                      <w:sz w:val="18"/>
                      <w:szCs w:val="18"/>
                      <w:lang w:val="en-US" w:eastAsia="zh-CN"/>
                    </w:rPr>
                  </w:pPr>
                  <w:r>
                    <w:rPr>
                      <w:rFonts w:hint="eastAsia" w:cs="Times New Roman"/>
                      <w:color w:val="auto"/>
                      <w:kern w:val="0"/>
                      <w:sz w:val="18"/>
                      <w:szCs w:val="18"/>
                      <w:lang w:val="en-US" w:eastAsia="zh-CN" w:bidi="ar"/>
                    </w:rPr>
                    <w:t>0.745</w:t>
                  </w:r>
                </w:p>
              </w:tc>
              <w:tc>
                <w:tcPr>
                  <w:tcW w:w="566" w:type="pct"/>
                  <w:vAlign w:val="center"/>
                </w:tcPr>
                <w:p w14:paraId="1ABA977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color w:val="auto"/>
                      <w:kern w:val="0"/>
                      <w:sz w:val="18"/>
                      <w:szCs w:val="18"/>
                    </w:rPr>
                  </w:pPr>
                  <w:r>
                    <w:rPr>
                      <w:rFonts w:hint="default" w:ascii="Times New Roman" w:hAnsi="Times New Roman" w:cs="Times New Roman" w:eastAsiaTheme="minorEastAsia"/>
                      <w:color w:val="auto"/>
                      <w:kern w:val="0"/>
                      <w:sz w:val="18"/>
                      <w:szCs w:val="18"/>
                    </w:rPr>
                    <w:t>/</w:t>
                  </w:r>
                </w:p>
              </w:tc>
              <w:tc>
                <w:tcPr>
                  <w:tcW w:w="1248" w:type="dxa"/>
                  <w:vAlign w:val="center"/>
                </w:tcPr>
                <w:p w14:paraId="0B30232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eastAsiaTheme="minorEastAsia"/>
                      <w:color w:val="auto"/>
                      <w:kern w:val="0"/>
                      <w:sz w:val="18"/>
                      <w:szCs w:val="18"/>
                      <w:lang w:val="en-US" w:eastAsia="zh-CN"/>
                    </w:rPr>
                  </w:pPr>
                  <w:r>
                    <w:rPr>
                      <w:rFonts w:hint="eastAsia" w:ascii="Times New Roman" w:hAnsi="Times New Roman" w:eastAsia="宋体" w:cs="Times New Roman"/>
                      <w:color w:val="auto"/>
                      <w:kern w:val="0"/>
                      <w:sz w:val="18"/>
                      <w:szCs w:val="18"/>
                      <w:lang w:val="en-US" w:eastAsia="zh-CN" w:bidi="ar"/>
                    </w:rPr>
                    <w:t>0.03</w:t>
                  </w:r>
                  <w:r>
                    <w:rPr>
                      <w:rFonts w:hint="eastAsia" w:cs="Times New Roman"/>
                      <w:color w:val="auto"/>
                      <w:kern w:val="0"/>
                      <w:sz w:val="18"/>
                      <w:szCs w:val="18"/>
                      <w:lang w:val="en-US" w:eastAsia="zh-CN" w:bidi="ar"/>
                    </w:rPr>
                    <w:t>9</w:t>
                  </w:r>
                </w:p>
              </w:tc>
            </w:tr>
            <w:tr w14:paraId="22E7F0C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326" w:type="pct"/>
                  <w:vMerge w:val="continue"/>
                  <w:vAlign w:val="center"/>
                </w:tcPr>
                <w:p w14:paraId="21ECDE6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color w:val="auto"/>
                      <w:sz w:val="18"/>
                      <w:szCs w:val="18"/>
                    </w:rPr>
                  </w:pPr>
                </w:p>
              </w:tc>
              <w:tc>
                <w:tcPr>
                  <w:tcW w:w="526" w:type="pct"/>
                  <w:tcBorders>
                    <w:right w:val="single" w:color="000000" w:sz="4" w:space="0"/>
                  </w:tcBorders>
                  <w:vAlign w:val="center"/>
                </w:tcPr>
                <w:p w14:paraId="717D821A">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color w:val="auto"/>
                      <w:sz w:val="18"/>
                      <w:szCs w:val="18"/>
                    </w:rPr>
                  </w:pPr>
                  <w:r>
                    <w:rPr>
                      <w:rFonts w:hint="default" w:ascii="Times New Roman" w:hAnsi="Times New Roman" w:cs="Times New Roman" w:eastAsiaTheme="minorEastAsia"/>
                      <w:color w:val="auto"/>
                      <w:sz w:val="18"/>
                      <w:szCs w:val="18"/>
                    </w:rPr>
                    <w:t>无组织</w:t>
                  </w:r>
                </w:p>
              </w:tc>
              <w:tc>
                <w:tcPr>
                  <w:tcW w:w="1473" w:type="pct"/>
                  <w:tcBorders>
                    <w:left w:val="single" w:color="000000" w:sz="4" w:space="0"/>
                    <w:bottom w:val="single" w:color="auto" w:sz="4" w:space="0"/>
                  </w:tcBorders>
                  <w:vAlign w:val="center"/>
                </w:tcPr>
                <w:p w14:paraId="133ED52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eastAsiaTheme="minorEastAsia"/>
                      <w:color w:val="auto"/>
                      <w:kern w:val="0"/>
                      <w:sz w:val="18"/>
                      <w:szCs w:val="18"/>
                    </w:rPr>
                  </w:pPr>
                  <w:r>
                    <w:rPr>
                      <w:rFonts w:hint="default" w:ascii="Times New Roman" w:hAnsi="Times New Roman" w:cs="Times New Roman" w:eastAsiaTheme="minorEastAsia"/>
                      <w:color w:val="auto"/>
                      <w:kern w:val="0"/>
                      <w:sz w:val="18"/>
                      <w:szCs w:val="18"/>
                    </w:rPr>
                    <w:t>颗粒物</w:t>
                  </w:r>
                </w:p>
              </w:tc>
              <w:tc>
                <w:tcPr>
                  <w:tcW w:w="1022" w:type="dxa"/>
                  <w:vAlign w:val="center"/>
                </w:tcPr>
                <w:p w14:paraId="54DE97C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eastAsiaTheme="minorEastAsia"/>
                      <w:color w:val="auto"/>
                      <w:kern w:val="0"/>
                      <w:sz w:val="18"/>
                      <w:szCs w:val="18"/>
                      <w:lang w:val="en-US" w:eastAsia="zh-CN" w:bidi="ar-SA"/>
                    </w:rPr>
                  </w:pPr>
                  <w:r>
                    <w:rPr>
                      <w:rFonts w:hint="default" w:ascii="Times New Roman" w:hAnsi="Times New Roman" w:eastAsia="宋体" w:cs="Times New Roman"/>
                      <w:color w:val="auto"/>
                      <w:kern w:val="0"/>
                      <w:sz w:val="18"/>
                      <w:szCs w:val="18"/>
                      <w:lang w:val="en-US" w:eastAsia="zh-CN" w:bidi="ar"/>
                    </w:rPr>
                    <w:t>0.0</w:t>
                  </w:r>
                  <w:r>
                    <w:rPr>
                      <w:rFonts w:hint="eastAsia" w:cs="Times New Roman"/>
                      <w:color w:val="auto"/>
                      <w:kern w:val="0"/>
                      <w:sz w:val="18"/>
                      <w:szCs w:val="18"/>
                      <w:lang w:val="en-US" w:eastAsia="zh-CN" w:bidi="ar"/>
                    </w:rPr>
                    <w:t>41</w:t>
                  </w:r>
                </w:p>
              </w:tc>
              <w:tc>
                <w:tcPr>
                  <w:tcW w:w="1038" w:type="dxa"/>
                  <w:vAlign w:val="center"/>
                </w:tcPr>
                <w:p w14:paraId="262AF33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eastAsiaTheme="minorEastAsia"/>
                      <w:color w:val="auto"/>
                      <w:kern w:val="0"/>
                      <w:sz w:val="18"/>
                      <w:szCs w:val="18"/>
                      <w:lang w:val="en-US" w:eastAsia="zh-CN"/>
                    </w:rPr>
                  </w:pPr>
                  <w:r>
                    <w:rPr>
                      <w:rFonts w:hint="eastAsia" w:cs="Times New Roman"/>
                      <w:color w:val="auto"/>
                      <w:kern w:val="0"/>
                      <w:sz w:val="18"/>
                      <w:szCs w:val="18"/>
                      <w:lang w:val="en-US" w:eastAsia="zh-CN" w:bidi="ar"/>
                    </w:rPr>
                    <w:t>0</w:t>
                  </w:r>
                </w:p>
              </w:tc>
              <w:tc>
                <w:tcPr>
                  <w:tcW w:w="566" w:type="pct"/>
                  <w:vAlign w:val="center"/>
                </w:tcPr>
                <w:p w14:paraId="59F8195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color w:val="auto"/>
                      <w:kern w:val="0"/>
                      <w:sz w:val="18"/>
                      <w:szCs w:val="18"/>
                    </w:rPr>
                  </w:pPr>
                  <w:r>
                    <w:rPr>
                      <w:rFonts w:hint="default" w:ascii="Times New Roman" w:hAnsi="Times New Roman" w:cs="Times New Roman" w:eastAsiaTheme="minorEastAsia"/>
                      <w:color w:val="auto"/>
                      <w:kern w:val="0"/>
                      <w:sz w:val="18"/>
                      <w:szCs w:val="18"/>
                    </w:rPr>
                    <w:t>/</w:t>
                  </w:r>
                </w:p>
              </w:tc>
              <w:tc>
                <w:tcPr>
                  <w:tcW w:w="1248" w:type="dxa"/>
                  <w:vAlign w:val="center"/>
                </w:tcPr>
                <w:p w14:paraId="0F4E312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eastAsiaTheme="minorEastAsia"/>
                      <w:color w:val="auto"/>
                      <w:kern w:val="0"/>
                      <w:sz w:val="18"/>
                      <w:szCs w:val="18"/>
                      <w:lang w:val="en-US" w:eastAsia="zh-CN"/>
                    </w:rPr>
                  </w:pPr>
                  <w:r>
                    <w:rPr>
                      <w:rFonts w:hint="eastAsia" w:ascii="Times New Roman" w:hAnsi="Times New Roman" w:eastAsia="宋体" w:cs="Times New Roman"/>
                      <w:color w:val="auto"/>
                      <w:kern w:val="0"/>
                      <w:sz w:val="18"/>
                      <w:szCs w:val="18"/>
                      <w:lang w:val="en-US" w:eastAsia="zh-CN" w:bidi="ar"/>
                    </w:rPr>
                    <w:t>0.</w:t>
                  </w:r>
                  <w:r>
                    <w:rPr>
                      <w:rFonts w:hint="eastAsia" w:cs="Times New Roman"/>
                      <w:color w:val="auto"/>
                      <w:kern w:val="0"/>
                      <w:sz w:val="18"/>
                      <w:szCs w:val="18"/>
                      <w:lang w:val="en-US" w:eastAsia="zh-CN" w:bidi="ar"/>
                    </w:rPr>
                    <w:t>041</w:t>
                  </w:r>
                </w:p>
              </w:tc>
            </w:tr>
            <w:tr w14:paraId="5A45634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280" w:hRule="atLeast"/>
                <w:jc w:val="center"/>
              </w:trPr>
              <w:tc>
                <w:tcPr>
                  <w:tcW w:w="326" w:type="pct"/>
                  <w:vMerge w:val="restart"/>
                  <w:vAlign w:val="center"/>
                </w:tcPr>
                <w:p w14:paraId="13E8D3EA">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color w:val="auto"/>
                      <w:sz w:val="18"/>
                      <w:szCs w:val="18"/>
                      <w:lang w:val="en-US" w:eastAsia="zh-CN"/>
                    </w:rPr>
                  </w:pPr>
                  <w:r>
                    <w:rPr>
                      <w:rFonts w:hint="default" w:ascii="Times New Roman" w:hAnsi="Times New Roman" w:cs="Times New Roman" w:eastAsiaTheme="minorEastAsia"/>
                      <w:color w:val="auto"/>
                      <w:sz w:val="18"/>
                      <w:szCs w:val="18"/>
                    </w:rPr>
                    <w:t>废水</w:t>
                  </w:r>
                </w:p>
              </w:tc>
              <w:tc>
                <w:tcPr>
                  <w:tcW w:w="526" w:type="pct"/>
                  <w:vMerge w:val="restart"/>
                  <w:tcBorders>
                    <w:right w:val="single" w:color="000000" w:sz="4" w:space="0"/>
                  </w:tcBorders>
                  <w:vAlign w:val="center"/>
                </w:tcPr>
                <w:p w14:paraId="30002F2B">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cs="Times New Roman" w:eastAsiaTheme="minorEastAsia"/>
                      <w:color w:val="auto"/>
                      <w:sz w:val="18"/>
                      <w:szCs w:val="18"/>
                      <w:lang w:val="en-US" w:eastAsia="zh-CN"/>
                    </w:rPr>
                  </w:pPr>
                  <w:r>
                    <w:rPr>
                      <w:rFonts w:hint="default" w:ascii="Times New Roman" w:hAnsi="Times New Roman" w:cs="Times New Roman" w:eastAsiaTheme="minorEastAsia"/>
                      <w:color w:val="auto"/>
                      <w:sz w:val="18"/>
                      <w:szCs w:val="18"/>
                      <w:lang w:val="en-US" w:eastAsia="zh-CN"/>
                    </w:rPr>
                    <w:t>生活污水</w:t>
                  </w:r>
                </w:p>
              </w:tc>
              <w:tc>
                <w:tcPr>
                  <w:tcW w:w="1473" w:type="pct"/>
                  <w:tcBorders>
                    <w:left w:val="single" w:color="000000" w:sz="4" w:space="0"/>
                    <w:bottom w:val="single" w:color="auto" w:sz="4" w:space="0"/>
                  </w:tcBorders>
                  <w:vAlign w:val="center"/>
                </w:tcPr>
                <w:p w14:paraId="49EC9281">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eastAsia" w:ascii="Times New Roman" w:hAnsi="Times New Roman" w:cs="Times New Roman" w:eastAsiaTheme="minorEastAsia"/>
                      <w:color w:val="auto"/>
                      <w:kern w:val="0"/>
                      <w:sz w:val="18"/>
                      <w:szCs w:val="18"/>
                      <w:lang w:val="en-US" w:eastAsia="zh-CN" w:bidi="ar-SA"/>
                    </w:rPr>
                  </w:pPr>
                  <w:r>
                    <w:rPr>
                      <w:rFonts w:hint="default" w:ascii="Times New Roman" w:hAnsi="Times New Roman" w:cs="Times New Roman" w:eastAsiaTheme="minorEastAsia"/>
                      <w:color w:val="auto"/>
                      <w:sz w:val="18"/>
                      <w:szCs w:val="18"/>
                    </w:rPr>
                    <w:t>废水量（</w:t>
                  </w:r>
                  <w:r>
                    <w:rPr>
                      <w:rFonts w:hint="eastAsia" w:cs="Times New Roman" w:eastAsiaTheme="minorEastAsia"/>
                      <w:color w:val="auto"/>
                      <w:sz w:val="18"/>
                      <w:szCs w:val="18"/>
                      <w:lang w:val="en-US" w:eastAsia="zh-CN"/>
                    </w:rPr>
                    <w:t>t</w:t>
                  </w:r>
                  <w:r>
                    <w:rPr>
                      <w:rFonts w:hint="default" w:ascii="Times New Roman" w:hAnsi="Times New Roman" w:cs="Times New Roman" w:eastAsiaTheme="minorEastAsia"/>
                      <w:color w:val="auto"/>
                      <w:sz w:val="18"/>
                      <w:szCs w:val="18"/>
                    </w:rPr>
                    <w:t>/a）</w:t>
                  </w:r>
                </w:p>
              </w:tc>
              <w:tc>
                <w:tcPr>
                  <w:tcW w:w="651" w:type="pct"/>
                  <w:vAlign w:val="center"/>
                </w:tcPr>
                <w:p w14:paraId="76526A2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cs="Times New Roman" w:eastAsiaTheme="minorEastAsia"/>
                      <w:color w:val="auto"/>
                      <w:kern w:val="0"/>
                      <w:sz w:val="18"/>
                      <w:szCs w:val="18"/>
                      <w:lang w:val="en-US" w:eastAsia="zh-CN" w:bidi="ar-SA"/>
                    </w:rPr>
                  </w:pPr>
                  <w:r>
                    <w:rPr>
                      <w:rFonts w:hint="eastAsia" w:cs="Times New Roman" w:eastAsiaTheme="minorEastAsia"/>
                      <w:bCs/>
                      <w:color w:val="auto"/>
                      <w:sz w:val="18"/>
                      <w:szCs w:val="18"/>
                      <w:lang w:val="en-US" w:eastAsia="zh-CN"/>
                    </w:rPr>
                    <w:t>162</w:t>
                  </w:r>
                </w:p>
              </w:tc>
              <w:tc>
                <w:tcPr>
                  <w:tcW w:w="661" w:type="pct"/>
                  <w:vAlign w:val="center"/>
                </w:tcPr>
                <w:p w14:paraId="56978E7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eastAsia" w:ascii="Times New Roman" w:hAnsi="Times New Roman" w:cs="Times New Roman" w:eastAsiaTheme="minorEastAsia"/>
                      <w:color w:val="auto"/>
                      <w:kern w:val="0"/>
                      <w:sz w:val="18"/>
                      <w:szCs w:val="18"/>
                    </w:rPr>
                  </w:pPr>
                  <w:r>
                    <w:rPr>
                      <w:rFonts w:hint="default" w:ascii="Times New Roman" w:hAnsi="Times New Roman" w:cs="Times New Roman" w:eastAsiaTheme="minorEastAsia"/>
                      <w:color w:val="auto"/>
                      <w:kern w:val="0"/>
                      <w:sz w:val="18"/>
                      <w:szCs w:val="18"/>
                      <w:lang w:val="en-US" w:eastAsia="zh-CN"/>
                    </w:rPr>
                    <w:t>0</w:t>
                  </w:r>
                </w:p>
              </w:tc>
              <w:tc>
                <w:tcPr>
                  <w:tcW w:w="566" w:type="pct"/>
                  <w:vAlign w:val="center"/>
                </w:tcPr>
                <w:p w14:paraId="773404A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center"/>
                    <w:rPr>
                      <w:rFonts w:hint="eastAsia" w:ascii="Times New Roman" w:hAnsi="Times New Roman" w:cs="Times New Roman" w:eastAsiaTheme="minorEastAsia"/>
                      <w:color w:val="auto"/>
                      <w:kern w:val="0"/>
                      <w:sz w:val="18"/>
                      <w:szCs w:val="18"/>
                    </w:rPr>
                  </w:pPr>
                  <w:r>
                    <w:rPr>
                      <w:rFonts w:hint="eastAsia" w:cs="Times New Roman" w:eastAsiaTheme="minorEastAsia"/>
                      <w:bCs/>
                      <w:color w:val="auto"/>
                      <w:sz w:val="18"/>
                      <w:szCs w:val="18"/>
                      <w:lang w:val="en-US" w:eastAsia="zh-CN"/>
                    </w:rPr>
                    <w:t>162</w:t>
                  </w:r>
                </w:p>
              </w:tc>
              <w:tc>
                <w:tcPr>
                  <w:tcW w:w="795" w:type="pct"/>
                  <w:vAlign w:val="center"/>
                </w:tcPr>
                <w:p w14:paraId="495B893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center"/>
                    <w:rPr>
                      <w:rFonts w:hint="eastAsia" w:ascii="Times New Roman" w:hAnsi="Times New Roman" w:cs="Times New Roman" w:eastAsiaTheme="minorEastAsia"/>
                      <w:color w:val="auto"/>
                      <w:kern w:val="0"/>
                      <w:sz w:val="18"/>
                      <w:szCs w:val="18"/>
                      <w:lang w:val="en-US" w:eastAsia="zh-CN"/>
                    </w:rPr>
                  </w:pPr>
                  <w:r>
                    <w:rPr>
                      <w:rFonts w:hint="eastAsia" w:cs="Times New Roman" w:eastAsiaTheme="minorEastAsia"/>
                      <w:bCs/>
                      <w:color w:val="auto"/>
                      <w:sz w:val="18"/>
                      <w:szCs w:val="18"/>
                      <w:lang w:val="en-US" w:eastAsia="zh-CN"/>
                    </w:rPr>
                    <w:t>162</w:t>
                  </w:r>
                </w:p>
              </w:tc>
            </w:tr>
            <w:tr w14:paraId="24DFBAC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280" w:hRule="atLeast"/>
                <w:jc w:val="center"/>
              </w:trPr>
              <w:tc>
                <w:tcPr>
                  <w:tcW w:w="326" w:type="pct"/>
                  <w:vMerge w:val="continue"/>
                  <w:vAlign w:val="center"/>
                </w:tcPr>
                <w:p w14:paraId="0D8368F9">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color w:val="auto"/>
                      <w:sz w:val="18"/>
                      <w:szCs w:val="18"/>
                    </w:rPr>
                  </w:pPr>
                </w:p>
              </w:tc>
              <w:tc>
                <w:tcPr>
                  <w:tcW w:w="526" w:type="pct"/>
                  <w:vMerge w:val="continue"/>
                  <w:tcBorders>
                    <w:right w:val="single" w:color="000000" w:sz="4" w:space="0"/>
                  </w:tcBorders>
                  <w:vAlign w:val="center"/>
                </w:tcPr>
                <w:p w14:paraId="2BF0DE04">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cs="Times New Roman" w:eastAsiaTheme="minorEastAsia"/>
                      <w:color w:val="auto"/>
                      <w:sz w:val="18"/>
                      <w:szCs w:val="18"/>
                      <w:lang w:val="en-US" w:eastAsia="zh-CN"/>
                    </w:rPr>
                  </w:pPr>
                </w:p>
              </w:tc>
              <w:tc>
                <w:tcPr>
                  <w:tcW w:w="1473" w:type="pct"/>
                  <w:tcBorders>
                    <w:left w:val="single" w:color="000000" w:sz="4" w:space="0"/>
                    <w:bottom w:val="single" w:color="auto" w:sz="4" w:space="0"/>
                  </w:tcBorders>
                  <w:vAlign w:val="center"/>
                </w:tcPr>
                <w:p w14:paraId="3335F9D0">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rPr>
                      <w:rFonts w:hint="eastAsia" w:ascii="Times New Roman" w:hAnsi="Times New Roman" w:cs="Times New Roman" w:eastAsiaTheme="minorEastAsia"/>
                      <w:bCs/>
                      <w:color w:val="auto"/>
                      <w:kern w:val="2"/>
                      <w:sz w:val="18"/>
                      <w:szCs w:val="18"/>
                      <w:lang w:val="en-US" w:eastAsia="zh-CN" w:bidi="ar-SA"/>
                    </w:rPr>
                  </w:pPr>
                  <w:r>
                    <w:rPr>
                      <w:rFonts w:hint="default" w:ascii="Times New Roman" w:hAnsi="Times New Roman" w:cs="Times New Roman" w:eastAsiaTheme="minorEastAsia"/>
                      <w:bCs/>
                      <w:color w:val="auto"/>
                      <w:sz w:val="18"/>
                      <w:szCs w:val="18"/>
                    </w:rPr>
                    <w:t>COD</w:t>
                  </w:r>
                </w:p>
              </w:tc>
              <w:tc>
                <w:tcPr>
                  <w:tcW w:w="651" w:type="pct"/>
                  <w:vAlign w:val="center"/>
                </w:tcPr>
                <w:p w14:paraId="6AEE79A9">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eastAsia" w:ascii="Times New Roman" w:hAnsi="Times New Roman" w:cs="Times New Roman" w:eastAsiaTheme="minorEastAsia"/>
                      <w:bCs/>
                      <w:color w:val="auto"/>
                      <w:kern w:val="2"/>
                      <w:sz w:val="18"/>
                      <w:szCs w:val="18"/>
                      <w:lang w:val="en-US" w:eastAsia="zh-CN" w:bidi="ar-SA"/>
                    </w:rPr>
                  </w:pPr>
                  <w:r>
                    <w:rPr>
                      <w:rFonts w:hint="eastAsia" w:ascii="Times New Roman" w:hAnsi="Times New Roman" w:eastAsia="宋体"/>
                      <w:bCs/>
                      <w:color w:val="auto"/>
                      <w:sz w:val="18"/>
                      <w:szCs w:val="18"/>
                      <w:lang w:val="en-US" w:eastAsia="zh-CN"/>
                    </w:rPr>
                    <w:t>0.057</w:t>
                  </w:r>
                </w:p>
              </w:tc>
              <w:tc>
                <w:tcPr>
                  <w:tcW w:w="661" w:type="pct"/>
                  <w:vAlign w:val="center"/>
                </w:tcPr>
                <w:p w14:paraId="6E0F11D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bCs/>
                      <w:color w:val="auto"/>
                      <w:kern w:val="2"/>
                      <w:sz w:val="18"/>
                      <w:szCs w:val="18"/>
                      <w:lang w:val="en-US" w:eastAsia="zh-CN"/>
                    </w:rPr>
                  </w:pPr>
                  <w:r>
                    <w:rPr>
                      <w:rFonts w:hint="eastAsia" w:ascii="Times New Roman" w:hAnsi="Times New Roman" w:cs="Times New Roman" w:eastAsiaTheme="minorEastAsia"/>
                      <w:bCs/>
                      <w:color w:val="auto"/>
                      <w:kern w:val="2"/>
                      <w:sz w:val="18"/>
                      <w:szCs w:val="18"/>
                      <w:lang w:val="en-US" w:eastAsia="zh-CN"/>
                    </w:rPr>
                    <w:t>0.012</w:t>
                  </w:r>
                </w:p>
              </w:tc>
              <w:tc>
                <w:tcPr>
                  <w:tcW w:w="566" w:type="pct"/>
                  <w:vAlign w:val="center"/>
                </w:tcPr>
                <w:p w14:paraId="3EEA7551">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eastAsia" w:ascii="Times New Roman" w:hAnsi="Times New Roman" w:cs="Times New Roman" w:eastAsiaTheme="minorEastAsia"/>
                      <w:bCs/>
                      <w:color w:val="auto"/>
                      <w:kern w:val="2"/>
                      <w:sz w:val="18"/>
                      <w:szCs w:val="18"/>
                    </w:rPr>
                  </w:pPr>
                  <w:r>
                    <w:rPr>
                      <w:rFonts w:hint="eastAsia" w:ascii="Times New Roman" w:hAnsi="Times New Roman" w:eastAsia="宋体"/>
                      <w:bCs/>
                      <w:color w:val="auto"/>
                      <w:sz w:val="18"/>
                      <w:szCs w:val="18"/>
                      <w:lang w:val="en-US" w:eastAsia="zh-CN"/>
                    </w:rPr>
                    <w:t>0.045</w:t>
                  </w:r>
                </w:p>
              </w:tc>
              <w:tc>
                <w:tcPr>
                  <w:tcW w:w="795" w:type="pct"/>
                  <w:vAlign w:val="center"/>
                </w:tcPr>
                <w:p w14:paraId="3D46175D">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bCs/>
                      <w:color w:val="auto"/>
                      <w:sz w:val="18"/>
                      <w:szCs w:val="18"/>
                      <w:lang w:val="en-US" w:eastAsia="zh-CN"/>
                    </w:rPr>
                  </w:pPr>
                  <w:r>
                    <w:rPr>
                      <w:rFonts w:hint="eastAsia" w:ascii="Times New Roman" w:hAnsi="Times New Roman" w:eastAsia="宋体"/>
                      <w:bCs/>
                      <w:color w:val="auto"/>
                      <w:sz w:val="18"/>
                      <w:szCs w:val="18"/>
                      <w:lang w:val="en-US" w:eastAsia="zh-CN"/>
                    </w:rPr>
                    <w:t>0.0081</w:t>
                  </w:r>
                </w:p>
              </w:tc>
            </w:tr>
            <w:tr w14:paraId="0F5FA58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280" w:hRule="atLeast"/>
                <w:jc w:val="center"/>
              </w:trPr>
              <w:tc>
                <w:tcPr>
                  <w:tcW w:w="326" w:type="pct"/>
                  <w:vMerge w:val="continue"/>
                  <w:vAlign w:val="center"/>
                </w:tcPr>
                <w:p w14:paraId="27FBB3B1">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color w:val="auto"/>
                      <w:sz w:val="18"/>
                      <w:szCs w:val="18"/>
                    </w:rPr>
                  </w:pPr>
                </w:p>
              </w:tc>
              <w:tc>
                <w:tcPr>
                  <w:tcW w:w="526" w:type="pct"/>
                  <w:vMerge w:val="continue"/>
                  <w:tcBorders>
                    <w:right w:val="single" w:color="000000" w:sz="4" w:space="0"/>
                  </w:tcBorders>
                  <w:vAlign w:val="center"/>
                </w:tcPr>
                <w:p w14:paraId="6A824DB6">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cs="Times New Roman" w:eastAsiaTheme="minorEastAsia"/>
                      <w:color w:val="auto"/>
                      <w:sz w:val="18"/>
                      <w:szCs w:val="18"/>
                    </w:rPr>
                  </w:pPr>
                </w:p>
              </w:tc>
              <w:tc>
                <w:tcPr>
                  <w:tcW w:w="1473" w:type="pct"/>
                  <w:tcBorders>
                    <w:left w:val="single" w:color="000000" w:sz="4" w:space="0"/>
                    <w:bottom w:val="single" w:color="auto" w:sz="4" w:space="0"/>
                  </w:tcBorders>
                  <w:vAlign w:val="center"/>
                </w:tcPr>
                <w:p w14:paraId="3568E3CA">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rPr>
                      <w:rFonts w:hint="eastAsia" w:ascii="Times New Roman" w:hAnsi="Times New Roman" w:cs="Times New Roman" w:eastAsiaTheme="minorEastAsia"/>
                      <w:bCs/>
                      <w:color w:val="auto"/>
                      <w:kern w:val="2"/>
                      <w:sz w:val="18"/>
                      <w:szCs w:val="18"/>
                      <w:lang w:val="en-US" w:eastAsia="zh-CN" w:bidi="ar-SA"/>
                    </w:rPr>
                  </w:pPr>
                  <w:r>
                    <w:rPr>
                      <w:rFonts w:hint="default" w:ascii="Times New Roman" w:hAnsi="Times New Roman" w:cs="Times New Roman" w:eastAsiaTheme="minorEastAsia"/>
                      <w:bCs/>
                      <w:color w:val="auto"/>
                      <w:sz w:val="18"/>
                      <w:szCs w:val="18"/>
                    </w:rPr>
                    <w:t>SS</w:t>
                  </w:r>
                </w:p>
              </w:tc>
              <w:tc>
                <w:tcPr>
                  <w:tcW w:w="651" w:type="pct"/>
                  <w:vAlign w:val="center"/>
                </w:tcPr>
                <w:p w14:paraId="53436A73">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eastAsia" w:ascii="Times New Roman" w:hAnsi="Times New Roman" w:cs="Times New Roman" w:eastAsiaTheme="minorEastAsia"/>
                      <w:bCs/>
                      <w:color w:val="auto"/>
                      <w:kern w:val="2"/>
                      <w:sz w:val="18"/>
                      <w:szCs w:val="18"/>
                      <w:lang w:val="en-US" w:eastAsia="zh-CN" w:bidi="ar-SA"/>
                    </w:rPr>
                  </w:pPr>
                  <w:r>
                    <w:rPr>
                      <w:rFonts w:hint="eastAsia" w:ascii="Times New Roman" w:hAnsi="Times New Roman" w:eastAsia="宋体"/>
                      <w:bCs/>
                      <w:color w:val="auto"/>
                      <w:sz w:val="18"/>
                      <w:szCs w:val="18"/>
                      <w:lang w:val="en-US" w:eastAsia="zh-CN"/>
                    </w:rPr>
                    <w:t>0.032</w:t>
                  </w:r>
                </w:p>
              </w:tc>
              <w:tc>
                <w:tcPr>
                  <w:tcW w:w="661" w:type="pct"/>
                  <w:vAlign w:val="center"/>
                </w:tcPr>
                <w:p w14:paraId="35FD943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cs="Times New Roman" w:eastAsiaTheme="minorEastAsia"/>
                      <w:bCs/>
                      <w:color w:val="auto"/>
                      <w:kern w:val="2"/>
                      <w:sz w:val="18"/>
                      <w:szCs w:val="18"/>
                    </w:rPr>
                  </w:pPr>
                  <w:r>
                    <w:rPr>
                      <w:rFonts w:hint="default" w:ascii="Times New Roman" w:hAnsi="Times New Roman" w:cs="Times New Roman" w:eastAsiaTheme="minorEastAsia"/>
                      <w:bCs/>
                      <w:color w:val="auto"/>
                      <w:kern w:val="2"/>
                      <w:sz w:val="18"/>
                      <w:szCs w:val="18"/>
                      <w:lang w:val="en-US" w:eastAsia="zh-CN"/>
                    </w:rPr>
                    <w:t>0</w:t>
                  </w:r>
                </w:p>
              </w:tc>
              <w:tc>
                <w:tcPr>
                  <w:tcW w:w="566" w:type="pct"/>
                  <w:vAlign w:val="center"/>
                </w:tcPr>
                <w:p w14:paraId="7D068EFC">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eastAsia" w:ascii="Times New Roman" w:hAnsi="Times New Roman" w:cs="Times New Roman" w:eastAsiaTheme="minorEastAsia"/>
                      <w:bCs/>
                      <w:color w:val="auto"/>
                      <w:kern w:val="2"/>
                      <w:sz w:val="18"/>
                      <w:szCs w:val="18"/>
                    </w:rPr>
                  </w:pPr>
                  <w:r>
                    <w:rPr>
                      <w:rFonts w:hint="eastAsia" w:ascii="Times New Roman" w:hAnsi="Times New Roman" w:eastAsia="宋体"/>
                      <w:bCs/>
                      <w:color w:val="auto"/>
                      <w:sz w:val="18"/>
                      <w:szCs w:val="18"/>
                      <w:lang w:val="en-US" w:eastAsia="zh-CN"/>
                    </w:rPr>
                    <w:t>0.032</w:t>
                  </w:r>
                </w:p>
              </w:tc>
              <w:tc>
                <w:tcPr>
                  <w:tcW w:w="795" w:type="pct"/>
                  <w:vAlign w:val="center"/>
                </w:tcPr>
                <w:p w14:paraId="4848B41D">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bCs/>
                      <w:color w:val="auto"/>
                      <w:sz w:val="18"/>
                      <w:szCs w:val="18"/>
                      <w:lang w:val="en-US" w:eastAsia="zh-CN"/>
                    </w:rPr>
                  </w:pPr>
                  <w:r>
                    <w:rPr>
                      <w:rFonts w:hint="eastAsia" w:ascii="Times New Roman" w:hAnsi="Times New Roman" w:eastAsia="宋体"/>
                      <w:bCs/>
                      <w:color w:val="auto"/>
                      <w:sz w:val="18"/>
                      <w:szCs w:val="18"/>
                      <w:lang w:val="en-US" w:eastAsia="zh-CN"/>
                    </w:rPr>
                    <w:t>0.0016</w:t>
                  </w:r>
                </w:p>
              </w:tc>
            </w:tr>
            <w:tr w14:paraId="55560C5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280" w:hRule="atLeast"/>
                <w:jc w:val="center"/>
              </w:trPr>
              <w:tc>
                <w:tcPr>
                  <w:tcW w:w="326" w:type="pct"/>
                  <w:vMerge w:val="continue"/>
                  <w:vAlign w:val="center"/>
                </w:tcPr>
                <w:p w14:paraId="5AF01D1E">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color w:val="auto"/>
                      <w:sz w:val="18"/>
                      <w:szCs w:val="18"/>
                    </w:rPr>
                  </w:pPr>
                </w:p>
              </w:tc>
              <w:tc>
                <w:tcPr>
                  <w:tcW w:w="526" w:type="pct"/>
                  <w:vMerge w:val="continue"/>
                  <w:tcBorders>
                    <w:right w:val="single" w:color="000000" w:sz="4" w:space="0"/>
                  </w:tcBorders>
                  <w:vAlign w:val="center"/>
                </w:tcPr>
                <w:p w14:paraId="42819D21">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cs="Times New Roman" w:eastAsiaTheme="minorEastAsia"/>
                      <w:color w:val="auto"/>
                      <w:sz w:val="18"/>
                      <w:szCs w:val="18"/>
                    </w:rPr>
                  </w:pPr>
                </w:p>
              </w:tc>
              <w:tc>
                <w:tcPr>
                  <w:tcW w:w="1473" w:type="pct"/>
                  <w:tcBorders>
                    <w:left w:val="single" w:color="000000" w:sz="4" w:space="0"/>
                    <w:bottom w:val="single" w:color="auto" w:sz="4" w:space="0"/>
                  </w:tcBorders>
                  <w:vAlign w:val="center"/>
                </w:tcPr>
                <w:p w14:paraId="7BCF11A6">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rPr>
                      <w:rFonts w:hint="eastAsia" w:ascii="Times New Roman" w:hAnsi="Times New Roman" w:cs="Times New Roman" w:eastAsiaTheme="minorEastAsia"/>
                      <w:bCs/>
                      <w:color w:val="auto"/>
                      <w:kern w:val="2"/>
                      <w:sz w:val="18"/>
                      <w:szCs w:val="18"/>
                      <w:lang w:val="en-US" w:eastAsia="zh-CN" w:bidi="ar-SA"/>
                    </w:rPr>
                  </w:pPr>
                  <w:r>
                    <w:rPr>
                      <w:rFonts w:hint="default" w:ascii="Times New Roman" w:hAnsi="Times New Roman" w:cs="Times New Roman" w:eastAsiaTheme="minorEastAsia"/>
                      <w:bCs/>
                      <w:color w:val="auto"/>
                      <w:sz w:val="18"/>
                      <w:szCs w:val="18"/>
                      <w:lang w:val="en-US" w:eastAsia="zh-CN"/>
                    </w:rPr>
                    <w:t>氨氮</w:t>
                  </w:r>
                </w:p>
              </w:tc>
              <w:tc>
                <w:tcPr>
                  <w:tcW w:w="651" w:type="pct"/>
                  <w:vAlign w:val="center"/>
                </w:tcPr>
                <w:p w14:paraId="0C9CB1C9">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eastAsia" w:ascii="Times New Roman" w:hAnsi="Times New Roman" w:cs="Times New Roman" w:eastAsiaTheme="minorEastAsia"/>
                      <w:bCs/>
                      <w:color w:val="auto"/>
                      <w:kern w:val="2"/>
                      <w:sz w:val="18"/>
                      <w:szCs w:val="18"/>
                      <w:lang w:val="en-US" w:eastAsia="zh-CN" w:bidi="ar-SA"/>
                    </w:rPr>
                  </w:pPr>
                  <w:r>
                    <w:rPr>
                      <w:rFonts w:hint="eastAsia" w:ascii="Times New Roman" w:hAnsi="Times New Roman" w:eastAsia="宋体"/>
                      <w:bCs/>
                      <w:color w:val="auto"/>
                      <w:sz w:val="18"/>
                      <w:szCs w:val="18"/>
                      <w:lang w:val="en-US" w:eastAsia="zh-CN"/>
                    </w:rPr>
                    <w:t>0.005</w:t>
                  </w:r>
                </w:p>
              </w:tc>
              <w:tc>
                <w:tcPr>
                  <w:tcW w:w="661" w:type="pct"/>
                  <w:vAlign w:val="center"/>
                </w:tcPr>
                <w:p w14:paraId="1101D43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cs="Times New Roman" w:eastAsiaTheme="minorEastAsia"/>
                      <w:bCs/>
                      <w:color w:val="auto"/>
                      <w:kern w:val="2"/>
                      <w:sz w:val="18"/>
                      <w:szCs w:val="18"/>
                    </w:rPr>
                  </w:pPr>
                  <w:r>
                    <w:rPr>
                      <w:rFonts w:hint="default" w:ascii="Times New Roman" w:hAnsi="Times New Roman" w:cs="Times New Roman" w:eastAsiaTheme="minorEastAsia"/>
                      <w:bCs/>
                      <w:color w:val="auto"/>
                      <w:kern w:val="2"/>
                      <w:sz w:val="18"/>
                      <w:szCs w:val="18"/>
                      <w:lang w:val="en-US" w:eastAsia="zh-CN"/>
                    </w:rPr>
                    <w:t>0</w:t>
                  </w:r>
                </w:p>
              </w:tc>
              <w:tc>
                <w:tcPr>
                  <w:tcW w:w="566" w:type="pct"/>
                  <w:vAlign w:val="center"/>
                </w:tcPr>
                <w:p w14:paraId="2E6881A7">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eastAsia" w:ascii="Times New Roman" w:hAnsi="Times New Roman" w:cs="Times New Roman" w:eastAsiaTheme="minorEastAsia"/>
                      <w:bCs/>
                      <w:color w:val="auto"/>
                      <w:kern w:val="2"/>
                      <w:sz w:val="18"/>
                      <w:szCs w:val="18"/>
                    </w:rPr>
                  </w:pPr>
                  <w:r>
                    <w:rPr>
                      <w:rFonts w:hint="eastAsia" w:ascii="Times New Roman" w:hAnsi="Times New Roman" w:eastAsia="宋体"/>
                      <w:bCs/>
                      <w:color w:val="auto"/>
                      <w:sz w:val="18"/>
                      <w:szCs w:val="18"/>
                      <w:lang w:val="en-US" w:eastAsia="zh-CN"/>
                    </w:rPr>
                    <w:t>0.005</w:t>
                  </w:r>
                </w:p>
              </w:tc>
              <w:tc>
                <w:tcPr>
                  <w:tcW w:w="795" w:type="pct"/>
                  <w:vAlign w:val="center"/>
                </w:tcPr>
                <w:p w14:paraId="279F3D44">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bCs/>
                      <w:color w:val="auto"/>
                      <w:sz w:val="18"/>
                      <w:szCs w:val="18"/>
                      <w:lang w:val="en-US" w:eastAsia="zh-CN"/>
                    </w:rPr>
                  </w:pPr>
                  <w:r>
                    <w:rPr>
                      <w:rFonts w:hint="eastAsia" w:ascii="Times New Roman" w:hAnsi="Times New Roman" w:eastAsia="宋体"/>
                      <w:bCs/>
                      <w:color w:val="auto"/>
                      <w:sz w:val="18"/>
                      <w:szCs w:val="18"/>
                      <w:lang w:val="en-US" w:eastAsia="zh-CN"/>
                    </w:rPr>
                    <w:t>0.0008</w:t>
                  </w:r>
                </w:p>
              </w:tc>
            </w:tr>
            <w:tr w14:paraId="5E417B7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280" w:hRule="atLeast"/>
                <w:jc w:val="center"/>
              </w:trPr>
              <w:tc>
                <w:tcPr>
                  <w:tcW w:w="326" w:type="pct"/>
                  <w:vMerge w:val="continue"/>
                  <w:vAlign w:val="center"/>
                </w:tcPr>
                <w:p w14:paraId="6B15A28C">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color w:val="auto"/>
                      <w:sz w:val="18"/>
                      <w:szCs w:val="18"/>
                    </w:rPr>
                  </w:pPr>
                </w:p>
              </w:tc>
              <w:tc>
                <w:tcPr>
                  <w:tcW w:w="526" w:type="pct"/>
                  <w:vMerge w:val="continue"/>
                  <w:tcBorders>
                    <w:right w:val="single" w:color="000000" w:sz="4" w:space="0"/>
                  </w:tcBorders>
                  <w:vAlign w:val="center"/>
                </w:tcPr>
                <w:p w14:paraId="1BCC663C">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cs="Times New Roman" w:eastAsiaTheme="minorEastAsia"/>
                      <w:color w:val="auto"/>
                      <w:sz w:val="18"/>
                      <w:szCs w:val="18"/>
                    </w:rPr>
                  </w:pPr>
                </w:p>
              </w:tc>
              <w:tc>
                <w:tcPr>
                  <w:tcW w:w="1473" w:type="pct"/>
                  <w:tcBorders>
                    <w:left w:val="single" w:color="000000" w:sz="4" w:space="0"/>
                    <w:bottom w:val="single" w:color="auto" w:sz="4" w:space="0"/>
                  </w:tcBorders>
                  <w:vAlign w:val="center"/>
                </w:tcPr>
                <w:p w14:paraId="18823D7E">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rPr>
                      <w:rFonts w:hint="eastAsia" w:ascii="Times New Roman" w:hAnsi="Times New Roman" w:cs="Times New Roman" w:eastAsiaTheme="minorEastAsia"/>
                      <w:bCs/>
                      <w:color w:val="auto"/>
                      <w:kern w:val="2"/>
                      <w:sz w:val="18"/>
                      <w:szCs w:val="18"/>
                      <w:lang w:val="en-US" w:eastAsia="zh-CN" w:bidi="ar-SA"/>
                    </w:rPr>
                  </w:pPr>
                  <w:r>
                    <w:rPr>
                      <w:rFonts w:hint="default" w:ascii="Times New Roman" w:hAnsi="Times New Roman" w:cs="Times New Roman" w:eastAsiaTheme="minorEastAsia"/>
                      <w:bCs/>
                      <w:color w:val="auto"/>
                      <w:sz w:val="18"/>
                      <w:szCs w:val="18"/>
                      <w:lang w:val="en-US" w:eastAsia="zh-CN"/>
                    </w:rPr>
                    <w:t>总氮</w:t>
                  </w:r>
                </w:p>
              </w:tc>
              <w:tc>
                <w:tcPr>
                  <w:tcW w:w="651" w:type="pct"/>
                  <w:vAlign w:val="center"/>
                </w:tcPr>
                <w:p w14:paraId="7F1CD935">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eastAsia" w:ascii="Times New Roman" w:hAnsi="Times New Roman" w:cs="Times New Roman" w:eastAsiaTheme="minorEastAsia"/>
                      <w:bCs/>
                      <w:color w:val="auto"/>
                      <w:kern w:val="2"/>
                      <w:sz w:val="18"/>
                      <w:szCs w:val="18"/>
                      <w:lang w:val="en-US" w:eastAsia="zh-CN" w:bidi="ar-SA"/>
                    </w:rPr>
                  </w:pPr>
                  <w:r>
                    <w:rPr>
                      <w:rFonts w:hint="eastAsia" w:ascii="Times New Roman" w:hAnsi="Times New Roman" w:eastAsia="宋体"/>
                      <w:bCs/>
                      <w:color w:val="auto"/>
                      <w:sz w:val="18"/>
                      <w:szCs w:val="18"/>
                      <w:lang w:val="en-US" w:eastAsia="zh-CN"/>
                    </w:rPr>
                    <w:t>0.007</w:t>
                  </w:r>
                </w:p>
              </w:tc>
              <w:tc>
                <w:tcPr>
                  <w:tcW w:w="661" w:type="pct"/>
                  <w:vAlign w:val="center"/>
                </w:tcPr>
                <w:p w14:paraId="795B728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cs="Times New Roman" w:eastAsiaTheme="minorEastAsia"/>
                      <w:bCs/>
                      <w:color w:val="auto"/>
                      <w:kern w:val="2"/>
                      <w:sz w:val="18"/>
                      <w:szCs w:val="18"/>
                    </w:rPr>
                  </w:pPr>
                  <w:r>
                    <w:rPr>
                      <w:rFonts w:hint="default" w:ascii="Times New Roman" w:hAnsi="Times New Roman" w:cs="Times New Roman" w:eastAsiaTheme="minorEastAsia"/>
                      <w:bCs/>
                      <w:color w:val="auto"/>
                      <w:kern w:val="2"/>
                      <w:sz w:val="18"/>
                      <w:szCs w:val="18"/>
                      <w:lang w:val="en-US" w:eastAsia="zh-CN"/>
                    </w:rPr>
                    <w:t>0</w:t>
                  </w:r>
                </w:p>
              </w:tc>
              <w:tc>
                <w:tcPr>
                  <w:tcW w:w="566" w:type="pct"/>
                  <w:vAlign w:val="center"/>
                </w:tcPr>
                <w:p w14:paraId="0801FF9E">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eastAsia" w:ascii="Times New Roman" w:hAnsi="Times New Roman" w:cs="Times New Roman" w:eastAsiaTheme="minorEastAsia"/>
                      <w:bCs/>
                      <w:color w:val="auto"/>
                      <w:kern w:val="2"/>
                      <w:sz w:val="18"/>
                      <w:szCs w:val="18"/>
                    </w:rPr>
                  </w:pPr>
                  <w:r>
                    <w:rPr>
                      <w:rFonts w:hint="eastAsia" w:ascii="Times New Roman" w:hAnsi="Times New Roman" w:eastAsia="宋体"/>
                      <w:bCs/>
                      <w:color w:val="auto"/>
                      <w:sz w:val="18"/>
                      <w:szCs w:val="18"/>
                      <w:lang w:val="en-US" w:eastAsia="zh-CN"/>
                    </w:rPr>
                    <w:t>0.007</w:t>
                  </w:r>
                </w:p>
              </w:tc>
              <w:tc>
                <w:tcPr>
                  <w:tcW w:w="795" w:type="pct"/>
                  <w:vAlign w:val="center"/>
                </w:tcPr>
                <w:p w14:paraId="780B2C96">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bCs/>
                      <w:color w:val="auto"/>
                      <w:sz w:val="18"/>
                      <w:szCs w:val="18"/>
                      <w:lang w:val="en-US" w:eastAsia="zh-CN"/>
                    </w:rPr>
                  </w:pPr>
                  <w:r>
                    <w:rPr>
                      <w:rFonts w:hint="eastAsia" w:ascii="Times New Roman" w:hAnsi="Times New Roman" w:eastAsia="宋体"/>
                      <w:bCs/>
                      <w:color w:val="auto"/>
                      <w:sz w:val="18"/>
                      <w:szCs w:val="18"/>
                      <w:lang w:val="en-US" w:eastAsia="zh-CN"/>
                    </w:rPr>
                    <w:t>0.0024</w:t>
                  </w:r>
                </w:p>
              </w:tc>
            </w:tr>
            <w:tr w14:paraId="445A596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280" w:hRule="atLeast"/>
                <w:jc w:val="center"/>
              </w:trPr>
              <w:tc>
                <w:tcPr>
                  <w:tcW w:w="326" w:type="pct"/>
                  <w:vMerge w:val="continue"/>
                  <w:vAlign w:val="center"/>
                </w:tcPr>
                <w:p w14:paraId="5BCCADF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color w:val="auto"/>
                      <w:sz w:val="18"/>
                      <w:szCs w:val="18"/>
                    </w:rPr>
                  </w:pPr>
                </w:p>
              </w:tc>
              <w:tc>
                <w:tcPr>
                  <w:tcW w:w="526" w:type="pct"/>
                  <w:vMerge w:val="continue"/>
                  <w:tcBorders>
                    <w:right w:val="single" w:color="000000" w:sz="4" w:space="0"/>
                  </w:tcBorders>
                  <w:vAlign w:val="center"/>
                </w:tcPr>
                <w:p w14:paraId="72E03DD5">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cs="Times New Roman" w:eastAsiaTheme="minorEastAsia"/>
                      <w:color w:val="auto"/>
                      <w:sz w:val="18"/>
                      <w:szCs w:val="18"/>
                    </w:rPr>
                  </w:pPr>
                </w:p>
              </w:tc>
              <w:tc>
                <w:tcPr>
                  <w:tcW w:w="1473" w:type="pct"/>
                  <w:tcBorders>
                    <w:left w:val="single" w:color="000000" w:sz="4" w:space="0"/>
                    <w:bottom w:val="single" w:color="auto" w:sz="4" w:space="0"/>
                  </w:tcBorders>
                  <w:vAlign w:val="center"/>
                </w:tcPr>
                <w:p w14:paraId="52B7D8BB">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rPr>
                      <w:rFonts w:hint="eastAsia" w:ascii="Times New Roman" w:hAnsi="Times New Roman" w:cs="Times New Roman" w:eastAsiaTheme="minorEastAsia"/>
                      <w:bCs/>
                      <w:color w:val="auto"/>
                      <w:kern w:val="2"/>
                      <w:sz w:val="18"/>
                      <w:szCs w:val="18"/>
                      <w:lang w:val="en-US" w:eastAsia="zh-CN" w:bidi="ar-SA"/>
                    </w:rPr>
                  </w:pPr>
                  <w:r>
                    <w:rPr>
                      <w:rFonts w:hint="default" w:ascii="Times New Roman" w:hAnsi="Times New Roman" w:cs="Times New Roman" w:eastAsiaTheme="minorEastAsia"/>
                      <w:bCs/>
                      <w:color w:val="auto"/>
                      <w:sz w:val="18"/>
                      <w:szCs w:val="18"/>
                      <w:lang w:val="en-US" w:eastAsia="zh-CN"/>
                    </w:rPr>
                    <w:t>总磷</w:t>
                  </w:r>
                </w:p>
              </w:tc>
              <w:tc>
                <w:tcPr>
                  <w:tcW w:w="651" w:type="pct"/>
                  <w:vAlign w:val="center"/>
                </w:tcPr>
                <w:p w14:paraId="3FA5EA9E">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eastAsia" w:ascii="Times New Roman" w:hAnsi="Times New Roman" w:cs="Times New Roman" w:eastAsiaTheme="minorEastAsia"/>
                      <w:bCs/>
                      <w:color w:val="auto"/>
                      <w:kern w:val="2"/>
                      <w:sz w:val="18"/>
                      <w:szCs w:val="18"/>
                      <w:lang w:val="en-US" w:eastAsia="zh-CN" w:bidi="ar-SA"/>
                    </w:rPr>
                  </w:pPr>
                  <w:r>
                    <w:rPr>
                      <w:rFonts w:hint="eastAsia" w:ascii="Times New Roman" w:hAnsi="Times New Roman" w:eastAsia="宋体"/>
                      <w:bCs/>
                      <w:color w:val="auto"/>
                      <w:sz w:val="18"/>
                      <w:szCs w:val="18"/>
                      <w:lang w:val="en-US" w:eastAsia="zh-CN"/>
                    </w:rPr>
                    <w:t>0.0006</w:t>
                  </w:r>
                </w:p>
              </w:tc>
              <w:tc>
                <w:tcPr>
                  <w:tcW w:w="661" w:type="pct"/>
                  <w:vAlign w:val="center"/>
                </w:tcPr>
                <w:p w14:paraId="00518B3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cs="Times New Roman" w:eastAsiaTheme="minorEastAsia"/>
                      <w:bCs/>
                      <w:color w:val="auto"/>
                      <w:kern w:val="2"/>
                      <w:sz w:val="18"/>
                      <w:szCs w:val="18"/>
                    </w:rPr>
                  </w:pPr>
                  <w:r>
                    <w:rPr>
                      <w:rFonts w:hint="default" w:ascii="Times New Roman" w:hAnsi="Times New Roman" w:cs="Times New Roman" w:eastAsiaTheme="minorEastAsia"/>
                      <w:bCs/>
                      <w:color w:val="auto"/>
                      <w:kern w:val="2"/>
                      <w:sz w:val="18"/>
                      <w:szCs w:val="18"/>
                      <w:lang w:val="en-US" w:eastAsia="zh-CN"/>
                    </w:rPr>
                    <w:t>0</w:t>
                  </w:r>
                </w:p>
              </w:tc>
              <w:tc>
                <w:tcPr>
                  <w:tcW w:w="566" w:type="pct"/>
                  <w:vAlign w:val="center"/>
                </w:tcPr>
                <w:p w14:paraId="0C8D8C00">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eastAsia" w:ascii="Times New Roman" w:hAnsi="Times New Roman" w:cs="Times New Roman" w:eastAsiaTheme="minorEastAsia"/>
                      <w:bCs/>
                      <w:color w:val="auto"/>
                      <w:kern w:val="2"/>
                      <w:sz w:val="18"/>
                      <w:szCs w:val="18"/>
                    </w:rPr>
                  </w:pPr>
                  <w:r>
                    <w:rPr>
                      <w:rFonts w:hint="eastAsia" w:ascii="Times New Roman" w:hAnsi="Times New Roman" w:eastAsia="宋体"/>
                      <w:bCs/>
                      <w:color w:val="auto"/>
                      <w:sz w:val="18"/>
                      <w:szCs w:val="18"/>
                      <w:lang w:val="en-US" w:eastAsia="zh-CN"/>
                    </w:rPr>
                    <w:t>0.0006</w:t>
                  </w:r>
                </w:p>
              </w:tc>
              <w:tc>
                <w:tcPr>
                  <w:tcW w:w="795" w:type="pct"/>
                  <w:vAlign w:val="center"/>
                </w:tcPr>
                <w:p w14:paraId="6BFFF692">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bCs/>
                      <w:color w:val="auto"/>
                      <w:sz w:val="18"/>
                      <w:szCs w:val="18"/>
                      <w:lang w:val="en-US" w:eastAsia="zh-CN"/>
                    </w:rPr>
                  </w:pPr>
                  <w:r>
                    <w:rPr>
                      <w:rFonts w:hint="eastAsia" w:ascii="Times New Roman" w:hAnsi="Times New Roman" w:eastAsia="宋体"/>
                      <w:bCs/>
                      <w:color w:val="auto"/>
                      <w:sz w:val="18"/>
                      <w:szCs w:val="18"/>
                      <w:lang w:val="en-US" w:eastAsia="zh-CN"/>
                    </w:rPr>
                    <w:t>0.0001</w:t>
                  </w:r>
                </w:p>
              </w:tc>
            </w:tr>
            <w:tr w14:paraId="4ADE404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280" w:hRule="atLeast"/>
                <w:jc w:val="center"/>
              </w:trPr>
              <w:tc>
                <w:tcPr>
                  <w:tcW w:w="326" w:type="pct"/>
                  <w:vMerge w:val="restart"/>
                  <w:vAlign w:val="center"/>
                </w:tcPr>
                <w:p w14:paraId="6361737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cs="Times New Roman" w:eastAsiaTheme="minorEastAsia"/>
                      <w:color w:val="auto"/>
                      <w:sz w:val="18"/>
                      <w:szCs w:val="18"/>
                      <w:lang w:eastAsia="zh-CN"/>
                    </w:rPr>
                  </w:pPr>
                  <w:r>
                    <w:rPr>
                      <w:rFonts w:hint="eastAsia" w:ascii="Times New Roman" w:hAnsi="Times New Roman" w:cs="Times New Roman" w:eastAsiaTheme="minorEastAsia"/>
                      <w:color w:val="auto"/>
                      <w:sz w:val="18"/>
                      <w:szCs w:val="18"/>
                      <w:lang w:eastAsia="zh-CN"/>
                    </w:rPr>
                    <w:t>固废</w:t>
                  </w:r>
                </w:p>
              </w:tc>
              <w:tc>
                <w:tcPr>
                  <w:tcW w:w="1999" w:type="pct"/>
                  <w:gridSpan w:val="2"/>
                  <w:vAlign w:val="center"/>
                </w:tcPr>
                <w:p w14:paraId="6123752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color w:val="auto"/>
                      <w:kern w:val="0"/>
                      <w:sz w:val="18"/>
                      <w:szCs w:val="18"/>
                    </w:rPr>
                  </w:pPr>
                  <w:r>
                    <w:rPr>
                      <w:rFonts w:hint="default" w:ascii="Times New Roman" w:hAnsi="Times New Roman" w:cs="Times New Roman" w:eastAsiaTheme="minorEastAsia"/>
                      <w:color w:val="auto"/>
                      <w:kern w:val="0"/>
                      <w:sz w:val="18"/>
                      <w:szCs w:val="18"/>
                    </w:rPr>
                    <w:t>一般工业固废</w:t>
                  </w:r>
                </w:p>
              </w:tc>
              <w:tc>
                <w:tcPr>
                  <w:tcW w:w="651" w:type="pct"/>
                  <w:vAlign w:val="center"/>
                </w:tcPr>
                <w:p w14:paraId="03D788B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color w:val="auto"/>
                      <w:kern w:val="0"/>
                      <w:sz w:val="18"/>
                      <w:szCs w:val="18"/>
                      <w:lang w:val="en-US" w:eastAsia="zh-CN"/>
                    </w:rPr>
                  </w:pPr>
                  <w:r>
                    <w:rPr>
                      <w:rFonts w:hint="eastAsia" w:cs="Times New Roman" w:eastAsiaTheme="minorEastAsia"/>
                      <w:color w:val="auto"/>
                      <w:kern w:val="0"/>
                      <w:sz w:val="18"/>
                      <w:szCs w:val="18"/>
                      <w:lang w:val="en-US" w:eastAsia="zh-CN"/>
                    </w:rPr>
                    <w:t>6.945</w:t>
                  </w:r>
                </w:p>
              </w:tc>
              <w:tc>
                <w:tcPr>
                  <w:tcW w:w="661" w:type="pct"/>
                  <w:vAlign w:val="center"/>
                </w:tcPr>
                <w:p w14:paraId="59E5E75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color w:val="auto"/>
                      <w:kern w:val="0"/>
                      <w:sz w:val="18"/>
                      <w:szCs w:val="18"/>
                      <w:lang w:val="en-US" w:eastAsia="zh-CN"/>
                    </w:rPr>
                  </w:pPr>
                  <w:r>
                    <w:rPr>
                      <w:rFonts w:hint="eastAsia" w:cs="Times New Roman" w:eastAsiaTheme="minorEastAsia"/>
                      <w:color w:val="auto"/>
                      <w:kern w:val="0"/>
                      <w:sz w:val="18"/>
                      <w:szCs w:val="18"/>
                      <w:lang w:val="en-US" w:eastAsia="zh-CN"/>
                    </w:rPr>
                    <w:t>6.945</w:t>
                  </w:r>
                </w:p>
              </w:tc>
              <w:tc>
                <w:tcPr>
                  <w:tcW w:w="566" w:type="pct"/>
                  <w:vAlign w:val="center"/>
                </w:tcPr>
                <w:p w14:paraId="626C109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color w:val="auto"/>
                      <w:kern w:val="0"/>
                      <w:sz w:val="18"/>
                      <w:szCs w:val="18"/>
                    </w:rPr>
                  </w:pPr>
                  <w:r>
                    <w:rPr>
                      <w:rFonts w:hint="default" w:ascii="Times New Roman" w:hAnsi="Times New Roman" w:cs="Times New Roman" w:eastAsiaTheme="minorEastAsia"/>
                      <w:color w:val="auto"/>
                      <w:kern w:val="0"/>
                      <w:sz w:val="18"/>
                      <w:szCs w:val="18"/>
                    </w:rPr>
                    <w:t>0</w:t>
                  </w:r>
                </w:p>
              </w:tc>
              <w:tc>
                <w:tcPr>
                  <w:tcW w:w="795" w:type="pct"/>
                  <w:vAlign w:val="center"/>
                </w:tcPr>
                <w:p w14:paraId="71B4B9A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color w:val="auto"/>
                      <w:kern w:val="0"/>
                      <w:sz w:val="18"/>
                      <w:szCs w:val="18"/>
                    </w:rPr>
                  </w:pPr>
                  <w:r>
                    <w:rPr>
                      <w:rFonts w:hint="default" w:ascii="Times New Roman" w:hAnsi="Times New Roman" w:cs="Times New Roman" w:eastAsiaTheme="minorEastAsia"/>
                      <w:color w:val="auto"/>
                      <w:kern w:val="0"/>
                      <w:sz w:val="18"/>
                      <w:szCs w:val="18"/>
                    </w:rPr>
                    <w:t>0</w:t>
                  </w:r>
                </w:p>
              </w:tc>
            </w:tr>
            <w:tr w14:paraId="7628B42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280" w:hRule="atLeast"/>
                <w:jc w:val="center"/>
              </w:trPr>
              <w:tc>
                <w:tcPr>
                  <w:tcW w:w="326" w:type="pct"/>
                  <w:vMerge w:val="continue"/>
                  <w:vAlign w:val="center"/>
                </w:tcPr>
                <w:p w14:paraId="45EFCF75">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color w:val="auto"/>
                      <w:sz w:val="18"/>
                      <w:szCs w:val="18"/>
                    </w:rPr>
                  </w:pPr>
                </w:p>
              </w:tc>
              <w:tc>
                <w:tcPr>
                  <w:tcW w:w="1999" w:type="pct"/>
                  <w:gridSpan w:val="2"/>
                  <w:vAlign w:val="center"/>
                </w:tcPr>
                <w:p w14:paraId="0C5EB56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color w:val="auto"/>
                      <w:kern w:val="0"/>
                      <w:sz w:val="18"/>
                      <w:szCs w:val="18"/>
                    </w:rPr>
                  </w:pPr>
                  <w:r>
                    <w:rPr>
                      <w:rFonts w:hint="default" w:ascii="Times New Roman" w:hAnsi="Times New Roman" w:cs="Times New Roman" w:eastAsiaTheme="minorEastAsia"/>
                      <w:color w:val="auto"/>
                      <w:kern w:val="0"/>
                      <w:sz w:val="18"/>
                      <w:szCs w:val="18"/>
                    </w:rPr>
                    <w:t>生活垃圾</w:t>
                  </w:r>
                </w:p>
              </w:tc>
              <w:tc>
                <w:tcPr>
                  <w:tcW w:w="651" w:type="pct"/>
                  <w:vAlign w:val="center"/>
                </w:tcPr>
                <w:p w14:paraId="18A3377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color w:val="auto"/>
                      <w:kern w:val="0"/>
                      <w:sz w:val="18"/>
                      <w:szCs w:val="18"/>
                      <w:lang w:val="en-US" w:eastAsia="zh-CN"/>
                    </w:rPr>
                  </w:pPr>
                  <w:r>
                    <w:rPr>
                      <w:rFonts w:hint="eastAsia" w:cs="Times New Roman" w:eastAsiaTheme="minorEastAsia"/>
                      <w:color w:val="auto"/>
                      <w:kern w:val="0"/>
                      <w:sz w:val="18"/>
                      <w:szCs w:val="18"/>
                      <w:lang w:val="en-US" w:eastAsia="zh-CN"/>
                    </w:rPr>
                    <w:t>1.512</w:t>
                  </w:r>
                </w:p>
              </w:tc>
              <w:tc>
                <w:tcPr>
                  <w:tcW w:w="661" w:type="pct"/>
                  <w:vAlign w:val="center"/>
                </w:tcPr>
                <w:p w14:paraId="50DE61D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eastAsiaTheme="minorEastAsia"/>
                      <w:color w:val="auto"/>
                      <w:kern w:val="0"/>
                      <w:sz w:val="18"/>
                      <w:szCs w:val="18"/>
                      <w:lang w:val="en-US" w:eastAsia="zh-CN" w:bidi="ar-SA"/>
                    </w:rPr>
                  </w:pPr>
                  <w:r>
                    <w:rPr>
                      <w:rFonts w:hint="eastAsia" w:cs="Times New Roman" w:eastAsiaTheme="minorEastAsia"/>
                      <w:color w:val="auto"/>
                      <w:kern w:val="0"/>
                      <w:sz w:val="18"/>
                      <w:szCs w:val="18"/>
                      <w:lang w:val="en-US" w:eastAsia="zh-CN"/>
                    </w:rPr>
                    <w:t>1.512</w:t>
                  </w:r>
                </w:p>
              </w:tc>
              <w:tc>
                <w:tcPr>
                  <w:tcW w:w="566" w:type="pct"/>
                  <w:vAlign w:val="center"/>
                </w:tcPr>
                <w:p w14:paraId="01C0957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color w:val="auto"/>
                      <w:kern w:val="0"/>
                      <w:sz w:val="18"/>
                      <w:szCs w:val="18"/>
                    </w:rPr>
                  </w:pPr>
                  <w:r>
                    <w:rPr>
                      <w:rFonts w:hint="default" w:ascii="Times New Roman" w:hAnsi="Times New Roman" w:cs="Times New Roman" w:eastAsiaTheme="minorEastAsia"/>
                      <w:color w:val="auto"/>
                      <w:kern w:val="0"/>
                      <w:sz w:val="18"/>
                      <w:szCs w:val="18"/>
                    </w:rPr>
                    <w:t>0</w:t>
                  </w:r>
                </w:p>
              </w:tc>
              <w:tc>
                <w:tcPr>
                  <w:tcW w:w="795" w:type="pct"/>
                  <w:vAlign w:val="center"/>
                </w:tcPr>
                <w:p w14:paraId="10F2781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cs="Times New Roman" w:eastAsiaTheme="minorEastAsia"/>
                      <w:color w:val="auto"/>
                      <w:kern w:val="0"/>
                      <w:sz w:val="18"/>
                      <w:szCs w:val="18"/>
                    </w:rPr>
                  </w:pPr>
                  <w:r>
                    <w:rPr>
                      <w:rFonts w:hint="default" w:ascii="Times New Roman" w:hAnsi="Times New Roman" w:cs="Times New Roman" w:eastAsiaTheme="minorEastAsia"/>
                      <w:color w:val="auto"/>
                      <w:kern w:val="0"/>
                      <w:sz w:val="18"/>
                      <w:szCs w:val="18"/>
                    </w:rPr>
                    <w:t>0</w:t>
                  </w:r>
                </w:p>
              </w:tc>
            </w:tr>
          </w:tbl>
          <w:p w14:paraId="4CADCEE1">
            <w:pPr>
              <w:keepNext w:val="0"/>
              <w:keepLines w:val="0"/>
              <w:suppressLineNumbers w:val="0"/>
              <w:spacing w:before="0" w:beforeAutospacing="0" w:after="0" w:afterAutospacing="0"/>
              <w:ind w:left="0" w:right="0"/>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z w:val="24"/>
                <w:szCs w:val="24"/>
                <w:lang w:val="en-US" w:eastAsia="zh-CN"/>
              </w:rPr>
              <w:t>建设项目</w:t>
            </w:r>
            <w:r>
              <w:rPr>
                <w:rFonts w:hint="default" w:ascii="Times New Roman" w:hAnsi="Times New Roman" w:eastAsia="宋体" w:cs="Times New Roman"/>
                <w:b/>
                <w:bCs/>
                <w:color w:val="auto"/>
                <w:sz w:val="24"/>
                <w:szCs w:val="24"/>
              </w:rPr>
              <w:t>总量控制指标：</w:t>
            </w:r>
          </w:p>
          <w:p w14:paraId="6741DAF5">
            <w:pPr>
              <w:keepNext w:val="0"/>
              <w:keepLines w:val="0"/>
              <w:suppressLineNumbers w:val="0"/>
              <w:adjustRightInd w:val="0"/>
              <w:snapToGrid w:val="0"/>
              <w:spacing w:before="0" w:beforeAutospacing="0" w:after="0" w:afterAutospacing="0"/>
              <w:ind w:left="0" w:right="0" w:firstLine="480"/>
              <w:rPr>
                <w:rFonts w:hint="default" w:ascii="Times New Roman" w:hAnsi="Times New Roman" w:eastAsia="宋体" w:cs="Times New Roman"/>
                <w:color w:val="auto"/>
                <w:kern w:val="0"/>
              </w:rPr>
            </w:pPr>
            <w:r>
              <w:rPr>
                <w:rFonts w:hint="default" w:ascii="Times New Roman" w:hAnsi="Times New Roman" w:eastAsia="宋体" w:cs="Times New Roman"/>
                <w:color w:val="auto"/>
              </w:rPr>
              <w:t>根据《江苏省排污权有偿使用和交易管理暂行办法》和《江苏省排污权有偿使用和交易实施细则（试行）》，按照《固定污染源排污许可分类管理名录》</w:t>
            </w:r>
            <w:r>
              <w:rPr>
                <w:rFonts w:hint="default" w:ascii="Times New Roman" w:hAnsi="Times New Roman" w:eastAsia="宋体" w:cs="Times New Roman"/>
                <w:color w:val="auto"/>
                <w:kern w:val="0"/>
              </w:rPr>
              <w:t>（2019年版）</w:t>
            </w:r>
            <w:r>
              <w:rPr>
                <w:rFonts w:hint="default" w:ascii="Times New Roman" w:hAnsi="Times New Roman" w:eastAsia="宋体" w:cs="Times New Roman"/>
                <w:color w:val="auto"/>
              </w:rPr>
              <w:t>，在排污许可证中载明许可排放量的排污单位，应在申领排污许可证时取得排污权。</w:t>
            </w:r>
            <w:r>
              <w:rPr>
                <w:rFonts w:hint="default" w:ascii="Times New Roman" w:hAnsi="Times New Roman" w:eastAsia="宋体" w:cs="Times New Roman"/>
                <w:color w:val="auto"/>
                <w:kern w:val="0"/>
              </w:rPr>
              <w:t>查询《固定污染源排污许可分类管理名录》（2019年版），</w:t>
            </w:r>
            <w:r>
              <w:rPr>
                <w:rFonts w:hint="default" w:ascii="Times New Roman" w:hAnsi="Times New Roman" w:eastAsia="宋体" w:cs="Times New Roman"/>
                <w:color w:val="auto"/>
                <w:kern w:val="0"/>
                <w:lang w:eastAsia="zh-CN"/>
              </w:rPr>
              <w:t>建设项目</w:t>
            </w:r>
            <w:r>
              <w:rPr>
                <w:rFonts w:hint="default" w:ascii="Times New Roman" w:hAnsi="Times New Roman" w:eastAsia="宋体" w:cs="Times New Roman"/>
                <w:color w:val="auto"/>
                <w:kern w:val="0"/>
              </w:rPr>
              <w:t>管理类别见下表3.</w:t>
            </w:r>
            <w:r>
              <w:rPr>
                <w:rFonts w:hint="default" w:ascii="Times New Roman" w:hAnsi="Times New Roman" w:eastAsia="宋体" w:cs="Times New Roman"/>
                <w:color w:val="auto"/>
                <w:kern w:val="0"/>
                <w:lang w:val="en-US" w:eastAsia="zh-CN"/>
              </w:rPr>
              <w:t>3-</w:t>
            </w:r>
            <w:r>
              <w:rPr>
                <w:rFonts w:hint="eastAsia" w:cs="Times New Roman"/>
                <w:color w:val="auto"/>
                <w:kern w:val="0"/>
                <w:lang w:val="en-US" w:eastAsia="zh-CN"/>
              </w:rPr>
              <w:t>6</w:t>
            </w:r>
            <w:r>
              <w:rPr>
                <w:rFonts w:hint="default" w:ascii="Times New Roman" w:hAnsi="Times New Roman" w:eastAsia="宋体" w:cs="Times New Roman"/>
                <w:color w:val="auto"/>
                <w:kern w:val="0"/>
              </w:rPr>
              <w:t>。</w:t>
            </w:r>
          </w:p>
          <w:p w14:paraId="3A7DCC10">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kern w:val="0"/>
              </w:rPr>
            </w:pPr>
            <w:r>
              <w:rPr>
                <w:rFonts w:hint="default" w:ascii="Times New Roman" w:hAnsi="Times New Roman" w:eastAsia="宋体" w:cs="Times New Roman"/>
                <w:b/>
                <w:bCs/>
                <w:color w:val="auto"/>
                <w:kern w:val="0"/>
              </w:rPr>
              <w:t>表3.</w:t>
            </w:r>
            <w:r>
              <w:rPr>
                <w:rFonts w:hint="default" w:ascii="Times New Roman" w:hAnsi="Times New Roman" w:eastAsia="宋体" w:cs="Times New Roman"/>
                <w:b/>
                <w:bCs/>
                <w:color w:val="auto"/>
                <w:kern w:val="0"/>
                <w:lang w:val="en-US" w:eastAsia="zh-CN"/>
              </w:rPr>
              <w:t>3-</w:t>
            </w:r>
            <w:r>
              <w:rPr>
                <w:rFonts w:hint="eastAsia" w:cs="Times New Roman"/>
                <w:b/>
                <w:bCs/>
                <w:color w:val="auto"/>
                <w:kern w:val="0"/>
                <w:lang w:val="en-US" w:eastAsia="zh-CN"/>
              </w:rPr>
              <w:t>6</w:t>
            </w:r>
            <w:r>
              <w:rPr>
                <w:rFonts w:hint="default" w:ascii="Times New Roman" w:hAnsi="Times New Roman" w:eastAsia="宋体" w:cs="Times New Roman"/>
                <w:b/>
                <w:bCs/>
                <w:color w:val="auto"/>
                <w:kern w:val="0"/>
              </w:rPr>
              <w:t xml:space="preserve">  </w:t>
            </w:r>
            <w:r>
              <w:rPr>
                <w:rFonts w:hint="default" w:ascii="Times New Roman" w:hAnsi="Times New Roman" w:eastAsia="宋体" w:cs="Times New Roman"/>
                <w:b/>
                <w:bCs/>
                <w:color w:val="auto"/>
                <w:kern w:val="0"/>
                <w:lang w:eastAsia="zh-CN"/>
              </w:rPr>
              <w:t>建设项目</w:t>
            </w:r>
            <w:r>
              <w:rPr>
                <w:rFonts w:hint="default" w:ascii="Times New Roman" w:hAnsi="Times New Roman" w:eastAsia="宋体" w:cs="Times New Roman"/>
                <w:b/>
                <w:bCs/>
                <w:color w:val="auto"/>
                <w:kern w:val="0"/>
              </w:rPr>
              <w:t>管理类别</w:t>
            </w:r>
          </w:p>
          <w:tbl>
            <w:tblPr>
              <w:tblStyle w:val="28"/>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92"/>
              <w:gridCol w:w="1025"/>
              <w:gridCol w:w="1000"/>
              <w:gridCol w:w="1512"/>
              <w:gridCol w:w="1698"/>
              <w:gridCol w:w="2016"/>
            </w:tblGrid>
            <w:tr w14:paraId="58734E5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7" w:type="pct"/>
                  <w:vAlign w:val="center"/>
                </w:tcPr>
                <w:p w14:paraId="3324823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序号</w:t>
                  </w:r>
                </w:p>
              </w:tc>
              <w:tc>
                <w:tcPr>
                  <w:tcW w:w="653" w:type="pct"/>
                  <w:vAlign w:val="center"/>
                </w:tcPr>
                <w:p w14:paraId="5A3094F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行业类别</w:t>
                  </w:r>
                </w:p>
              </w:tc>
              <w:tc>
                <w:tcPr>
                  <w:tcW w:w="637" w:type="pct"/>
                  <w:vAlign w:val="center"/>
                </w:tcPr>
                <w:p w14:paraId="20BCD85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重点管理</w:t>
                  </w:r>
                </w:p>
              </w:tc>
              <w:tc>
                <w:tcPr>
                  <w:tcW w:w="963" w:type="pct"/>
                  <w:vAlign w:val="center"/>
                </w:tcPr>
                <w:p w14:paraId="0741ED9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简化管理</w:t>
                  </w:r>
                </w:p>
              </w:tc>
              <w:tc>
                <w:tcPr>
                  <w:tcW w:w="1082" w:type="pct"/>
                  <w:vAlign w:val="center"/>
                </w:tcPr>
                <w:p w14:paraId="3EEC3B4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登记管理</w:t>
                  </w:r>
                </w:p>
              </w:tc>
              <w:tc>
                <w:tcPr>
                  <w:tcW w:w="1285" w:type="pct"/>
                  <w:vAlign w:val="center"/>
                </w:tcPr>
                <w:p w14:paraId="0132F43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lang w:eastAsia="zh-CN"/>
                    </w:rPr>
                    <w:t>建设项目</w:t>
                  </w:r>
                  <w:r>
                    <w:rPr>
                      <w:rFonts w:hint="default" w:ascii="Times New Roman" w:hAnsi="Times New Roman" w:eastAsia="宋体" w:cs="Times New Roman"/>
                      <w:b/>
                      <w:bCs/>
                      <w:color w:val="auto"/>
                      <w:sz w:val="18"/>
                      <w:szCs w:val="18"/>
                    </w:rPr>
                    <w:t>情况</w:t>
                  </w:r>
                </w:p>
              </w:tc>
            </w:tr>
            <w:tr w14:paraId="313B130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5000" w:type="pct"/>
                  <w:gridSpan w:val="6"/>
                  <w:vAlign w:val="center"/>
                </w:tcPr>
                <w:p w14:paraId="3D1AC32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eastAsia="zh-CN"/>
                    </w:rPr>
                  </w:pPr>
                  <w:r>
                    <w:rPr>
                      <w:rFonts w:hint="default" w:ascii="Times New Roman" w:hAnsi="Times New Roman" w:eastAsia="宋体" w:cs="Times New Roman"/>
                      <w:color w:val="auto"/>
                      <w:sz w:val="18"/>
                      <w:szCs w:val="18"/>
                    </w:rPr>
                    <w:t>二十五、非金属矿物制品业30</w:t>
                  </w:r>
                </w:p>
              </w:tc>
            </w:tr>
            <w:tr w14:paraId="040A88C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377" w:type="pct"/>
                  <w:vAlign w:val="center"/>
                </w:tcPr>
                <w:p w14:paraId="2B0506C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6</w:t>
                  </w:r>
                  <w:r>
                    <w:rPr>
                      <w:rFonts w:hint="eastAsia" w:cs="Times New Roman"/>
                      <w:color w:val="auto"/>
                      <w:sz w:val="18"/>
                      <w:szCs w:val="18"/>
                      <w:lang w:val="en-US" w:eastAsia="zh-CN"/>
                    </w:rPr>
                    <w:t>9</w:t>
                  </w:r>
                </w:p>
              </w:tc>
              <w:tc>
                <w:tcPr>
                  <w:tcW w:w="653" w:type="pct"/>
                  <w:vAlign w:val="center"/>
                </w:tcPr>
                <w:p w14:paraId="56F26269">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rPr>
                      <w:rFonts w:hint="eastAsia" w:ascii="Times New Roman" w:hAnsi="Times New Roman" w:eastAsia="宋体" w:cs="Times New Roman"/>
                      <w:color w:val="auto"/>
                      <w:sz w:val="18"/>
                      <w:szCs w:val="18"/>
                      <w:lang w:eastAsia="zh-CN"/>
                    </w:rPr>
                  </w:pPr>
                  <w:r>
                    <w:rPr>
                      <w:rFonts w:hint="eastAsia" w:cs="Times New Roman"/>
                      <w:color w:val="auto"/>
                      <w:sz w:val="18"/>
                      <w:szCs w:val="18"/>
                      <w:lang w:eastAsia="zh-CN"/>
                    </w:rPr>
                    <w:t>耐火材料制品制造</w:t>
                  </w:r>
                  <w:r>
                    <w:rPr>
                      <w:rFonts w:hint="default" w:ascii="Times New Roman" w:hAnsi="Times New Roman" w:eastAsia="宋体" w:cs="Times New Roman"/>
                      <w:color w:val="auto"/>
                      <w:sz w:val="18"/>
                      <w:szCs w:val="18"/>
                    </w:rPr>
                    <w:t>30</w:t>
                  </w:r>
                  <w:r>
                    <w:rPr>
                      <w:rFonts w:hint="eastAsia" w:cs="Times New Roman"/>
                      <w:color w:val="auto"/>
                      <w:sz w:val="18"/>
                      <w:szCs w:val="18"/>
                      <w:lang w:val="en-US" w:eastAsia="zh-CN"/>
                    </w:rPr>
                    <w:t>8</w:t>
                  </w:r>
                </w:p>
              </w:tc>
              <w:tc>
                <w:tcPr>
                  <w:tcW w:w="637" w:type="pct"/>
                  <w:vAlign w:val="center"/>
                </w:tcPr>
                <w:p w14:paraId="71B3953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cs="Times New Roman"/>
                      <w:color w:val="auto"/>
                      <w:sz w:val="18"/>
                      <w:szCs w:val="18"/>
                      <w:lang w:eastAsia="zh-CN"/>
                    </w:rPr>
                    <w:t>石棉制品制造</w:t>
                  </w:r>
                  <w:r>
                    <w:rPr>
                      <w:rFonts w:hint="eastAsia" w:cs="Times New Roman"/>
                      <w:color w:val="auto"/>
                      <w:sz w:val="18"/>
                      <w:szCs w:val="18"/>
                      <w:lang w:val="en-US" w:eastAsia="zh-CN"/>
                    </w:rPr>
                    <w:t>3081</w:t>
                  </w:r>
                </w:p>
              </w:tc>
              <w:tc>
                <w:tcPr>
                  <w:tcW w:w="963" w:type="pct"/>
                  <w:vAlign w:val="center"/>
                </w:tcPr>
                <w:p w14:paraId="23D96AA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以煤、石油焦、油和发生炉煤气为燃料的云母制品制造3082、耐火陶瓷制品及其他耐火材料制造3089</w:t>
                  </w:r>
                </w:p>
              </w:tc>
              <w:tc>
                <w:tcPr>
                  <w:tcW w:w="1082" w:type="pct"/>
                  <w:vAlign w:val="center"/>
                </w:tcPr>
                <w:p w14:paraId="1EBE9AB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rPr>
                    <w:t>除简化管理以外的云母制品制造3082、耐火陶瓷制品及其他耐火材料制造3089</w:t>
                  </w:r>
                </w:p>
              </w:tc>
              <w:tc>
                <w:tcPr>
                  <w:tcW w:w="1285" w:type="pct"/>
                  <w:vAlign w:val="center"/>
                </w:tcPr>
                <w:p w14:paraId="24FDA10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eastAsia" w:cs="Times New Roman"/>
                      <w:color w:val="auto"/>
                      <w:sz w:val="18"/>
                      <w:szCs w:val="18"/>
                      <w:lang w:val="en-US" w:eastAsia="zh-CN"/>
                    </w:rPr>
                    <w:t>拟建</w:t>
                  </w:r>
                  <w:r>
                    <w:rPr>
                      <w:rFonts w:hint="eastAsia" w:ascii="Times New Roman" w:hAnsi="Times New Roman" w:eastAsia="宋体" w:cs="Times New Roman"/>
                      <w:color w:val="auto"/>
                      <w:sz w:val="18"/>
                      <w:szCs w:val="18"/>
                      <w:lang w:val="en-US" w:eastAsia="zh-CN"/>
                    </w:rPr>
                    <w:t>项目</w:t>
                  </w:r>
                  <w:r>
                    <w:rPr>
                      <w:rFonts w:hint="default" w:ascii="Times New Roman" w:hAnsi="Times New Roman" w:eastAsia="宋体" w:cs="Times New Roman"/>
                      <w:color w:val="auto"/>
                      <w:sz w:val="18"/>
                      <w:szCs w:val="18"/>
                      <w:lang w:val="en-US" w:eastAsia="zh-CN"/>
                    </w:rPr>
                    <w:t>从事</w:t>
                  </w:r>
                  <w:r>
                    <w:rPr>
                      <w:rFonts w:hint="eastAsia" w:cs="Times New Roman"/>
                      <w:color w:val="auto"/>
                      <w:sz w:val="18"/>
                      <w:szCs w:val="18"/>
                      <w:lang w:val="en-US" w:eastAsia="zh-CN"/>
                    </w:rPr>
                    <w:t>电缆耐火密封膨胀堵料及电缆耐火密封填料制造</w:t>
                  </w:r>
                  <w:r>
                    <w:rPr>
                      <w:rFonts w:hint="default" w:ascii="Times New Roman" w:hAnsi="Times New Roman" w:eastAsia="宋体" w:cs="Times New Roman"/>
                      <w:color w:val="auto"/>
                      <w:sz w:val="18"/>
                      <w:szCs w:val="18"/>
                      <w:lang w:val="en-US" w:eastAsia="zh-CN"/>
                    </w:rPr>
                    <w:t>，</w:t>
                  </w:r>
                  <w:r>
                    <w:rPr>
                      <w:rFonts w:hint="eastAsia" w:cs="Times New Roman"/>
                      <w:color w:val="auto"/>
                      <w:sz w:val="18"/>
                      <w:szCs w:val="18"/>
                      <w:lang w:val="en-US" w:eastAsia="zh-CN"/>
                    </w:rPr>
                    <w:t>项目不使用</w:t>
                  </w:r>
                  <w:r>
                    <w:rPr>
                      <w:rFonts w:hint="default" w:ascii="Times New Roman" w:hAnsi="Times New Roman" w:eastAsia="宋体" w:cs="Times New Roman"/>
                      <w:color w:val="auto"/>
                      <w:sz w:val="18"/>
                      <w:szCs w:val="18"/>
                    </w:rPr>
                    <w:t>煤、石油焦、油和发生炉煤气</w:t>
                  </w:r>
                  <w:r>
                    <w:rPr>
                      <w:rFonts w:hint="eastAsia" w:ascii="Times New Roman" w:hAnsi="Times New Roman" w:eastAsia="宋体" w:cs="Times New Roman"/>
                      <w:color w:val="auto"/>
                      <w:sz w:val="18"/>
                      <w:szCs w:val="18"/>
                      <w:lang w:eastAsia="zh-CN"/>
                    </w:rPr>
                    <w:t>等燃料，</w:t>
                  </w:r>
                  <w:r>
                    <w:rPr>
                      <w:rFonts w:hint="eastAsia" w:cs="Times New Roman"/>
                      <w:color w:val="auto"/>
                      <w:sz w:val="18"/>
                      <w:szCs w:val="18"/>
                      <w:lang w:val="en-US" w:eastAsia="zh-CN"/>
                    </w:rPr>
                    <w:t>判定本项目</w:t>
                  </w:r>
                  <w:r>
                    <w:rPr>
                      <w:rFonts w:hint="default" w:ascii="Times New Roman" w:hAnsi="Times New Roman" w:eastAsia="宋体" w:cs="Times New Roman"/>
                      <w:color w:val="auto"/>
                      <w:sz w:val="18"/>
                      <w:szCs w:val="18"/>
                    </w:rPr>
                    <w:t>属于</w:t>
                  </w:r>
                  <w:r>
                    <w:rPr>
                      <w:rFonts w:hint="default" w:ascii="Times New Roman" w:hAnsi="Times New Roman" w:eastAsia="宋体" w:cs="Times New Roman"/>
                      <w:color w:val="auto"/>
                      <w:sz w:val="18"/>
                      <w:szCs w:val="18"/>
                      <w:lang w:val="en-US" w:eastAsia="zh-CN"/>
                    </w:rPr>
                    <w:t>排污登记</w:t>
                  </w:r>
                  <w:r>
                    <w:rPr>
                      <w:rFonts w:hint="default" w:ascii="Times New Roman" w:hAnsi="Times New Roman" w:eastAsia="宋体" w:cs="Times New Roman"/>
                      <w:color w:val="auto"/>
                      <w:sz w:val="18"/>
                      <w:szCs w:val="18"/>
                    </w:rPr>
                    <w:t>管理</w:t>
                  </w:r>
                  <w:r>
                    <w:rPr>
                      <w:rFonts w:hint="default" w:ascii="Times New Roman" w:hAnsi="Times New Roman" w:eastAsia="宋体" w:cs="Times New Roman"/>
                      <w:color w:val="auto"/>
                      <w:sz w:val="18"/>
                      <w:szCs w:val="18"/>
                      <w:lang w:val="en-US" w:eastAsia="zh-CN"/>
                    </w:rPr>
                    <w:t>类别</w:t>
                  </w:r>
                </w:p>
              </w:tc>
            </w:tr>
          </w:tbl>
          <w:p w14:paraId="1C828021">
            <w:pPr>
              <w:keepNext w:val="0"/>
              <w:keepLines w:val="0"/>
              <w:widowControl/>
              <w:suppressLineNumbers w:val="0"/>
              <w:adjustRightInd w:val="0"/>
              <w:snapToGrid w:val="0"/>
              <w:spacing w:before="0" w:beforeAutospacing="0" w:after="0" w:afterAutospacing="0" w:line="360" w:lineRule="auto"/>
              <w:ind w:left="0" w:right="0" w:firstLine="480" w:firstLineChars="200"/>
              <w:jc w:val="left"/>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（1）废气</w:t>
            </w:r>
          </w:p>
          <w:p w14:paraId="23250203">
            <w:pPr>
              <w:keepNext w:val="0"/>
              <w:keepLines w:val="0"/>
              <w:suppressLineNumbers w:val="0"/>
              <w:adjustRightInd w:val="0"/>
              <w:snapToGrid w:val="0"/>
              <w:spacing w:before="0" w:beforeAutospacing="0" w:after="0" w:afterAutospacing="0" w:line="360" w:lineRule="auto"/>
              <w:ind w:left="0" w:right="0" w:firstLine="482" w:firstLineChars="200"/>
              <w:rPr>
                <w:rFonts w:hint="default" w:ascii="Times New Roman" w:hAnsi="Times New Roman" w:eastAsia="宋体" w:cs="Times New Roman"/>
                <w:b/>
                <w:bCs/>
                <w:color w:val="auto"/>
                <w:sz w:val="24"/>
                <w:szCs w:val="24"/>
                <w:lang w:val="en-US" w:eastAsia="zh-CN"/>
              </w:rPr>
            </w:pPr>
            <w:r>
              <w:rPr>
                <w:rFonts w:hint="default" w:ascii="Times New Roman" w:hAnsi="Times New Roman" w:eastAsia="宋体" w:cs="Times New Roman"/>
                <w:b/>
                <w:bCs/>
                <w:color w:val="auto"/>
                <w:sz w:val="24"/>
                <w:szCs w:val="24"/>
                <w:lang w:val="en-US" w:eastAsia="zh-CN"/>
              </w:rPr>
              <w:t>项目废气污染物排放量为：</w:t>
            </w:r>
          </w:p>
          <w:p w14:paraId="703BAA91">
            <w:pPr>
              <w:keepNext w:val="0"/>
              <w:keepLines w:val="0"/>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废气（有组织）：颗粒物≤</w:t>
            </w:r>
            <w:r>
              <w:rPr>
                <w:rFonts w:hint="default" w:ascii="Times New Roman" w:hAnsi="Times New Roman" w:eastAsia="宋体" w:cs="Times New Roman"/>
                <w:color w:val="auto"/>
                <w:sz w:val="24"/>
                <w:szCs w:val="24"/>
                <w:lang w:val="en-US" w:eastAsia="zh-CN"/>
              </w:rPr>
              <w:t>0.</w:t>
            </w:r>
            <w:r>
              <w:rPr>
                <w:rFonts w:hint="eastAsia" w:cs="Times New Roman"/>
                <w:color w:val="auto"/>
                <w:sz w:val="24"/>
                <w:szCs w:val="24"/>
                <w:lang w:val="en-US" w:eastAsia="zh-CN"/>
              </w:rPr>
              <w:t>039</w:t>
            </w:r>
            <w:r>
              <w:rPr>
                <w:rFonts w:hint="default" w:ascii="Times New Roman" w:hAnsi="Times New Roman" w:eastAsia="宋体" w:cs="Times New Roman"/>
                <w:bCs/>
                <w:color w:val="auto"/>
                <w:kern w:val="0"/>
                <w:sz w:val="24"/>
                <w:szCs w:val="24"/>
              </w:rPr>
              <w:t>t/a</w:t>
            </w:r>
            <w:r>
              <w:rPr>
                <w:rFonts w:hint="default" w:ascii="Times New Roman" w:hAnsi="Times New Roman" w:eastAsia="宋体" w:cs="Times New Roman"/>
                <w:color w:val="auto"/>
                <w:sz w:val="24"/>
                <w:szCs w:val="24"/>
              </w:rPr>
              <w:t>；</w:t>
            </w:r>
          </w:p>
          <w:p w14:paraId="6C59B5F2">
            <w:pPr>
              <w:keepNext w:val="0"/>
              <w:keepLines w:val="0"/>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rPr>
              <w:t>废气（无组织）：颗粒物≤</w:t>
            </w:r>
            <w:r>
              <w:rPr>
                <w:rFonts w:hint="eastAsia" w:cs="Times New Roman"/>
                <w:color w:val="auto"/>
                <w:sz w:val="24"/>
                <w:szCs w:val="24"/>
                <w:lang w:val="en-US" w:eastAsia="zh-CN"/>
              </w:rPr>
              <w:t>0.041</w:t>
            </w:r>
            <w:r>
              <w:rPr>
                <w:rFonts w:hint="default" w:ascii="Times New Roman" w:hAnsi="Times New Roman" w:eastAsia="宋体" w:cs="Times New Roman"/>
                <w:bCs/>
                <w:color w:val="auto"/>
                <w:kern w:val="0"/>
                <w:sz w:val="24"/>
                <w:szCs w:val="24"/>
              </w:rPr>
              <w:t>t/a</w:t>
            </w:r>
            <w:r>
              <w:rPr>
                <w:rFonts w:hint="default" w:ascii="Times New Roman" w:hAnsi="Times New Roman" w:eastAsia="宋体" w:cs="Times New Roman"/>
                <w:bCs/>
                <w:color w:val="auto"/>
                <w:kern w:val="0"/>
                <w:sz w:val="24"/>
                <w:szCs w:val="24"/>
                <w:lang w:eastAsia="zh-CN"/>
              </w:rPr>
              <w:t>。</w:t>
            </w:r>
          </w:p>
          <w:p w14:paraId="0E9F4887">
            <w:pPr>
              <w:keepNext w:val="0"/>
              <w:keepLines w:val="0"/>
              <w:widowControl/>
              <w:suppressLineNumbers w:val="0"/>
              <w:adjustRightInd w:val="0"/>
              <w:snapToGrid w:val="0"/>
              <w:spacing w:before="0" w:beforeAutospacing="0" w:after="0" w:afterAutospacing="0" w:line="360" w:lineRule="auto"/>
              <w:ind w:left="0" w:right="0" w:firstLine="480" w:firstLineChars="200"/>
              <w:jc w:val="left"/>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eastAsia="zh-CN"/>
              </w:rPr>
              <w:t>项目</w:t>
            </w:r>
            <w:r>
              <w:rPr>
                <w:rFonts w:hint="default" w:ascii="Times New Roman" w:hAnsi="Times New Roman" w:eastAsia="宋体" w:cs="Times New Roman"/>
                <w:color w:val="auto"/>
                <w:sz w:val="24"/>
                <w:szCs w:val="24"/>
              </w:rPr>
              <w:t>新增</w:t>
            </w:r>
            <w:r>
              <w:rPr>
                <w:rFonts w:hint="default" w:ascii="Times New Roman" w:hAnsi="Times New Roman" w:eastAsia="宋体" w:cs="Times New Roman"/>
                <w:bCs/>
                <w:color w:val="auto"/>
                <w:kern w:val="0"/>
                <w:sz w:val="24"/>
                <w:szCs w:val="24"/>
              </w:rPr>
              <w:t>颗粒物</w:t>
            </w:r>
            <w:r>
              <w:rPr>
                <w:rFonts w:hint="eastAsia" w:ascii="Times New Roman" w:hAnsi="Times New Roman" w:eastAsia="宋体" w:cs="Times New Roman"/>
                <w:bCs/>
                <w:color w:val="auto"/>
                <w:kern w:val="0"/>
                <w:sz w:val="24"/>
                <w:szCs w:val="24"/>
                <w:lang w:eastAsia="zh-CN"/>
              </w:rPr>
              <w:t>排放量</w:t>
            </w:r>
            <w:r>
              <w:rPr>
                <w:rFonts w:hint="eastAsia" w:cs="Times New Roman"/>
                <w:bCs/>
                <w:color w:val="auto"/>
                <w:kern w:val="0"/>
                <w:sz w:val="24"/>
                <w:szCs w:val="24"/>
                <w:lang w:val="en-US" w:eastAsia="zh-CN"/>
              </w:rPr>
              <w:t>0.08</w:t>
            </w:r>
            <w:r>
              <w:rPr>
                <w:rFonts w:hint="default" w:ascii="Times New Roman" w:hAnsi="Times New Roman" w:eastAsia="宋体" w:cs="Times New Roman"/>
                <w:bCs/>
                <w:color w:val="auto"/>
                <w:kern w:val="0"/>
                <w:sz w:val="24"/>
                <w:szCs w:val="24"/>
              </w:rPr>
              <w:t>t/a（有组织</w:t>
            </w:r>
            <w:r>
              <w:rPr>
                <w:rFonts w:hint="default" w:ascii="Times New Roman" w:hAnsi="Times New Roman" w:eastAsia="宋体" w:cs="Times New Roman"/>
                <w:color w:val="auto"/>
                <w:sz w:val="24"/>
                <w:szCs w:val="24"/>
                <w:lang w:val="en-US" w:eastAsia="zh-CN"/>
              </w:rPr>
              <w:t>0.</w:t>
            </w:r>
            <w:r>
              <w:rPr>
                <w:rFonts w:hint="eastAsia" w:cs="Times New Roman"/>
                <w:color w:val="auto"/>
                <w:sz w:val="24"/>
                <w:szCs w:val="24"/>
                <w:lang w:val="en-US" w:eastAsia="zh-CN"/>
              </w:rPr>
              <w:t>039</w:t>
            </w:r>
            <w:r>
              <w:rPr>
                <w:rFonts w:hint="default" w:ascii="Times New Roman" w:hAnsi="Times New Roman" w:eastAsia="宋体" w:cs="Times New Roman"/>
                <w:bCs/>
                <w:color w:val="auto"/>
                <w:kern w:val="0"/>
                <w:sz w:val="24"/>
                <w:szCs w:val="24"/>
              </w:rPr>
              <w:t>t/a、无组织</w:t>
            </w:r>
            <w:r>
              <w:rPr>
                <w:rFonts w:hint="eastAsia" w:cs="Times New Roman"/>
                <w:color w:val="auto"/>
                <w:sz w:val="24"/>
                <w:szCs w:val="24"/>
                <w:lang w:val="en-US" w:eastAsia="zh-CN"/>
              </w:rPr>
              <w:t>0.041</w:t>
            </w:r>
            <w:r>
              <w:rPr>
                <w:rFonts w:hint="default" w:ascii="Times New Roman" w:hAnsi="Times New Roman" w:eastAsia="宋体" w:cs="Times New Roman"/>
                <w:bCs/>
                <w:color w:val="auto"/>
                <w:kern w:val="0"/>
                <w:sz w:val="24"/>
                <w:szCs w:val="24"/>
              </w:rPr>
              <w:t>t/a）</w:t>
            </w:r>
            <w:r>
              <w:rPr>
                <w:rFonts w:hint="default" w:ascii="Times New Roman" w:hAnsi="Times New Roman" w:eastAsia="宋体" w:cs="Times New Roman"/>
                <w:color w:val="auto"/>
                <w:sz w:val="24"/>
                <w:szCs w:val="24"/>
              </w:rPr>
              <w:t>。</w:t>
            </w:r>
          </w:p>
          <w:p w14:paraId="286DA3FB">
            <w:pPr>
              <w:keepNext w:val="0"/>
              <w:keepLines w:val="0"/>
              <w:widowControl/>
              <w:suppressLineNumbers w:val="0"/>
              <w:adjustRightInd w:val="0"/>
              <w:snapToGrid w:val="0"/>
              <w:spacing w:before="0" w:beforeAutospacing="0" w:after="0" w:afterAutospacing="0" w:line="360" w:lineRule="auto"/>
              <w:ind w:left="0" w:right="0" w:firstLine="480" w:firstLineChars="200"/>
              <w:jc w:val="left"/>
              <w:rPr>
                <w:rFonts w:hint="default" w:ascii="Times New Roman" w:hAnsi="Times New Roman" w:eastAsia="宋体" w:cs="Times New Roman"/>
                <w:bCs/>
                <w:color w:val="auto"/>
                <w:kern w:val="0"/>
                <w:sz w:val="24"/>
                <w:szCs w:val="20"/>
              </w:rPr>
            </w:pPr>
            <w:r>
              <w:rPr>
                <w:rFonts w:hint="default" w:ascii="Times New Roman" w:hAnsi="Times New Roman" w:eastAsia="宋体" w:cs="Times New Roman"/>
                <w:bCs/>
                <w:color w:val="auto"/>
                <w:kern w:val="0"/>
                <w:sz w:val="24"/>
                <w:szCs w:val="20"/>
              </w:rPr>
              <w:t>（2）废水</w:t>
            </w:r>
          </w:p>
          <w:p w14:paraId="619E1DBF">
            <w:pPr>
              <w:keepNext w:val="0"/>
              <w:keepLines w:val="0"/>
              <w:widowControl/>
              <w:suppressLineNumbers w:val="0"/>
              <w:adjustRightInd w:val="0"/>
              <w:snapToGrid w:val="0"/>
              <w:spacing w:before="0" w:beforeAutospacing="0" w:after="0" w:afterAutospacing="0" w:line="360" w:lineRule="auto"/>
              <w:ind w:left="0" w:right="0" w:firstLine="480" w:firstLineChars="200"/>
              <w:jc w:val="both"/>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建设项目</w:t>
            </w:r>
            <w:r>
              <w:rPr>
                <w:rFonts w:hint="default" w:ascii="Times New Roman" w:hAnsi="Times New Roman" w:cs="Times New Roman"/>
                <w:color w:val="auto"/>
                <w:sz w:val="24"/>
                <w:szCs w:val="24"/>
                <w:lang w:val="en-US" w:eastAsia="zh-CN"/>
              </w:rPr>
              <w:t>生活污水</w:t>
            </w:r>
            <w:r>
              <w:rPr>
                <w:rFonts w:hint="default" w:ascii="Times New Roman" w:hAnsi="Times New Roman" w:cs="Times New Roman"/>
                <w:color w:val="auto"/>
                <w:sz w:val="24"/>
                <w:szCs w:val="24"/>
              </w:rPr>
              <w:t>接管总量/环境排放量为：废水量</w:t>
            </w:r>
            <w:r>
              <w:rPr>
                <w:rFonts w:hint="default" w:ascii="Times New Roman" w:hAnsi="Times New Roman" w:cs="Times New Roman"/>
                <w:color w:val="auto"/>
                <w:kern w:val="0"/>
                <w:sz w:val="24"/>
                <w:szCs w:val="24"/>
              </w:rPr>
              <w:t>≤</w:t>
            </w:r>
            <w:r>
              <w:rPr>
                <w:rFonts w:hint="eastAsia" w:cs="Times New Roman"/>
                <w:color w:val="auto"/>
                <w:kern w:val="0"/>
                <w:sz w:val="24"/>
                <w:szCs w:val="24"/>
                <w:lang w:val="en-US" w:eastAsia="zh-CN"/>
              </w:rPr>
              <w:t>162</w:t>
            </w:r>
            <w:r>
              <w:rPr>
                <w:rFonts w:hint="default" w:ascii="Times New Roman" w:hAnsi="Times New Roman" w:cs="Times New Roman"/>
                <w:color w:val="auto"/>
                <w:sz w:val="24"/>
                <w:szCs w:val="24"/>
              </w:rPr>
              <w:t>/</w:t>
            </w:r>
            <w:r>
              <w:rPr>
                <w:rFonts w:hint="eastAsia" w:cs="Times New Roman"/>
                <w:color w:val="auto"/>
                <w:sz w:val="24"/>
                <w:szCs w:val="24"/>
                <w:lang w:val="en-US" w:eastAsia="zh-CN"/>
              </w:rPr>
              <w:t>162t</w:t>
            </w:r>
            <w:r>
              <w:rPr>
                <w:rFonts w:hint="default" w:ascii="Times New Roman" w:hAnsi="Times New Roman" w:cs="Times New Roman"/>
                <w:color w:val="auto"/>
                <w:sz w:val="24"/>
                <w:szCs w:val="24"/>
              </w:rPr>
              <w:t>/a，其中COD</w:t>
            </w:r>
            <w:r>
              <w:rPr>
                <w:rFonts w:hint="default" w:ascii="Times New Roman" w:hAnsi="Times New Roman" w:cs="Times New Roman"/>
                <w:color w:val="auto"/>
                <w:kern w:val="0"/>
                <w:sz w:val="24"/>
                <w:szCs w:val="24"/>
              </w:rPr>
              <w:t>≤</w:t>
            </w:r>
            <w:r>
              <w:rPr>
                <w:rFonts w:hint="eastAsia" w:ascii="Times New Roman" w:hAnsi="Times New Roman" w:eastAsia="宋体"/>
                <w:bCs/>
                <w:color w:val="auto"/>
                <w:sz w:val="24"/>
                <w:szCs w:val="24"/>
                <w:lang w:val="en-US" w:eastAsia="zh-CN"/>
              </w:rPr>
              <w:t>0.045</w:t>
            </w:r>
            <w:r>
              <w:rPr>
                <w:rFonts w:hint="default" w:ascii="Times New Roman" w:hAnsi="Times New Roman" w:cs="Times New Roman"/>
                <w:color w:val="auto"/>
                <w:sz w:val="24"/>
                <w:szCs w:val="24"/>
              </w:rPr>
              <w:t>/</w:t>
            </w:r>
            <w:r>
              <w:rPr>
                <w:rFonts w:hint="eastAsia" w:ascii="Times New Roman" w:hAnsi="Times New Roman" w:eastAsia="宋体"/>
                <w:bCs/>
                <w:color w:val="auto"/>
                <w:sz w:val="24"/>
                <w:szCs w:val="24"/>
                <w:lang w:val="en-US" w:eastAsia="zh-CN"/>
              </w:rPr>
              <w:t>0.0081</w:t>
            </w:r>
            <w:r>
              <w:rPr>
                <w:rFonts w:hint="default" w:ascii="Times New Roman" w:hAnsi="Times New Roman" w:cs="Times New Roman"/>
                <w:color w:val="auto"/>
                <w:sz w:val="24"/>
                <w:szCs w:val="24"/>
              </w:rPr>
              <w:t>t/a、SS</w:t>
            </w:r>
            <w:r>
              <w:rPr>
                <w:rFonts w:hint="default" w:ascii="Times New Roman" w:hAnsi="Times New Roman" w:cs="Times New Roman"/>
                <w:color w:val="auto"/>
                <w:kern w:val="0"/>
                <w:sz w:val="24"/>
                <w:szCs w:val="24"/>
              </w:rPr>
              <w:t>≤</w:t>
            </w:r>
            <w:r>
              <w:rPr>
                <w:rFonts w:hint="eastAsia" w:ascii="Times New Roman" w:hAnsi="Times New Roman" w:eastAsia="宋体"/>
                <w:bCs/>
                <w:color w:val="auto"/>
                <w:sz w:val="24"/>
                <w:szCs w:val="24"/>
                <w:lang w:val="en-US" w:eastAsia="zh-CN"/>
              </w:rPr>
              <w:t>0.032</w:t>
            </w:r>
            <w:r>
              <w:rPr>
                <w:rFonts w:hint="default" w:ascii="Times New Roman" w:hAnsi="Times New Roman" w:cs="Times New Roman"/>
                <w:color w:val="auto"/>
                <w:sz w:val="24"/>
                <w:szCs w:val="24"/>
              </w:rPr>
              <w:t>/</w:t>
            </w:r>
            <w:r>
              <w:rPr>
                <w:rFonts w:hint="eastAsia" w:ascii="Times New Roman" w:hAnsi="Times New Roman" w:eastAsia="宋体"/>
                <w:bCs/>
                <w:color w:val="auto"/>
                <w:sz w:val="24"/>
                <w:szCs w:val="24"/>
                <w:lang w:val="en-US" w:eastAsia="zh-CN"/>
              </w:rPr>
              <w:t>0.0016</w:t>
            </w:r>
            <w:r>
              <w:rPr>
                <w:rFonts w:hint="default" w:ascii="Times New Roman" w:hAnsi="Times New Roman" w:cs="Times New Roman"/>
                <w:color w:val="auto"/>
                <w:sz w:val="24"/>
                <w:szCs w:val="24"/>
              </w:rPr>
              <w:t>t/a、氨氮</w:t>
            </w:r>
            <w:r>
              <w:rPr>
                <w:rFonts w:hint="default" w:ascii="Times New Roman" w:hAnsi="Times New Roman" w:cs="Times New Roman"/>
                <w:color w:val="auto"/>
                <w:kern w:val="0"/>
                <w:sz w:val="24"/>
                <w:szCs w:val="24"/>
              </w:rPr>
              <w:t>≤</w:t>
            </w:r>
            <w:r>
              <w:rPr>
                <w:rFonts w:hint="eastAsia" w:ascii="Times New Roman" w:hAnsi="Times New Roman" w:eastAsia="宋体"/>
                <w:bCs/>
                <w:color w:val="auto"/>
                <w:sz w:val="24"/>
                <w:szCs w:val="24"/>
                <w:lang w:val="en-US" w:eastAsia="zh-CN"/>
              </w:rPr>
              <w:t>0.005</w:t>
            </w:r>
            <w:r>
              <w:rPr>
                <w:rFonts w:hint="default" w:ascii="Times New Roman" w:hAnsi="Times New Roman" w:cs="Times New Roman"/>
                <w:color w:val="auto"/>
                <w:sz w:val="24"/>
                <w:szCs w:val="24"/>
              </w:rPr>
              <w:t>/</w:t>
            </w:r>
            <w:r>
              <w:rPr>
                <w:rFonts w:hint="eastAsia" w:ascii="Times New Roman" w:hAnsi="Times New Roman" w:eastAsia="宋体"/>
                <w:bCs/>
                <w:color w:val="auto"/>
                <w:sz w:val="24"/>
                <w:szCs w:val="24"/>
                <w:lang w:val="en-US" w:eastAsia="zh-CN"/>
              </w:rPr>
              <w:t>0.0008</w:t>
            </w:r>
            <w:r>
              <w:rPr>
                <w:rFonts w:hint="default" w:ascii="Times New Roman" w:hAnsi="Times New Roman" w:cs="Times New Roman"/>
                <w:color w:val="auto"/>
                <w:sz w:val="24"/>
                <w:szCs w:val="24"/>
              </w:rPr>
              <w:t>t/a、总氮</w:t>
            </w:r>
            <w:r>
              <w:rPr>
                <w:rFonts w:hint="default" w:ascii="Times New Roman" w:hAnsi="Times New Roman" w:cs="Times New Roman"/>
                <w:color w:val="auto"/>
                <w:kern w:val="0"/>
                <w:sz w:val="24"/>
                <w:szCs w:val="24"/>
              </w:rPr>
              <w:t>≤</w:t>
            </w:r>
            <w:r>
              <w:rPr>
                <w:rFonts w:hint="eastAsia" w:ascii="Times New Roman" w:hAnsi="Times New Roman" w:eastAsia="宋体"/>
                <w:bCs/>
                <w:color w:val="auto"/>
                <w:sz w:val="24"/>
                <w:szCs w:val="24"/>
                <w:lang w:val="en-US" w:eastAsia="zh-CN"/>
              </w:rPr>
              <w:t>0.007</w:t>
            </w:r>
            <w:r>
              <w:rPr>
                <w:rFonts w:hint="default" w:ascii="Times New Roman" w:hAnsi="Times New Roman" w:cs="Times New Roman"/>
                <w:color w:val="auto"/>
                <w:sz w:val="24"/>
                <w:szCs w:val="24"/>
              </w:rPr>
              <w:t>/</w:t>
            </w:r>
            <w:r>
              <w:rPr>
                <w:rFonts w:hint="eastAsia" w:ascii="Times New Roman" w:hAnsi="Times New Roman" w:eastAsia="宋体"/>
                <w:bCs/>
                <w:color w:val="auto"/>
                <w:sz w:val="24"/>
                <w:szCs w:val="24"/>
                <w:lang w:val="en-US" w:eastAsia="zh-CN"/>
              </w:rPr>
              <w:t>0.0024</w:t>
            </w:r>
            <w:r>
              <w:rPr>
                <w:rFonts w:hint="default" w:ascii="Times New Roman" w:hAnsi="Times New Roman" w:cs="Times New Roman"/>
                <w:color w:val="auto"/>
                <w:sz w:val="24"/>
                <w:szCs w:val="24"/>
              </w:rPr>
              <w:t>t/a、总磷</w:t>
            </w:r>
            <w:r>
              <w:rPr>
                <w:rFonts w:hint="default" w:ascii="Times New Roman" w:hAnsi="Times New Roman" w:cs="Times New Roman"/>
                <w:color w:val="auto"/>
                <w:kern w:val="0"/>
                <w:sz w:val="24"/>
                <w:szCs w:val="24"/>
              </w:rPr>
              <w:t>≤</w:t>
            </w:r>
            <w:r>
              <w:rPr>
                <w:rFonts w:hint="eastAsia" w:ascii="Times New Roman" w:hAnsi="Times New Roman" w:eastAsia="宋体"/>
                <w:bCs/>
                <w:color w:val="auto"/>
                <w:sz w:val="24"/>
                <w:szCs w:val="24"/>
                <w:lang w:val="en-US" w:eastAsia="zh-CN"/>
              </w:rPr>
              <w:t>0.0006</w:t>
            </w:r>
            <w:r>
              <w:rPr>
                <w:rFonts w:hint="default" w:ascii="Times New Roman" w:hAnsi="Times New Roman" w:cs="Times New Roman"/>
                <w:color w:val="auto"/>
                <w:sz w:val="24"/>
                <w:szCs w:val="24"/>
              </w:rPr>
              <w:t>/</w:t>
            </w:r>
            <w:r>
              <w:rPr>
                <w:rFonts w:hint="eastAsia" w:ascii="Times New Roman" w:hAnsi="Times New Roman" w:eastAsia="宋体"/>
                <w:bCs/>
                <w:color w:val="auto"/>
                <w:sz w:val="24"/>
                <w:szCs w:val="24"/>
                <w:lang w:val="en-US" w:eastAsia="zh-CN"/>
              </w:rPr>
              <w:t>0.0001</w:t>
            </w:r>
            <w:r>
              <w:rPr>
                <w:rFonts w:hint="default" w:ascii="Times New Roman" w:hAnsi="Times New Roman" w:cs="Times New Roman"/>
                <w:color w:val="auto"/>
                <w:sz w:val="24"/>
                <w:szCs w:val="24"/>
              </w:rPr>
              <w:t>t/a</w:t>
            </w:r>
            <w:r>
              <w:rPr>
                <w:rFonts w:hint="default" w:ascii="Times New Roman" w:hAnsi="Times New Roman" w:eastAsia="宋体" w:cs="Times New Roman"/>
                <w:b w:val="0"/>
                <w:bCs w:val="0"/>
                <w:color w:val="auto"/>
                <w:kern w:val="0"/>
                <w:sz w:val="24"/>
                <w:szCs w:val="24"/>
                <w:lang w:val="en-US" w:eastAsia="zh-CN"/>
              </w:rPr>
              <w:t>。</w:t>
            </w:r>
          </w:p>
          <w:p w14:paraId="766F7196">
            <w:pPr>
              <w:keepNext w:val="0"/>
              <w:keepLines w:val="0"/>
              <w:widowControl/>
              <w:suppressLineNumbers w:val="0"/>
              <w:tabs>
                <w:tab w:val="left" w:pos="4922"/>
              </w:tabs>
              <w:adjustRightInd w:val="0"/>
              <w:snapToGrid w:val="0"/>
              <w:spacing w:before="0" w:beforeAutospacing="0" w:after="0" w:afterAutospacing="0" w:line="276" w:lineRule="auto"/>
              <w:ind w:left="0" w:right="0" w:firstLine="200"/>
              <w:jc w:val="left"/>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rPr>
              <w:t>（3）固废</w:t>
            </w:r>
          </w:p>
          <w:p w14:paraId="439F663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480" w:firstLineChars="200"/>
              <w:textAlignment w:val="auto"/>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sz w:val="24"/>
                <w:szCs w:val="24"/>
              </w:rPr>
              <w:t>所有固废均进行无害化处理处置或综合利用，外排量为零。</w:t>
            </w:r>
          </w:p>
        </w:tc>
      </w:tr>
    </w:tbl>
    <w:p w14:paraId="1318153B">
      <w:pPr>
        <w:ind w:left="0" w:leftChars="0" w:firstLine="0" w:firstLineChars="0"/>
        <w:rPr>
          <w:rFonts w:hint="default" w:ascii="Times New Roman" w:hAnsi="Times New Roman" w:eastAsia="宋体" w:cs="Times New Roman"/>
          <w:color w:val="auto"/>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7A3DA6AC">
      <w:pPr>
        <w:numPr>
          <w:ilvl w:val="0"/>
          <w:numId w:val="0"/>
        </w:numPr>
        <w:spacing w:line="240" w:lineRule="auto"/>
        <w:ind w:firstLine="0" w:firstLineChars="0"/>
        <w:jc w:val="center"/>
        <w:outlineLvl w:val="0"/>
        <w:rPr>
          <w:rFonts w:hint="default" w:ascii="Times New Roman" w:hAnsi="Times New Roman" w:eastAsia="宋体" w:cs="Times New Roman"/>
          <w:b/>
          <w:bCs/>
          <w:color w:val="auto"/>
          <w:sz w:val="28"/>
          <w:szCs w:val="28"/>
          <w:lang w:val="en-US" w:eastAsia="zh-CN"/>
        </w:rPr>
      </w:pPr>
      <w:bookmarkStart w:id="12" w:name="_Toc28152"/>
      <w:bookmarkStart w:id="13" w:name="_Toc24747"/>
      <w:r>
        <w:rPr>
          <w:rFonts w:hint="default" w:ascii="Times New Roman" w:hAnsi="Times New Roman" w:eastAsia="宋体" w:cs="Times New Roman"/>
          <w:b/>
          <w:bCs/>
          <w:color w:val="auto"/>
          <w:kern w:val="2"/>
          <w:sz w:val="28"/>
          <w:szCs w:val="28"/>
          <w:lang w:val="en-US" w:eastAsia="zh-CN" w:bidi="ar-SA"/>
        </w:rPr>
        <w:t>四、</w:t>
      </w:r>
      <w:r>
        <w:rPr>
          <w:rFonts w:hint="default" w:ascii="Times New Roman" w:hAnsi="Times New Roman" w:eastAsia="宋体" w:cs="Times New Roman"/>
          <w:b/>
          <w:bCs/>
          <w:color w:val="auto"/>
          <w:sz w:val="28"/>
          <w:szCs w:val="28"/>
          <w:lang w:val="en-US" w:eastAsia="zh-CN"/>
        </w:rPr>
        <w:t>主要环境影响和保护措施</w:t>
      </w:r>
      <w:bookmarkEnd w:id="12"/>
      <w:bookmarkEnd w:id="13"/>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9"/>
        <w:gridCol w:w="7963"/>
      </w:tblGrid>
      <w:tr w14:paraId="77397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9" w:type="dxa"/>
            <w:vAlign w:val="center"/>
          </w:tcPr>
          <w:p w14:paraId="3D8DE9B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bCs/>
                <w:color w:val="auto"/>
                <w:vertAlign w:val="baseline"/>
                <w:lang w:val="en-US" w:eastAsia="zh-CN"/>
              </w:rPr>
            </w:pPr>
            <w:r>
              <w:rPr>
                <w:rFonts w:hint="default" w:ascii="Times New Roman" w:hAnsi="Times New Roman" w:eastAsia="宋体" w:cs="Times New Roman"/>
                <w:b/>
                <w:bCs/>
                <w:color w:val="auto"/>
                <w:vertAlign w:val="baseline"/>
                <w:lang w:val="en-US" w:eastAsia="zh-CN"/>
              </w:rPr>
              <w:t>施工期环境保护措施</w:t>
            </w:r>
          </w:p>
        </w:tc>
        <w:tc>
          <w:tcPr>
            <w:tcW w:w="7963" w:type="dxa"/>
          </w:tcPr>
          <w:p w14:paraId="4EF84B35">
            <w:pPr>
              <w:keepNext w:val="0"/>
              <w:keepLines w:val="0"/>
              <w:suppressLineNumbers w:val="0"/>
              <w:autoSpaceDE w:val="0"/>
              <w:autoSpaceDN w:val="0"/>
              <w:adjustRightInd w:val="0"/>
              <w:snapToGrid w:val="0"/>
              <w:spacing w:before="0" w:beforeAutospacing="0" w:after="0" w:afterAutospacing="0" w:line="360" w:lineRule="auto"/>
              <w:ind w:left="0" w:right="0" w:firstLine="480" w:firstLineChars="200"/>
              <w:jc w:val="left"/>
              <w:rPr>
                <w:rFonts w:hint="default" w:ascii="Times New Roman" w:hAnsi="Times New Roman" w:eastAsia="宋体" w:cs="Times New Roman"/>
                <w:color w:val="auto"/>
                <w:kern w:val="0"/>
                <w:sz w:val="24"/>
              </w:rPr>
            </w:pPr>
            <w:r>
              <w:rPr>
                <w:rFonts w:hint="eastAsia" w:cs="Times New Roman"/>
                <w:b w:val="0"/>
                <w:bCs/>
                <w:color w:val="auto"/>
                <w:kern w:val="0"/>
                <w:sz w:val="24"/>
                <w:lang w:eastAsia="zh-CN"/>
              </w:rPr>
              <w:t>本项目依托现有厂房进行生产建设，施工期仅为生产设备进场安装，不涉及场地开挖、基础施工等过程，基本不存在施工期环境影响</w:t>
            </w:r>
            <w:r>
              <w:rPr>
                <w:rFonts w:hint="default" w:ascii="Times New Roman" w:hAnsi="Times New Roman" w:eastAsia="宋体" w:cs="Times New Roman"/>
                <w:b w:val="0"/>
                <w:bCs/>
                <w:color w:val="auto"/>
                <w:kern w:val="0"/>
                <w:sz w:val="24"/>
              </w:rPr>
              <w:t>。</w:t>
            </w:r>
          </w:p>
          <w:p w14:paraId="79EB76E6">
            <w:pPr>
              <w:keepNext w:val="0"/>
              <w:keepLines w:val="0"/>
              <w:suppressLineNumbers w:val="0"/>
              <w:autoSpaceDE w:val="0"/>
              <w:autoSpaceDN w:val="0"/>
              <w:adjustRightInd w:val="0"/>
              <w:snapToGrid w:val="0"/>
              <w:spacing w:before="0" w:beforeAutospacing="0" w:after="0" w:afterAutospacing="0" w:line="360" w:lineRule="auto"/>
              <w:ind w:left="0" w:right="0" w:firstLine="480" w:firstLineChars="200"/>
              <w:jc w:val="left"/>
              <w:rPr>
                <w:rFonts w:hint="eastAsia" w:cs="Times New Roman"/>
                <w:color w:val="auto"/>
                <w:kern w:val="0"/>
                <w:sz w:val="24"/>
                <w:lang w:val="en-US" w:eastAsia="zh-CN"/>
              </w:rPr>
            </w:pPr>
          </w:p>
          <w:p w14:paraId="77A812B0">
            <w:pPr>
              <w:keepNext w:val="0"/>
              <w:keepLines w:val="0"/>
              <w:suppressLineNumbers w:val="0"/>
              <w:autoSpaceDE w:val="0"/>
              <w:autoSpaceDN w:val="0"/>
              <w:adjustRightInd w:val="0"/>
              <w:snapToGrid w:val="0"/>
              <w:spacing w:before="0" w:beforeAutospacing="0" w:after="0" w:afterAutospacing="0" w:line="360" w:lineRule="auto"/>
              <w:ind w:left="0" w:right="0" w:firstLine="480" w:firstLineChars="200"/>
              <w:jc w:val="left"/>
              <w:rPr>
                <w:rFonts w:hint="eastAsia" w:cs="Times New Roman"/>
                <w:color w:val="auto"/>
                <w:kern w:val="0"/>
                <w:sz w:val="24"/>
                <w:lang w:val="en-US" w:eastAsia="zh-CN"/>
              </w:rPr>
            </w:pPr>
          </w:p>
          <w:p w14:paraId="59F383EB">
            <w:pPr>
              <w:keepNext w:val="0"/>
              <w:keepLines w:val="0"/>
              <w:suppressLineNumbers w:val="0"/>
              <w:autoSpaceDE w:val="0"/>
              <w:autoSpaceDN w:val="0"/>
              <w:adjustRightInd w:val="0"/>
              <w:snapToGrid w:val="0"/>
              <w:spacing w:before="0" w:beforeAutospacing="0" w:after="0" w:afterAutospacing="0" w:line="360" w:lineRule="auto"/>
              <w:ind w:left="0" w:right="0" w:firstLine="480" w:firstLineChars="200"/>
              <w:jc w:val="left"/>
              <w:rPr>
                <w:rFonts w:hint="eastAsia" w:cs="Times New Roman"/>
                <w:color w:val="auto"/>
                <w:kern w:val="0"/>
                <w:sz w:val="24"/>
                <w:lang w:val="en-US" w:eastAsia="zh-CN"/>
              </w:rPr>
            </w:pPr>
          </w:p>
          <w:p w14:paraId="253248E4">
            <w:pPr>
              <w:keepNext w:val="0"/>
              <w:keepLines w:val="0"/>
              <w:suppressLineNumbers w:val="0"/>
              <w:autoSpaceDE w:val="0"/>
              <w:autoSpaceDN w:val="0"/>
              <w:adjustRightInd w:val="0"/>
              <w:snapToGrid w:val="0"/>
              <w:spacing w:before="0" w:beforeAutospacing="0" w:after="0" w:afterAutospacing="0" w:line="360" w:lineRule="auto"/>
              <w:ind w:left="0" w:right="0" w:firstLine="480" w:firstLineChars="200"/>
              <w:jc w:val="left"/>
              <w:rPr>
                <w:rFonts w:hint="eastAsia" w:cs="Times New Roman"/>
                <w:color w:val="auto"/>
                <w:kern w:val="0"/>
                <w:sz w:val="24"/>
                <w:lang w:val="en-US" w:eastAsia="zh-CN"/>
              </w:rPr>
            </w:pPr>
          </w:p>
          <w:p w14:paraId="66B9316B">
            <w:pPr>
              <w:keepNext w:val="0"/>
              <w:keepLines w:val="0"/>
              <w:suppressLineNumbers w:val="0"/>
              <w:autoSpaceDE w:val="0"/>
              <w:autoSpaceDN w:val="0"/>
              <w:adjustRightInd w:val="0"/>
              <w:snapToGrid w:val="0"/>
              <w:spacing w:before="0" w:beforeAutospacing="0" w:after="0" w:afterAutospacing="0" w:line="360" w:lineRule="auto"/>
              <w:ind w:left="0" w:right="0" w:firstLine="480" w:firstLineChars="200"/>
              <w:jc w:val="left"/>
              <w:rPr>
                <w:rFonts w:hint="eastAsia" w:cs="Times New Roman"/>
                <w:color w:val="auto"/>
                <w:kern w:val="0"/>
                <w:sz w:val="24"/>
                <w:lang w:val="en-US" w:eastAsia="zh-CN"/>
              </w:rPr>
            </w:pPr>
          </w:p>
          <w:p w14:paraId="2302AC0B">
            <w:pPr>
              <w:keepNext w:val="0"/>
              <w:keepLines w:val="0"/>
              <w:suppressLineNumbers w:val="0"/>
              <w:autoSpaceDE w:val="0"/>
              <w:autoSpaceDN w:val="0"/>
              <w:adjustRightInd w:val="0"/>
              <w:snapToGrid w:val="0"/>
              <w:spacing w:before="0" w:beforeAutospacing="0" w:after="0" w:afterAutospacing="0" w:line="360" w:lineRule="auto"/>
              <w:ind w:left="0" w:right="0" w:firstLine="480" w:firstLineChars="200"/>
              <w:jc w:val="left"/>
              <w:rPr>
                <w:rFonts w:hint="eastAsia" w:cs="Times New Roman"/>
                <w:color w:val="auto"/>
                <w:kern w:val="0"/>
                <w:sz w:val="24"/>
                <w:lang w:val="en-US" w:eastAsia="zh-CN"/>
              </w:rPr>
            </w:pPr>
          </w:p>
          <w:p w14:paraId="6383BCE9">
            <w:pPr>
              <w:keepNext w:val="0"/>
              <w:keepLines w:val="0"/>
              <w:suppressLineNumbers w:val="0"/>
              <w:autoSpaceDE w:val="0"/>
              <w:autoSpaceDN w:val="0"/>
              <w:adjustRightInd w:val="0"/>
              <w:snapToGrid w:val="0"/>
              <w:spacing w:before="0" w:beforeAutospacing="0" w:after="0" w:afterAutospacing="0" w:line="360" w:lineRule="auto"/>
              <w:ind w:left="0" w:right="0" w:firstLine="480" w:firstLineChars="200"/>
              <w:jc w:val="left"/>
              <w:rPr>
                <w:rFonts w:hint="eastAsia" w:cs="Times New Roman"/>
                <w:color w:val="auto"/>
                <w:kern w:val="0"/>
                <w:sz w:val="24"/>
                <w:lang w:val="en-US" w:eastAsia="zh-CN"/>
              </w:rPr>
            </w:pPr>
          </w:p>
          <w:p w14:paraId="12C2F112">
            <w:pPr>
              <w:keepNext w:val="0"/>
              <w:keepLines w:val="0"/>
              <w:suppressLineNumbers w:val="0"/>
              <w:autoSpaceDE w:val="0"/>
              <w:autoSpaceDN w:val="0"/>
              <w:adjustRightInd w:val="0"/>
              <w:snapToGrid w:val="0"/>
              <w:spacing w:before="0" w:beforeAutospacing="0" w:after="0" w:afterAutospacing="0" w:line="360" w:lineRule="auto"/>
              <w:ind w:left="0" w:right="0" w:firstLine="480" w:firstLineChars="200"/>
              <w:jc w:val="left"/>
              <w:rPr>
                <w:rFonts w:hint="eastAsia" w:cs="Times New Roman"/>
                <w:color w:val="auto"/>
                <w:kern w:val="0"/>
                <w:sz w:val="24"/>
                <w:lang w:val="en-US" w:eastAsia="zh-CN"/>
              </w:rPr>
            </w:pPr>
          </w:p>
          <w:p w14:paraId="1A495BDD">
            <w:pPr>
              <w:keepNext w:val="0"/>
              <w:keepLines w:val="0"/>
              <w:suppressLineNumbers w:val="0"/>
              <w:autoSpaceDE w:val="0"/>
              <w:autoSpaceDN w:val="0"/>
              <w:adjustRightInd w:val="0"/>
              <w:snapToGrid w:val="0"/>
              <w:spacing w:before="0" w:beforeAutospacing="0" w:after="0" w:afterAutospacing="0" w:line="360" w:lineRule="auto"/>
              <w:ind w:left="0" w:right="0" w:firstLine="480" w:firstLineChars="200"/>
              <w:jc w:val="left"/>
              <w:rPr>
                <w:rFonts w:hint="eastAsia" w:cs="Times New Roman"/>
                <w:color w:val="auto"/>
                <w:kern w:val="0"/>
                <w:sz w:val="24"/>
                <w:lang w:val="en-US" w:eastAsia="zh-CN"/>
              </w:rPr>
            </w:pPr>
          </w:p>
          <w:p w14:paraId="57F2991B">
            <w:pPr>
              <w:keepNext w:val="0"/>
              <w:keepLines w:val="0"/>
              <w:suppressLineNumbers w:val="0"/>
              <w:autoSpaceDE w:val="0"/>
              <w:autoSpaceDN w:val="0"/>
              <w:adjustRightInd w:val="0"/>
              <w:snapToGrid w:val="0"/>
              <w:spacing w:before="0" w:beforeAutospacing="0" w:after="0" w:afterAutospacing="0" w:line="360" w:lineRule="auto"/>
              <w:ind w:left="0" w:right="0" w:firstLine="480" w:firstLineChars="200"/>
              <w:jc w:val="left"/>
              <w:rPr>
                <w:rFonts w:hint="eastAsia" w:cs="Times New Roman"/>
                <w:color w:val="auto"/>
                <w:kern w:val="0"/>
                <w:sz w:val="24"/>
                <w:lang w:val="en-US" w:eastAsia="zh-CN"/>
              </w:rPr>
            </w:pPr>
          </w:p>
          <w:p w14:paraId="1D90A9CB">
            <w:pPr>
              <w:keepNext w:val="0"/>
              <w:keepLines w:val="0"/>
              <w:suppressLineNumbers w:val="0"/>
              <w:autoSpaceDE w:val="0"/>
              <w:autoSpaceDN w:val="0"/>
              <w:adjustRightInd w:val="0"/>
              <w:snapToGrid w:val="0"/>
              <w:spacing w:before="0" w:beforeAutospacing="0" w:after="0" w:afterAutospacing="0" w:line="360" w:lineRule="auto"/>
              <w:ind w:left="0" w:right="0" w:firstLine="480" w:firstLineChars="200"/>
              <w:jc w:val="left"/>
              <w:rPr>
                <w:rFonts w:hint="eastAsia" w:cs="Times New Roman"/>
                <w:color w:val="auto"/>
                <w:kern w:val="0"/>
                <w:sz w:val="24"/>
                <w:lang w:val="en-US" w:eastAsia="zh-CN"/>
              </w:rPr>
            </w:pPr>
          </w:p>
          <w:p w14:paraId="565871F6">
            <w:pPr>
              <w:keepNext w:val="0"/>
              <w:keepLines w:val="0"/>
              <w:suppressLineNumbers w:val="0"/>
              <w:autoSpaceDE w:val="0"/>
              <w:autoSpaceDN w:val="0"/>
              <w:adjustRightInd w:val="0"/>
              <w:snapToGrid w:val="0"/>
              <w:spacing w:before="0" w:beforeAutospacing="0" w:after="0" w:afterAutospacing="0" w:line="360" w:lineRule="auto"/>
              <w:ind w:left="0" w:right="0" w:firstLine="480" w:firstLineChars="200"/>
              <w:jc w:val="left"/>
              <w:rPr>
                <w:rFonts w:hint="eastAsia" w:cs="Times New Roman"/>
                <w:color w:val="auto"/>
                <w:kern w:val="0"/>
                <w:sz w:val="24"/>
                <w:lang w:val="en-US" w:eastAsia="zh-CN"/>
              </w:rPr>
            </w:pPr>
          </w:p>
          <w:p w14:paraId="752E327B">
            <w:pPr>
              <w:keepNext w:val="0"/>
              <w:keepLines w:val="0"/>
              <w:suppressLineNumbers w:val="0"/>
              <w:autoSpaceDE w:val="0"/>
              <w:autoSpaceDN w:val="0"/>
              <w:adjustRightInd w:val="0"/>
              <w:snapToGrid w:val="0"/>
              <w:spacing w:before="0" w:beforeAutospacing="0" w:after="0" w:afterAutospacing="0" w:line="360" w:lineRule="auto"/>
              <w:ind w:left="0" w:right="0" w:firstLine="480" w:firstLineChars="200"/>
              <w:jc w:val="left"/>
              <w:rPr>
                <w:rFonts w:hint="eastAsia" w:ascii="Times New Roman" w:hAnsi="Times New Roman" w:eastAsia="宋体" w:cs="Times New Roman"/>
                <w:color w:val="auto"/>
                <w:kern w:val="0"/>
                <w:sz w:val="24"/>
                <w:lang w:val="en-US" w:eastAsia="zh-CN"/>
              </w:rPr>
            </w:pPr>
          </w:p>
          <w:p w14:paraId="1D31981A">
            <w:pPr>
              <w:keepNext w:val="0"/>
              <w:keepLines w:val="0"/>
              <w:suppressLineNumbers w:val="0"/>
              <w:autoSpaceDE w:val="0"/>
              <w:autoSpaceDN w:val="0"/>
              <w:adjustRightInd w:val="0"/>
              <w:snapToGrid w:val="0"/>
              <w:spacing w:before="0" w:beforeAutospacing="0" w:after="0" w:afterAutospacing="0" w:line="360" w:lineRule="auto"/>
              <w:ind w:left="0" w:right="0" w:firstLine="480" w:firstLineChars="200"/>
              <w:jc w:val="left"/>
              <w:rPr>
                <w:rFonts w:hint="default" w:ascii="Times New Roman" w:hAnsi="Times New Roman" w:eastAsia="宋体" w:cs="Times New Roman"/>
                <w:color w:val="auto"/>
                <w:kern w:val="0"/>
                <w:sz w:val="24"/>
              </w:rPr>
            </w:pPr>
          </w:p>
          <w:p w14:paraId="7416024E">
            <w:pPr>
              <w:keepNext w:val="0"/>
              <w:keepLines w:val="0"/>
              <w:suppressLineNumbers w:val="0"/>
              <w:autoSpaceDE w:val="0"/>
              <w:autoSpaceDN w:val="0"/>
              <w:adjustRightInd w:val="0"/>
              <w:snapToGrid w:val="0"/>
              <w:spacing w:before="0" w:beforeAutospacing="0" w:after="0" w:afterAutospacing="0" w:line="360" w:lineRule="auto"/>
              <w:ind w:left="0" w:right="0" w:firstLine="480" w:firstLineChars="200"/>
              <w:jc w:val="left"/>
              <w:rPr>
                <w:rFonts w:hint="default" w:ascii="Times New Roman" w:hAnsi="Times New Roman" w:eastAsia="宋体" w:cs="Times New Roman"/>
                <w:color w:val="auto"/>
                <w:kern w:val="0"/>
                <w:sz w:val="24"/>
              </w:rPr>
            </w:pPr>
          </w:p>
          <w:p w14:paraId="744271E5">
            <w:pPr>
              <w:keepNext w:val="0"/>
              <w:keepLines w:val="0"/>
              <w:suppressLineNumbers w:val="0"/>
              <w:autoSpaceDE w:val="0"/>
              <w:autoSpaceDN w:val="0"/>
              <w:adjustRightInd w:val="0"/>
              <w:snapToGrid w:val="0"/>
              <w:spacing w:before="0" w:beforeAutospacing="0" w:after="0" w:afterAutospacing="0" w:line="360" w:lineRule="auto"/>
              <w:ind w:left="0" w:right="0" w:firstLine="480" w:firstLineChars="200"/>
              <w:jc w:val="left"/>
              <w:rPr>
                <w:rFonts w:hint="default" w:ascii="Times New Roman" w:hAnsi="Times New Roman" w:eastAsia="宋体" w:cs="Times New Roman"/>
                <w:color w:val="auto"/>
                <w:kern w:val="0"/>
                <w:sz w:val="24"/>
              </w:rPr>
            </w:pPr>
          </w:p>
          <w:p w14:paraId="6B01FED5">
            <w:pPr>
              <w:keepNext w:val="0"/>
              <w:keepLines w:val="0"/>
              <w:suppressLineNumbers w:val="0"/>
              <w:autoSpaceDE w:val="0"/>
              <w:autoSpaceDN w:val="0"/>
              <w:adjustRightInd w:val="0"/>
              <w:snapToGrid w:val="0"/>
              <w:spacing w:before="0" w:beforeAutospacing="0" w:after="0" w:afterAutospacing="0" w:line="360" w:lineRule="auto"/>
              <w:ind w:left="0" w:right="0" w:firstLine="480" w:firstLineChars="200"/>
              <w:jc w:val="left"/>
              <w:rPr>
                <w:rFonts w:hint="default" w:ascii="Times New Roman" w:hAnsi="Times New Roman" w:eastAsia="宋体" w:cs="Times New Roman"/>
                <w:color w:val="auto"/>
                <w:kern w:val="0"/>
                <w:sz w:val="24"/>
              </w:rPr>
            </w:pPr>
          </w:p>
          <w:p w14:paraId="2242AF41">
            <w:pPr>
              <w:keepNext w:val="0"/>
              <w:keepLines w:val="0"/>
              <w:suppressLineNumbers w:val="0"/>
              <w:autoSpaceDE w:val="0"/>
              <w:autoSpaceDN w:val="0"/>
              <w:adjustRightInd w:val="0"/>
              <w:snapToGrid w:val="0"/>
              <w:spacing w:before="0" w:beforeAutospacing="0" w:after="0" w:afterAutospacing="0" w:line="360" w:lineRule="auto"/>
              <w:ind w:left="0" w:right="0" w:firstLine="480" w:firstLineChars="200"/>
              <w:jc w:val="left"/>
              <w:rPr>
                <w:rFonts w:hint="default" w:ascii="Times New Roman" w:hAnsi="Times New Roman" w:eastAsia="宋体" w:cs="Times New Roman"/>
                <w:color w:val="auto"/>
                <w:kern w:val="0"/>
                <w:sz w:val="24"/>
              </w:rPr>
            </w:pPr>
          </w:p>
          <w:p w14:paraId="4E7D5E57">
            <w:pPr>
              <w:keepNext w:val="0"/>
              <w:keepLines w:val="0"/>
              <w:suppressLineNumbers w:val="0"/>
              <w:autoSpaceDE w:val="0"/>
              <w:autoSpaceDN w:val="0"/>
              <w:adjustRightInd w:val="0"/>
              <w:snapToGrid w:val="0"/>
              <w:spacing w:before="0" w:beforeAutospacing="0" w:after="0" w:afterAutospacing="0" w:line="360" w:lineRule="auto"/>
              <w:ind w:left="0" w:right="0" w:firstLine="480" w:firstLineChars="200"/>
              <w:jc w:val="left"/>
              <w:rPr>
                <w:rFonts w:hint="default" w:ascii="Times New Roman" w:hAnsi="Times New Roman" w:eastAsia="宋体" w:cs="Times New Roman"/>
                <w:color w:val="auto"/>
                <w:kern w:val="0"/>
                <w:sz w:val="24"/>
              </w:rPr>
            </w:pPr>
          </w:p>
          <w:p w14:paraId="0E36EB88">
            <w:pPr>
              <w:keepNext w:val="0"/>
              <w:keepLines w:val="0"/>
              <w:suppressLineNumbers w:val="0"/>
              <w:autoSpaceDE w:val="0"/>
              <w:autoSpaceDN w:val="0"/>
              <w:adjustRightInd w:val="0"/>
              <w:snapToGrid w:val="0"/>
              <w:spacing w:before="0" w:beforeAutospacing="0" w:after="0" w:afterAutospacing="0" w:line="360" w:lineRule="auto"/>
              <w:ind w:left="0" w:right="0" w:firstLine="480" w:firstLineChars="200"/>
              <w:jc w:val="left"/>
              <w:rPr>
                <w:rFonts w:hint="default" w:ascii="Times New Roman" w:hAnsi="Times New Roman" w:eastAsia="宋体" w:cs="Times New Roman"/>
                <w:color w:val="auto"/>
                <w:kern w:val="0"/>
                <w:sz w:val="24"/>
              </w:rPr>
            </w:pPr>
          </w:p>
          <w:p w14:paraId="7D8E71A1">
            <w:pPr>
              <w:keepNext w:val="0"/>
              <w:keepLines w:val="0"/>
              <w:suppressLineNumbers w:val="0"/>
              <w:autoSpaceDE w:val="0"/>
              <w:autoSpaceDN w:val="0"/>
              <w:adjustRightInd w:val="0"/>
              <w:snapToGrid w:val="0"/>
              <w:spacing w:before="0" w:beforeAutospacing="0" w:after="0" w:afterAutospacing="0" w:line="360" w:lineRule="auto"/>
              <w:ind w:left="0" w:right="0" w:firstLine="480" w:firstLineChars="200"/>
              <w:jc w:val="left"/>
              <w:rPr>
                <w:rFonts w:hint="default" w:ascii="Times New Roman" w:hAnsi="Times New Roman" w:eastAsia="宋体" w:cs="Times New Roman"/>
                <w:color w:val="auto"/>
                <w:kern w:val="0"/>
                <w:sz w:val="24"/>
              </w:rPr>
            </w:pPr>
          </w:p>
          <w:p w14:paraId="285B37C6">
            <w:pPr>
              <w:keepNext w:val="0"/>
              <w:keepLines w:val="0"/>
              <w:suppressLineNumbers w:val="0"/>
              <w:autoSpaceDE w:val="0"/>
              <w:autoSpaceDN w:val="0"/>
              <w:adjustRightInd w:val="0"/>
              <w:snapToGrid w:val="0"/>
              <w:spacing w:before="0" w:beforeAutospacing="0" w:after="0" w:afterAutospacing="0" w:line="360" w:lineRule="auto"/>
              <w:ind w:left="0" w:right="0" w:firstLine="480" w:firstLineChars="200"/>
              <w:jc w:val="left"/>
              <w:rPr>
                <w:rFonts w:hint="default" w:ascii="Times New Roman" w:hAnsi="Times New Roman" w:eastAsia="宋体" w:cs="Times New Roman"/>
                <w:color w:val="auto"/>
                <w:kern w:val="0"/>
                <w:sz w:val="24"/>
              </w:rPr>
            </w:pPr>
          </w:p>
          <w:p w14:paraId="49157AAE">
            <w:pPr>
              <w:keepNext w:val="0"/>
              <w:keepLines w:val="0"/>
              <w:suppressLineNumbers w:val="0"/>
              <w:autoSpaceDE w:val="0"/>
              <w:autoSpaceDN w:val="0"/>
              <w:adjustRightInd w:val="0"/>
              <w:snapToGrid w:val="0"/>
              <w:spacing w:before="0" w:beforeAutospacing="0" w:after="0" w:afterAutospacing="0" w:line="360" w:lineRule="auto"/>
              <w:ind w:left="0" w:right="0" w:firstLine="480" w:firstLineChars="200"/>
              <w:jc w:val="left"/>
              <w:rPr>
                <w:rFonts w:hint="default" w:ascii="Times New Roman" w:hAnsi="Times New Roman" w:eastAsia="宋体" w:cs="Times New Roman"/>
                <w:color w:val="auto"/>
                <w:kern w:val="0"/>
                <w:sz w:val="24"/>
              </w:rPr>
            </w:pPr>
          </w:p>
          <w:p w14:paraId="55F46590">
            <w:pPr>
              <w:keepNext w:val="0"/>
              <w:keepLines w:val="0"/>
              <w:suppressLineNumbers w:val="0"/>
              <w:autoSpaceDE w:val="0"/>
              <w:autoSpaceDN w:val="0"/>
              <w:adjustRightInd w:val="0"/>
              <w:snapToGrid w:val="0"/>
              <w:spacing w:before="0" w:beforeAutospacing="0" w:after="0" w:afterAutospacing="0" w:line="360" w:lineRule="auto"/>
              <w:ind w:left="0" w:right="0" w:firstLine="480" w:firstLineChars="200"/>
              <w:jc w:val="left"/>
              <w:rPr>
                <w:rFonts w:hint="default" w:ascii="Times New Roman" w:hAnsi="Times New Roman" w:eastAsia="宋体" w:cs="Times New Roman"/>
                <w:color w:val="auto"/>
                <w:kern w:val="0"/>
                <w:sz w:val="24"/>
              </w:rPr>
            </w:pPr>
          </w:p>
          <w:p w14:paraId="4C87681A">
            <w:pPr>
              <w:keepNext w:val="0"/>
              <w:keepLines w:val="0"/>
              <w:suppressLineNumbers w:val="0"/>
              <w:autoSpaceDE w:val="0"/>
              <w:autoSpaceDN w:val="0"/>
              <w:adjustRightInd w:val="0"/>
              <w:snapToGrid w:val="0"/>
              <w:spacing w:before="0" w:beforeAutospacing="0" w:after="0" w:afterAutospacing="0" w:line="360" w:lineRule="auto"/>
              <w:ind w:left="0" w:right="0" w:firstLine="480" w:firstLineChars="200"/>
              <w:jc w:val="left"/>
              <w:rPr>
                <w:rFonts w:hint="default" w:ascii="Times New Roman" w:hAnsi="Times New Roman" w:eastAsia="宋体" w:cs="Times New Roman"/>
                <w:color w:val="auto"/>
                <w:kern w:val="0"/>
                <w:sz w:val="24"/>
              </w:rPr>
            </w:pPr>
          </w:p>
          <w:p w14:paraId="054D7DF4">
            <w:pPr>
              <w:keepNext w:val="0"/>
              <w:keepLines w:val="0"/>
              <w:suppressLineNumbers w:val="0"/>
              <w:autoSpaceDE w:val="0"/>
              <w:autoSpaceDN w:val="0"/>
              <w:adjustRightInd w:val="0"/>
              <w:snapToGrid w:val="0"/>
              <w:spacing w:before="0" w:beforeAutospacing="0" w:after="0" w:afterAutospacing="0" w:line="360" w:lineRule="auto"/>
              <w:ind w:left="0" w:right="0" w:firstLine="480" w:firstLineChars="200"/>
              <w:jc w:val="left"/>
              <w:rPr>
                <w:rFonts w:hint="default" w:ascii="Times New Roman" w:hAnsi="Times New Roman" w:eastAsia="宋体" w:cs="Times New Roman"/>
                <w:color w:val="auto"/>
                <w:kern w:val="0"/>
                <w:sz w:val="24"/>
              </w:rPr>
            </w:pPr>
          </w:p>
          <w:p w14:paraId="47E3E48A">
            <w:pPr>
              <w:keepNext w:val="0"/>
              <w:keepLines w:val="0"/>
              <w:suppressLineNumbers w:val="0"/>
              <w:autoSpaceDE w:val="0"/>
              <w:autoSpaceDN w:val="0"/>
              <w:adjustRightInd w:val="0"/>
              <w:snapToGrid w:val="0"/>
              <w:spacing w:before="0" w:beforeAutospacing="0" w:after="0" w:afterAutospacing="0" w:line="360" w:lineRule="auto"/>
              <w:ind w:left="0" w:right="0" w:firstLine="480" w:firstLineChars="200"/>
              <w:jc w:val="left"/>
              <w:rPr>
                <w:rFonts w:hint="default" w:ascii="Times New Roman" w:hAnsi="Times New Roman" w:eastAsia="宋体" w:cs="Times New Roman"/>
                <w:color w:val="auto"/>
                <w:kern w:val="0"/>
                <w:sz w:val="24"/>
                <w:lang w:val="en-US" w:eastAsia="zh-CN"/>
              </w:rPr>
            </w:pPr>
          </w:p>
        </w:tc>
      </w:tr>
    </w:tbl>
    <w:p w14:paraId="43292720">
      <w:pPr>
        <w:numPr>
          <w:ilvl w:val="0"/>
          <w:numId w:val="0"/>
        </w:numPr>
        <w:ind w:leftChars="0"/>
        <w:rPr>
          <w:rFonts w:hint="default" w:ascii="Times New Roman" w:hAnsi="Times New Roman" w:eastAsia="宋体" w:cs="Times New Roman"/>
          <w:color w:val="auto"/>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7"/>
        <w:gridCol w:w="13717"/>
      </w:tblGrid>
      <w:tr w14:paraId="39E7E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7" w:hRule="atLeast"/>
        </w:trPr>
        <w:tc>
          <w:tcPr>
            <w:tcW w:w="416" w:type="dxa"/>
            <w:vAlign w:val="center"/>
          </w:tcPr>
          <w:p w14:paraId="116AED1C">
            <w:pPr>
              <w:keepNext w:val="0"/>
              <w:keepLines w:val="0"/>
              <w:numPr>
                <w:ilvl w:val="0"/>
                <w:numId w:val="0"/>
              </w:numPr>
              <w:suppressLineNumbers w:val="0"/>
              <w:spacing w:before="0" w:beforeAutospacing="0" w:after="0" w:afterAutospacing="0"/>
              <w:ind w:left="0" w:right="0"/>
              <w:jc w:val="center"/>
              <w:rPr>
                <w:rFonts w:hint="default" w:ascii="Times New Roman" w:hAnsi="Times New Roman" w:eastAsia="宋体" w:cs="Times New Roman"/>
                <w:b/>
                <w:bCs/>
                <w:color w:val="auto"/>
                <w:vertAlign w:val="baseline"/>
                <w:lang w:val="en-US" w:eastAsia="zh-CN"/>
              </w:rPr>
            </w:pPr>
            <w:r>
              <w:rPr>
                <w:rFonts w:hint="default" w:ascii="Times New Roman" w:hAnsi="Times New Roman" w:eastAsia="宋体" w:cs="Times New Roman"/>
                <w:b/>
                <w:bCs/>
                <w:color w:val="auto"/>
                <w:vertAlign w:val="baseline"/>
                <w:lang w:val="en-US" w:eastAsia="zh-CN"/>
              </w:rPr>
              <w:t>运营期环境影响和保护措施</w:t>
            </w:r>
          </w:p>
        </w:tc>
        <w:tc>
          <w:tcPr>
            <w:tcW w:w="13758" w:type="dxa"/>
          </w:tcPr>
          <w:p w14:paraId="1A446262">
            <w:pPr>
              <w:keepNext w:val="0"/>
              <w:keepLines w:val="0"/>
              <w:numPr>
                <w:ilvl w:val="0"/>
                <w:numId w:val="10"/>
              </w:numPr>
              <w:suppressLineNumbers w:val="0"/>
              <w:bidi w:val="0"/>
              <w:spacing w:before="0" w:beforeAutospacing="0" w:after="0" w:afterAutospacing="0"/>
              <w:ind w:left="0" w:right="0"/>
              <w:rPr>
                <w:rFonts w:hint="default" w:ascii="Times New Roman" w:hAnsi="Times New Roman" w:eastAsia="宋体" w:cs="Times New Roman"/>
                <w:b/>
                <w:bCs/>
                <w:color w:val="auto"/>
                <w:lang w:val="en-US" w:eastAsia="zh-CN"/>
              </w:rPr>
            </w:pPr>
            <w:r>
              <w:rPr>
                <w:rFonts w:hint="default" w:ascii="Times New Roman" w:hAnsi="Times New Roman" w:eastAsia="宋体" w:cs="Times New Roman"/>
                <w:b/>
                <w:bCs/>
                <w:color w:val="auto"/>
                <w:lang w:val="en-US" w:eastAsia="zh-CN"/>
              </w:rPr>
              <w:t>废气</w:t>
            </w:r>
          </w:p>
          <w:p w14:paraId="2EE07D48">
            <w:pPr>
              <w:keepNext w:val="0"/>
              <w:keepLines w:val="0"/>
              <w:pageBreakBefore w:val="0"/>
              <w:widowControl w:val="0"/>
              <w:numPr>
                <w:ilvl w:val="1"/>
                <w:numId w:val="10"/>
              </w:numPr>
              <w:suppressLineNumbers w:val="0"/>
              <w:kinsoku/>
              <w:wordWrap/>
              <w:overflowPunct/>
              <w:topLinePunct w:val="0"/>
              <w:autoSpaceDE/>
              <w:autoSpaceDN/>
              <w:bidi w:val="0"/>
              <w:adjustRightInd/>
              <w:snapToGrid/>
              <w:spacing w:before="0" w:beforeAutospacing="0" w:after="0" w:afterAutospacing="0"/>
              <w:ind w:right="0" w:firstLine="482" w:firstLineChars="200"/>
              <w:textAlignment w:val="auto"/>
              <w:rPr>
                <w:rFonts w:hint="default" w:ascii="Times New Roman" w:hAnsi="Times New Roman" w:eastAsia="宋体" w:cs="Times New Roman"/>
                <w:b/>
                <w:bCs/>
                <w:color w:val="auto"/>
                <w:lang w:val="en-US" w:eastAsia="zh-CN"/>
              </w:rPr>
            </w:pPr>
            <w:r>
              <w:rPr>
                <w:rFonts w:hint="default" w:ascii="Times New Roman" w:hAnsi="Times New Roman" w:eastAsia="宋体" w:cs="Times New Roman"/>
                <w:b/>
                <w:bCs/>
                <w:color w:val="auto"/>
                <w:lang w:val="en-US" w:eastAsia="zh-CN"/>
              </w:rPr>
              <w:t>废气产生环节及源强分析</w:t>
            </w:r>
          </w:p>
          <w:p w14:paraId="778BAE85">
            <w:pPr>
              <w:keepNext w:val="0"/>
              <w:keepLines w:val="0"/>
              <w:widowControl/>
              <w:suppressLineNumbers w:val="0"/>
              <w:adjustRightInd w:val="0"/>
              <w:snapToGrid w:val="0"/>
              <w:spacing w:before="0" w:beforeAutospacing="0" w:after="0" w:afterAutospacing="0" w:line="360" w:lineRule="auto"/>
              <w:ind w:left="0" w:right="0" w:firstLine="480" w:firstLineChars="200"/>
              <w:jc w:val="left"/>
              <w:rPr>
                <w:rFonts w:hint="default" w:ascii="Times New Roman" w:hAnsi="Times New Roman" w:eastAsia="宋体" w:cs="Times New Roman"/>
                <w:color w:val="auto"/>
                <w:kern w:val="0"/>
                <w:sz w:val="24"/>
                <w:szCs w:val="20"/>
              </w:rPr>
            </w:pPr>
            <w:r>
              <w:rPr>
                <w:rFonts w:hint="eastAsia" w:cs="Times New Roman"/>
                <w:color w:val="auto"/>
                <w:kern w:val="0"/>
                <w:sz w:val="24"/>
                <w:szCs w:val="20"/>
                <w:lang w:eastAsia="zh-CN"/>
              </w:rPr>
              <w:t>拟建</w:t>
            </w:r>
            <w:r>
              <w:rPr>
                <w:rFonts w:hint="default" w:ascii="Times New Roman" w:hAnsi="Times New Roman" w:eastAsia="宋体" w:cs="Times New Roman"/>
                <w:color w:val="auto"/>
                <w:kern w:val="0"/>
                <w:sz w:val="24"/>
                <w:szCs w:val="20"/>
                <w:lang w:eastAsia="zh-CN"/>
              </w:rPr>
              <w:t>项目</w:t>
            </w:r>
            <w:r>
              <w:rPr>
                <w:rFonts w:hint="default" w:ascii="Times New Roman" w:hAnsi="Times New Roman" w:eastAsia="宋体" w:cs="Times New Roman"/>
                <w:snapToGrid w:val="0"/>
                <w:color w:val="auto"/>
                <w:kern w:val="0"/>
                <w:sz w:val="24"/>
              </w:rPr>
              <w:t>废气污染源源强核算结果及相关参数</w:t>
            </w:r>
            <w:r>
              <w:rPr>
                <w:rFonts w:hint="default" w:ascii="Times New Roman" w:hAnsi="Times New Roman" w:eastAsia="宋体" w:cs="Times New Roman"/>
                <w:color w:val="auto"/>
                <w:kern w:val="0"/>
                <w:sz w:val="24"/>
                <w:szCs w:val="20"/>
              </w:rPr>
              <w:t>见表4.1-1，有组织废气源强核算结果及相关参数见表4.1-2，无组织废气源强核算结果及相关参数见表4.1-3，废气</w:t>
            </w:r>
            <w:r>
              <w:rPr>
                <w:rFonts w:hint="default" w:ascii="Times New Roman" w:hAnsi="Times New Roman" w:eastAsia="宋体" w:cs="Times New Roman"/>
                <w:color w:val="auto"/>
                <w:sz w:val="24"/>
              </w:rPr>
              <w:t>收集、治理措施及排放情况</w:t>
            </w:r>
            <w:r>
              <w:rPr>
                <w:rFonts w:hint="default" w:ascii="Times New Roman" w:hAnsi="Times New Roman" w:eastAsia="宋体" w:cs="Times New Roman"/>
                <w:color w:val="auto"/>
                <w:kern w:val="0"/>
                <w:sz w:val="24"/>
                <w:szCs w:val="20"/>
              </w:rPr>
              <w:t>见表4.1-4，废气排放口基本情况见表4.1-5。</w:t>
            </w:r>
          </w:p>
          <w:p w14:paraId="793228A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lang w:val="en-US" w:eastAsia="zh-CN"/>
              </w:rPr>
            </w:pPr>
            <w:r>
              <w:rPr>
                <w:rFonts w:hint="default" w:ascii="Times New Roman" w:hAnsi="Times New Roman" w:eastAsia="宋体" w:cs="Times New Roman"/>
                <w:b/>
                <w:bCs/>
                <w:color w:val="auto"/>
                <w:lang w:val="en-US" w:eastAsia="zh-CN"/>
              </w:rPr>
              <w:t xml:space="preserve">表4.1-1  </w:t>
            </w:r>
            <w:r>
              <w:rPr>
                <w:rFonts w:hint="eastAsia" w:cs="Times New Roman"/>
                <w:b/>
                <w:bCs/>
                <w:color w:val="auto"/>
                <w:lang w:val="en-US" w:eastAsia="zh-CN"/>
              </w:rPr>
              <w:t>拟建</w:t>
            </w:r>
            <w:r>
              <w:rPr>
                <w:rFonts w:hint="default" w:ascii="Times New Roman" w:hAnsi="Times New Roman" w:eastAsia="宋体" w:cs="Times New Roman"/>
                <w:b/>
                <w:bCs/>
                <w:color w:val="auto"/>
                <w:lang w:val="en-US" w:eastAsia="zh-CN"/>
              </w:rPr>
              <w:t>项目废气污染源源强核算结果及相关参数一览表</w:t>
            </w:r>
          </w:p>
          <w:tbl>
            <w:tblPr>
              <w:tblStyle w:val="27"/>
              <w:tblW w:w="4998" w:type="pct"/>
              <w:tblInd w:w="0" w:type="dxa"/>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shd w:val="clear" w:color="auto" w:fill="auto"/>
              <w:tblLayout w:type="autofit"/>
              <w:tblCellMar>
                <w:top w:w="0" w:type="dxa"/>
                <w:left w:w="108" w:type="dxa"/>
                <w:bottom w:w="0" w:type="dxa"/>
                <w:right w:w="108" w:type="dxa"/>
              </w:tblCellMar>
            </w:tblPr>
            <w:tblGrid>
              <w:gridCol w:w="853"/>
              <w:gridCol w:w="805"/>
              <w:gridCol w:w="905"/>
              <w:gridCol w:w="1032"/>
              <w:gridCol w:w="937"/>
              <w:gridCol w:w="1148"/>
              <w:gridCol w:w="810"/>
              <w:gridCol w:w="899"/>
              <w:gridCol w:w="1013"/>
              <w:gridCol w:w="808"/>
              <w:gridCol w:w="856"/>
              <w:gridCol w:w="953"/>
              <w:gridCol w:w="856"/>
              <w:gridCol w:w="932"/>
              <w:gridCol w:w="689"/>
            </w:tblGrid>
            <w:tr w14:paraId="7F31B9CE">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shd w:val="clear" w:color="auto" w:fill="auto"/>
                <w:tblCellMar>
                  <w:top w:w="0" w:type="dxa"/>
                  <w:left w:w="108" w:type="dxa"/>
                  <w:bottom w:w="0" w:type="dxa"/>
                  <w:right w:w="108" w:type="dxa"/>
                </w:tblCellMar>
              </w:tblPrEx>
              <w:trPr>
                <w:trHeight w:val="90" w:hRule="atLeast"/>
              </w:trPr>
              <w:tc>
                <w:tcPr>
                  <w:tcW w:w="316" w:type="pct"/>
                  <w:vMerge w:val="restart"/>
                  <w:tcBorders>
                    <w:tl2br w:val="nil"/>
                    <w:tr2bl w:val="nil"/>
                  </w:tcBorders>
                  <w:shd w:val="clear" w:color="auto" w:fill="auto"/>
                  <w:vAlign w:val="center"/>
                </w:tcPr>
                <w:p w14:paraId="6074180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kern w:val="0"/>
                      <w:sz w:val="18"/>
                      <w:szCs w:val="18"/>
                      <w:lang w:val="en-US" w:eastAsia="zh-CN"/>
                    </w:rPr>
                  </w:pPr>
                  <w:r>
                    <w:rPr>
                      <w:rFonts w:hint="default" w:ascii="Times New Roman" w:hAnsi="Times New Roman" w:eastAsia="宋体" w:cs="Times New Roman"/>
                      <w:b/>
                      <w:bCs/>
                      <w:color w:val="auto"/>
                      <w:kern w:val="0"/>
                      <w:sz w:val="18"/>
                      <w:szCs w:val="18"/>
                      <w:lang w:val="en-US" w:eastAsia="zh-CN" w:bidi="ar"/>
                    </w:rPr>
                    <w:t>工序/生产线</w:t>
                  </w:r>
                </w:p>
              </w:tc>
              <w:tc>
                <w:tcPr>
                  <w:tcW w:w="298" w:type="pct"/>
                  <w:vMerge w:val="restart"/>
                  <w:tcBorders>
                    <w:tl2br w:val="nil"/>
                    <w:tr2bl w:val="nil"/>
                  </w:tcBorders>
                  <w:shd w:val="clear" w:color="auto" w:fill="auto"/>
                  <w:vAlign w:val="center"/>
                </w:tcPr>
                <w:p w14:paraId="2332625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kern w:val="0"/>
                      <w:sz w:val="18"/>
                      <w:szCs w:val="18"/>
                      <w:lang w:val="en-US"/>
                    </w:rPr>
                  </w:pPr>
                  <w:r>
                    <w:rPr>
                      <w:rFonts w:hint="default" w:ascii="Times New Roman" w:hAnsi="Times New Roman" w:eastAsia="宋体" w:cs="Times New Roman"/>
                      <w:b/>
                      <w:bCs/>
                      <w:color w:val="auto"/>
                      <w:kern w:val="0"/>
                      <w:sz w:val="18"/>
                      <w:szCs w:val="18"/>
                      <w:lang w:val="en-US" w:eastAsia="zh-CN" w:bidi="ar"/>
                    </w:rPr>
                    <w:t>污染源</w:t>
                  </w:r>
                </w:p>
              </w:tc>
              <w:tc>
                <w:tcPr>
                  <w:tcW w:w="335" w:type="pct"/>
                  <w:vMerge w:val="restart"/>
                  <w:tcBorders>
                    <w:tl2br w:val="nil"/>
                    <w:tr2bl w:val="nil"/>
                  </w:tcBorders>
                  <w:shd w:val="clear" w:color="auto" w:fill="auto"/>
                  <w:vAlign w:val="center"/>
                </w:tcPr>
                <w:p w14:paraId="32BB14E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kern w:val="0"/>
                      <w:sz w:val="18"/>
                      <w:szCs w:val="18"/>
                      <w:lang w:val="en-US"/>
                    </w:rPr>
                  </w:pPr>
                  <w:r>
                    <w:rPr>
                      <w:rFonts w:hint="default" w:ascii="Times New Roman" w:hAnsi="Times New Roman" w:eastAsia="宋体" w:cs="Times New Roman"/>
                      <w:b/>
                      <w:bCs/>
                      <w:color w:val="auto"/>
                      <w:kern w:val="0"/>
                      <w:sz w:val="18"/>
                      <w:szCs w:val="18"/>
                      <w:lang w:val="en-US" w:eastAsia="zh-CN" w:bidi="ar"/>
                    </w:rPr>
                    <w:t>污染物</w:t>
                  </w:r>
                </w:p>
              </w:tc>
              <w:tc>
                <w:tcPr>
                  <w:tcW w:w="1787" w:type="pct"/>
                  <w:gridSpan w:val="5"/>
                  <w:tcBorders>
                    <w:tl2br w:val="nil"/>
                    <w:tr2bl w:val="nil"/>
                  </w:tcBorders>
                  <w:shd w:val="clear" w:color="auto" w:fill="auto"/>
                  <w:vAlign w:val="center"/>
                </w:tcPr>
                <w:p w14:paraId="7E7413E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kern w:val="0"/>
                      <w:sz w:val="18"/>
                      <w:szCs w:val="18"/>
                      <w:lang w:val="en-US"/>
                    </w:rPr>
                  </w:pPr>
                  <w:r>
                    <w:rPr>
                      <w:rFonts w:hint="default" w:ascii="Times New Roman" w:hAnsi="Times New Roman" w:eastAsia="宋体" w:cs="Times New Roman"/>
                      <w:b/>
                      <w:bCs/>
                      <w:color w:val="auto"/>
                      <w:kern w:val="0"/>
                      <w:sz w:val="18"/>
                      <w:szCs w:val="18"/>
                      <w:lang w:val="en-US" w:eastAsia="zh-CN" w:bidi="ar"/>
                    </w:rPr>
                    <w:t>污染物产生</w:t>
                  </w:r>
                </w:p>
              </w:tc>
              <w:tc>
                <w:tcPr>
                  <w:tcW w:w="674" w:type="pct"/>
                  <w:gridSpan w:val="2"/>
                  <w:tcBorders>
                    <w:tl2br w:val="nil"/>
                    <w:tr2bl w:val="nil"/>
                  </w:tcBorders>
                  <w:shd w:val="clear" w:color="auto" w:fill="auto"/>
                  <w:vAlign w:val="center"/>
                </w:tcPr>
                <w:p w14:paraId="248A83C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kern w:val="0"/>
                      <w:sz w:val="18"/>
                      <w:szCs w:val="18"/>
                      <w:lang w:val="en-US"/>
                    </w:rPr>
                  </w:pPr>
                  <w:r>
                    <w:rPr>
                      <w:rFonts w:hint="default" w:ascii="Times New Roman" w:hAnsi="Times New Roman" w:eastAsia="宋体" w:cs="Times New Roman"/>
                      <w:b/>
                      <w:bCs/>
                      <w:color w:val="auto"/>
                      <w:kern w:val="0"/>
                      <w:sz w:val="18"/>
                      <w:szCs w:val="18"/>
                      <w:lang w:val="en-US" w:eastAsia="zh-CN" w:bidi="ar"/>
                    </w:rPr>
                    <w:t>治理措施</w:t>
                  </w:r>
                </w:p>
              </w:tc>
              <w:tc>
                <w:tcPr>
                  <w:tcW w:w="1332" w:type="pct"/>
                  <w:gridSpan w:val="4"/>
                  <w:tcBorders>
                    <w:tl2br w:val="nil"/>
                    <w:tr2bl w:val="nil"/>
                  </w:tcBorders>
                  <w:shd w:val="clear" w:color="auto" w:fill="auto"/>
                  <w:vAlign w:val="center"/>
                </w:tcPr>
                <w:p w14:paraId="318E3B5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kern w:val="0"/>
                      <w:sz w:val="18"/>
                      <w:szCs w:val="18"/>
                      <w:lang w:val="en-US" w:eastAsia="zh-CN" w:bidi="ar"/>
                    </w:rPr>
                  </w:pPr>
                  <w:r>
                    <w:rPr>
                      <w:rFonts w:hint="default" w:ascii="Times New Roman" w:hAnsi="Times New Roman" w:eastAsia="宋体" w:cs="Times New Roman"/>
                      <w:b/>
                      <w:bCs/>
                      <w:color w:val="auto"/>
                      <w:kern w:val="0"/>
                      <w:sz w:val="18"/>
                      <w:szCs w:val="18"/>
                      <w:lang w:val="en-US" w:eastAsia="zh-CN" w:bidi="ar"/>
                    </w:rPr>
                    <w:t>污染物排放</w:t>
                  </w:r>
                </w:p>
              </w:tc>
              <w:tc>
                <w:tcPr>
                  <w:tcW w:w="255" w:type="pct"/>
                  <w:vMerge w:val="restart"/>
                  <w:tcBorders>
                    <w:tl2br w:val="nil"/>
                    <w:tr2bl w:val="nil"/>
                  </w:tcBorders>
                  <w:shd w:val="clear" w:color="auto" w:fill="auto"/>
                  <w:vAlign w:val="center"/>
                </w:tcPr>
                <w:p w14:paraId="242A1F1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kern w:val="0"/>
                      <w:sz w:val="18"/>
                      <w:szCs w:val="18"/>
                      <w:lang w:val="en-US"/>
                    </w:rPr>
                  </w:pPr>
                  <w:r>
                    <w:rPr>
                      <w:rFonts w:hint="default" w:ascii="Times New Roman" w:hAnsi="Times New Roman" w:eastAsia="宋体" w:cs="Times New Roman"/>
                      <w:b/>
                      <w:bCs/>
                      <w:color w:val="auto"/>
                      <w:kern w:val="0"/>
                      <w:sz w:val="18"/>
                      <w:szCs w:val="18"/>
                      <w:lang w:val="en-US" w:eastAsia="zh-CN" w:bidi="ar"/>
                    </w:rPr>
                    <w:t>排放时间(h)</w:t>
                  </w:r>
                </w:p>
              </w:tc>
            </w:tr>
            <w:tr w14:paraId="7D1F183B">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40" w:hRule="atLeast"/>
              </w:trPr>
              <w:tc>
                <w:tcPr>
                  <w:tcW w:w="316" w:type="pct"/>
                  <w:vMerge w:val="continue"/>
                  <w:tcBorders>
                    <w:tl2br w:val="nil"/>
                    <w:tr2bl w:val="nil"/>
                  </w:tcBorders>
                  <w:shd w:val="clear" w:color="auto" w:fill="auto"/>
                  <w:vAlign w:val="center"/>
                </w:tcPr>
                <w:p w14:paraId="75989FF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rPr>
                  </w:pPr>
                </w:p>
              </w:tc>
              <w:tc>
                <w:tcPr>
                  <w:tcW w:w="298" w:type="pct"/>
                  <w:vMerge w:val="continue"/>
                  <w:tcBorders>
                    <w:tl2br w:val="nil"/>
                    <w:tr2bl w:val="nil"/>
                  </w:tcBorders>
                  <w:shd w:val="clear" w:color="auto" w:fill="auto"/>
                  <w:vAlign w:val="center"/>
                </w:tcPr>
                <w:p w14:paraId="686FA81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rPr>
                  </w:pPr>
                </w:p>
              </w:tc>
              <w:tc>
                <w:tcPr>
                  <w:tcW w:w="335" w:type="pct"/>
                  <w:vMerge w:val="continue"/>
                  <w:tcBorders>
                    <w:tl2br w:val="nil"/>
                    <w:tr2bl w:val="nil"/>
                  </w:tcBorders>
                  <w:shd w:val="clear" w:color="auto" w:fill="auto"/>
                  <w:vAlign w:val="center"/>
                </w:tcPr>
                <w:p w14:paraId="49A326E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rPr>
                  </w:pPr>
                </w:p>
              </w:tc>
              <w:tc>
                <w:tcPr>
                  <w:tcW w:w="382" w:type="pct"/>
                  <w:vMerge w:val="restart"/>
                  <w:tcBorders>
                    <w:tl2br w:val="nil"/>
                    <w:tr2bl w:val="nil"/>
                  </w:tcBorders>
                  <w:shd w:val="clear" w:color="auto" w:fill="auto"/>
                  <w:vAlign w:val="center"/>
                </w:tcPr>
                <w:p w14:paraId="5B954EB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kern w:val="0"/>
                      <w:sz w:val="18"/>
                      <w:szCs w:val="18"/>
                      <w:lang w:val="en-US"/>
                    </w:rPr>
                  </w:pPr>
                  <w:r>
                    <w:rPr>
                      <w:rFonts w:hint="default" w:ascii="Times New Roman" w:hAnsi="Times New Roman" w:eastAsia="宋体" w:cs="Times New Roman"/>
                      <w:b/>
                      <w:bCs/>
                      <w:color w:val="auto"/>
                      <w:kern w:val="0"/>
                      <w:sz w:val="18"/>
                      <w:szCs w:val="18"/>
                      <w:lang w:val="en-US" w:eastAsia="zh-CN" w:bidi="ar"/>
                    </w:rPr>
                    <w:t>核算方法</w:t>
                  </w:r>
                </w:p>
              </w:tc>
              <w:tc>
                <w:tcPr>
                  <w:tcW w:w="347" w:type="pct"/>
                  <w:vMerge w:val="restart"/>
                  <w:tcBorders>
                    <w:tl2br w:val="nil"/>
                    <w:tr2bl w:val="nil"/>
                  </w:tcBorders>
                  <w:shd w:val="clear" w:color="auto" w:fill="auto"/>
                  <w:vAlign w:val="center"/>
                </w:tcPr>
                <w:p w14:paraId="0CCB345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kern w:val="0"/>
                      <w:sz w:val="18"/>
                      <w:szCs w:val="18"/>
                      <w:lang w:val="en-US"/>
                    </w:rPr>
                  </w:pPr>
                  <w:r>
                    <w:rPr>
                      <w:rFonts w:hint="default" w:ascii="Times New Roman" w:hAnsi="Times New Roman" w:eastAsia="宋体" w:cs="Times New Roman"/>
                      <w:b/>
                      <w:bCs/>
                      <w:color w:val="auto"/>
                      <w:kern w:val="0"/>
                      <w:sz w:val="18"/>
                      <w:szCs w:val="18"/>
                      <w:lang w:val="en-US" w:eastAsia="zh-CN" w:bidi="ar"/>
                    </w:rPr>
                    <w:t>废气产生量(m</w:t>
                  </w:r>
                  <w:r>
                    <w:rPr>
                      <w:rFonts w:hint="default" w:ascii="Times New Roman" w:hAnsi="Times New Roman" w:eastAsia="宋体" w:cs="Times New Roman"/>
                      <w:b/>
                      <w:bCs/>
                      <w:color w:val="auto"/>
                      <w:kern w:val="0"/>
                      <w:sz w:val="18"/>
                      <w:szCs w:val="18"/>
                      <w:vertAlign w:val="superscript"/>
                      <w:lang w:val="en-US" w:eastAsia="zh-CN" w:bidi="ar"/>
                    </w:rPr>
                    <w:t>3</w:t>
                  </w:r>
                  <w:r>
                    <w:rPr>
                      <w:rFonts w:hint="default" w:ascii="Times New Roman" w:hAnsi="Times New Roman" w:eastAsia="宋体" w:cs="Times New Roman"/>
                      <w:b/>
                      <w:bCs/>
                      <w:color w:val="auto"/>
                      <w:kern w:val="0"/>
                      <w:sz w:val="18"/>
                      <w:szCs w:val="18"/>
                      <w:lang w:val="en-US" w:eastAsia="zh-CN" w:bidi="ar"/>
                    </w:rPr>
                    <w:t>/h)</w:t>
                  </w:r>
                </w:p>
              </w:tc>
              <w:tc>
                <w:tcPr>
                  <w:tcW w:w="425" w:type="pct"/>
                  <w:vMerge w:val="restart"/>
                  <w:tcBorders>
                    <w:tl2br w:val="nil"/>
                    <w:tr2bl w:val="nil"/>
                  </w:tcBorders>
                  <w:shd w:val="clear" w:color="auto" w:fill="auto"/>
                  <w:vAlign w:val="center"/>
                </w:tcPr>
                <w:p w14:paraId="2C0A0E4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kern w:val="0"/>
                      <w:sz w:val="18"/>
                      <w:szCs w:val="18"/>
                      <w:lang w:val="en-US"/>
                    </w:rPr>
                  </w:pPr>
                  <w:r>
                    <w:rPr>
                      <w:rFonts w:hint="default" w:ascii="Times New Roman" w:hAnsi="Times New Roman" w:eastAsia="宋体" w:cs="Times New Roman"/>
                      <w:b/>
                      <w:bCs/>
                      <w:color w:val="auto"/>
                      <w:kern w:val="0"/>
                      <w:sz w:val="18"/>
                      <w:szCs w:val="18"/>
                      <w:lang w:val="en-US" w:eastAsia="zh-CN" w:bidi="ar"/>
                    </w:rPr>
                    <w:t>产生浓度(mg/m</w:t>
                  </w:r>
                  <w:r>
                    <w:rPr>
                      <w:rFonts w:hint="default" w:ascii="Times New Roman" w:hAnsi="Times New Roman" w:eastAsia="宋体" w:cs="Times New Roman"/>
                      <w:b/>
                      <w:bCs/>
                      <w:color w:val="auto"/>
                      <w:kern w:val="0"/>
                      <w:sz w:val="18"/>
                      <w:szCs w:val="18"/>
                      <w:vertAlign w:val="superscript"/>
                      <w:lang w:val="en-US" w:eastAsia="zh-CN" w:bidi="ar"/>
                    </w:rPr>
                    <w:t>3</w:t>
                  </w:r>
                  <w:r>
                    <w:rPr>
                      <w:rFonts w:hint="default" w:ascii="Times New Roman" w:hAnsi="Times New Roman" w:eastAsia="宋体" w:cs="Times New Roman"/>
                      <w:b/>
                      <w:bCs/>
                      <w:color w:val="auto"/>
                      <w:kern w:val="0"/>
                      <w:sz w:val="18"/>
                      <w:szCs w:val="18"/>
                      <w:vertAlign w:val="baseline"/>
                      <w:lang w:val="en-US" w:eastAsia="zh-CN" w:bidi="ar"/>
                    </w:rPr>
                    <w:t>)</w:t>
                  </w:r>
                </w:p>
              </w:tc>
              <w:tc>
                <w:tcPr>
                  <w:tcW w:w="633" w:type="pct"/>
                  <w:gridSpan w:val="2"/>
                  <w:tcBorders>
                    <w:tl2br w:val="nil"/>
                    <w:tr2bl w:val="nil"/>
                  </w:tcBorders>
                  <w:shd w:val="clear" w:color="auto" w:fill="auto"/>
                  <w:vAlign w:val="center"/>
                </w:tcPr>
                <w:p w14:paraId="375BD13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kern w:val="0"/>
                      <w:sz w:val="18"/>
                      <w:szCs w:val="18"/>
                      <w:lang w:val="en-US"/>
                    </w:rPr>
                  </w:pPr>
                  <w:r>
                    <w:rPr>
                      <w:rFonts w:hint="default" w:ascii="Times New Roman" w:hAnsi="Times New Roman" w:eastAsia="宋体" w:cs="Times New Roman"/>
                      <w:b/>
                      <w:bCs/>
                      <w:color w:val="auto"/>
                      <w:kern w:val="0"/>
                      <w:sz w:val="18"/>
                      <w:szCs w:val="18"/>
                      <w:lang w:val="en-US" w:eastAsia="zh-CN" w:bidi="ar"/>
                    </w:rPr>
                    <w:t>产生量</w:t>
                  </w:r>
                </w:p>
              </w:tc>
              <w:tc>
                <w:tcPr>
                  <w:tcW w:w="375" w:type="pct"/>
                  <w:vMerge w:val="restart"/>
                  <w:tcBorders>
                    <w:tl2br w:val="nil"/>
                    <w:tr2bl w:val="nil"/>
                  </w:tcBorders>
                  <w:shd w:val="clear" w:color="auto" w:fill="auto"/>
                  <w:vAlign w:val="center"/>
                </w:tcPr>
                <w:p w14:paraId="37413A3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kern w:val="0"/>
                      <w:sz w:val="18"/>
                      <w:szCs w:val="18"/>
                      <w:lang w:val="en-US"/>
                    </w:rPr>
                  </w:pPr>
                  <w:r>
                    <w:rPr>
                      <w:rFonts w:hint="default" w:ascii="Times New Roman" w:hAnsi="Times New Roman" w:eastAsia="宋体" w:cs="Times New Roman"/>
                      <w:b/>
                      <w:bCs/>
                      <w:color w:val="auto"/>
                      <w:kern w:val="0"/>
                      <w:sz w:val="18"/>
                      <w:szCs w:val="18"/>
                      <w:lang w:val="en-US" w:eastAsia="zh-CN" w:bidi="ar"/>
                    </w:rPr>
                    <w:t>治理措施</w:t>
                  </w:r>
                </w:p>
              </w:tc>
              <w:tc>
                <w:tcPr>
                  <w:tcW w:w="299" w:type="pct"/>
                  <w:vMerge w:val="restart"/>
                  <w:tcBorders>
                    <w:tl2br w:val="nil"/>
                    <w:tr2bl w:val="nil"/>
                  </w:tcBorders>
                  <w:shd w:val="clear" w:color="auto" w:fill="auto"/>
                  <w:vAlign w:val="center"/>
                </w:tcPr>
                <w:p w14:paraId="431FA36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kern w:val="0"/>
                      <w:sz w:val="18"/>
                      <w:szCs w:val="18"/>
                      <w:lang w:val="en-US"/>
                    </w:rPr>
                  </w:pPr>
                  <w:r>
                    <w:rPr>
                      <w:rFonts w:hint="default" w:ascii="Times New Roman" w:hAnsi="Times New Roman" w:eastAsia="宋体" w:cs="Times New Roman"/>
                      <w:b/>
                      <w:bCs/>
                      <w:color w:val="auto"/>
                      <w:kern w:val="0"/>
                      <w:sz w:val="18"/>
                      <w:szCs w:val="18"/>
                      <w:lang w:val="en-US" w:eastAsia="zh-CN" w:bidi="ar"/>
                    </w:rPr>
                    <w:t>治理效率</w:t>
                  </w:r>
                </w:p>
              </w:tc>
              <w:tc>
                <w:tcPr>
                  <w:tcW w:w="317" w:type="pct"/>
                  <w:vMerge w:val="restart"/>
                  <w:tcBorders>
                    <w:tl2br w:val="nil"/>
                    <w:tr2bl w:val="nil"/>
                  </w:tcBorders>
                  <w:shd w:val="clear" w:color="auto" w:fill="auto"/>
                  <w:vAlign w:val="center"/>
                </w:tcPr>
                <w:p w14:paraId="6DC8997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kern w:val="0"/>
                      <w:sz w:val="18"/>
                      <w:szCs w:val="18"/>
                      <w:lang w:val="en-US"/>
                    </w:rPr>
                  </w:pPr>
                  <w:r>
                    <w:rPr>
                      <w:rFonts w:hint="default" w:ascii="Times New Roman" w:hAnsi="Times New Roman" w:eastAsia="宋体" w:cs="Times New Roman"/>
                      <w:b/>
                      <w:bCs/>
                      <w:color w:val="auto"/>
                      <w:kern w:val="0"/>
                      <w:sz w:val="18"/>
                      <w:szCs w:val="18"/>
                      <w:lang w:val="en-US" w:eastAsia="zh-CN" w:bidi="ar"/>
                    </w:rPr>
                    <w:t>废气排放量(m</w:t>
                  </w:r>
                  <w:r>
                    <w:rPr>
                      <w:rFonts w:hint="default" w:ascii="Times New Roman" w:hAnsi="Times New Roman" w:eastAsia="宋体" w:cs="Times New Roman"/>
                      <w:b/>
                      <w:bCs/>
                      <w:color w:val="auto"/>
                      <w:kern w:val="0"/>
                      <w:sz w:val="18"/>
                      <w:szCs w:val="18"/>
                      <w:vertAlign w:val="superscript"/>
                      <w:lang w:val="en-US" w:eastAsia="zh-CN" w:bidi="ar"/>
                    </w:rPr>
                    <w:t>3</w:t>
                  </w:r>
                  <w:r>
                    <w:rPr>
                      <w:rFonts w:hint="default" w:ascii="Times New Roman" w:hAnsi="Times New Roman" w:eastAsia="宋体" w:cs="Times New Roman"/>
                      <w:b/>
                      <w:bCs/>
                      <w:color w:val="auto"/>
                      <w:kern w:val="0"/>
                      <w:sz w:val="18"/>
                      <w:szCs w:val="18"/>
                      <w:lang w:val="en-US" w:eastAsia="zh-CN" w:bidi="ar"/>
                    </w:rPr>
                    <w:t>/h)</w:t>
                  </w:r>
                </w:p>
              </w:tc>
              <w:tc>
                <w:tcPr>
                  <w:tcW w:w="353" w:type="pct"/>
                  <w:vMerge w:val="restart"/>
                  <w:tcBorders>
                    <w:tl2br w:val="nil"/>
                    <w:tr2bl w:val="nil"/>
                  </w:tcBorders>
                  <w:shd w:val="clear" w:color="auto" w:fill="auto"/>
                  <w:vAlign w:val="center"/>
                </w:tcPr>
                <w:p w14:paraId="19BFFC6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kern w:val="0"/>
                      <w:sz w:val="18"/>
                      <w:szCs w:val="18"/>
                      <w:lang w:val="en-US"/>
                    </w:rPr>
                  </w:pPr>
                  <w:r>
                    <w:rPr>
                      <w:rFonts w:hint="default" w:ascii="Times New Roman" w:hAnsi="Times New Roman" w:eastAsia="宋体" w:cs="Times New Roman"/>
                      <w:b/>
                      <w:bCs/>
                      <w:color w:val="auto"/>
                      <w:kern w:val="0"/>
                      <w:sz w:val="18"/>
                      <w:szCs w:val="18"/>
                      <w:lang w:val="en-US" w:eastAsia="zh-CN" w:bidi="ar"/>
                    </w:rPr>
                    <w:t>排放浓度(mg/m</w:t>
                  </w:r>
                  <w:r>
                    <w:rPr>
                      <w:rFonts w:hint="default" w:ascii="Times New Roman" w:hAnsi="Times New Roman" w:eastAsia="宋体" w:cs="Times New Roman"/>
                      <w:b/>
                      <w:bCs/>
                      <w:color w:val="auto"/>
                      <w:kern w:val="0"/>
                      <w:sz w:val="18"/>
                      <w:szCs w:val="18"/>
                      <w:vertAlign w:val="superscript"/>
                      <w:lang w:val="en-US" w:eastAsia="zh-CN" w:bidi="ar"/>
                    </w:rPr>
                    <w:t>3</w:t>
                  </w:r>
                  <w:r>
                    <w:rPr>
                      <w:rFonts w:hint="default" w:ascii="Times New Roman" w:hAnsi="Times New Roman" w:eastAsia="宋体" w:cs="Times New Roman"/>
                      <w:b/>
                      <w:bCs/>
                      <w:color w:val="auto"/>
                      <w:kern w:val="0"/>
                      <w:sz w:val="18"/>
                      <w:szCs w:val="18"/>
                      <w:vertAlign w:val="baseline"/>
                      <w:lang w:val="en-US" w:eastAsia="zh-CN" w:bidi="ar"/>
                    </w:rPr>
                    <w:t>)</w:t>
                  </w:r>
                </w:p>
              </w:tc>
              <w:tc>
                <w:tcPr>
                  <w:tcW w:w="662" w:type="pct"/>
                  <w:gridSpan w:val="2"/>
                  <w:tcBorders>
                    <w:tl2br w:val="nil"/>
                    <w:tr2bl w:val="nil"/>
                  </w:tcBorders>
                  <w:shd w:val="clear" w:color="auto" w:fill="auto"/>
                  <w:vAlign w:val="center"/>
                </w:tcPr>
                <w:p w14:paraId="47E808D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kern w:val="0"/>
                      <w:sz w:val="18"/>
                      <w:szCs w:val="18"/>
                      <w:lang w:val="en-US"/>
                    </w:rPr>
                  </w:pPr>
                  <w:r>
                    <w:rPr>
                      <w:rFonts w:hint="default" w:ascii="Times New Roman" w:hAnsi="Times New Roman" w:eastAsia="宋体" w:cs="Times New Roman"/>
                      <w:b/>
                      <w:bCs/>
                      <w:color w:val="auto"/>
                      <w:kern w:val="0"/>
                      <w:sz w:val="18"/>
                      <w:szCs w:val="18"/>
                      <w:lang w:val="en-US" w:eastAsia="zh-CN" w:bidi="ar"/>
                    </w:rPr>
                    <w:t>排放量</w:t>
                  </w:r>
                </w:p>
              </w:tc>
              <w:tc>
                <w:tcPr>
                  <w:tcW w:w="255" w:type="pct"/>
                  <w:vMerge w:val="continue"/>
                  <w:tcBorders>
                    <w:tl2br w:val="nil"/>
                    <w:tr2bl w:val="nil"/>
                  </w:tcBorders>
                  <w:shd w:val="clear" w:color="auto" w:fill="auto"/>
                  <w:vAlign w:val="center"/>
                </w:tcPr>
                <w:p w14:paraId="38CBFDD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rPr>
                  </w:pPr>
                </w:p>
              </w:tc>
            </w:tr>
            <w:tr w14:paraId="743A294E">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40" w:hRule="atLeast"/>
              </w:trPr>
              <w:tc>
                <w:tcPr>
                  <w:tcW w:w="316" w:type="pct"/>
                  <w:vMerge w:val="continue"/>
                  <w:tcBorders>
                    <w:tl2br w:val="nil"/>
                    <w:tr2bl w:val="nil"/>
                  </w:tcBorders>
                  <w:shd w:val="clear" w:color="auto" w:fill="auto"/>
                  <w:vAlign w:val="center"/>
                </w:tcPr>
                <w:p w14:paraId="1879E31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rPr>
                  </w:pPr>
                </w:p>
              </w:tc>
              <w:tc>
                <w:tcPr>
                  <w:tcW w:w="298" w:type="pct"/>
                  <w:vMerge w:val="continue"/>
                  <w:tcBorders>
                    <w:tl2br w:val="nil"/>
                    <w:tr2bl w:val="nil"/>
                  </w:tcBorders>
                  <w:shd w:val="clear" w:color="auto" w:fill="auto"/>
                  <w:vAlign w:val="center"/>
                </w:tcPr>
                <w:p w14:paraId="4E1A698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rPr>
                  </w:pPr>
                </w:p>
              </w:tc>
              <w:tc>
                <w:tcPr>
                  <w:tcW w:w="335" w:type="pct"/>
                  <w:vMerge w:val="continue"/>
                  <w:tcBorders>
                    <w:tl2br w:val="nil"/>
                    <w:tr2bl w:val="nil"/>
                  </w:tcBorders>
                  <w:shd w:val="clear" w:color="auto" w:fill="auto"/>
                  <w:vAlign w:val="center"/>
                </w:tcPr>
                <w:p w14:paraId="6B3505C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rPr>
                  </w:pPr>
                </w:p>
              </w:tc>
              <w:tc>
                <w:tcPr>
                  <w:tcW w:w="382" w:type="pct"/>
                  <w:vMerge w:val="continue"/>
                  <w:tcBorders>
                    <w:tl2br w:val="nil"/>
                    <w:tr2bl w:val="nil"/>
                  </w:tcBorders>
                  <w:shd w:val="clear" w:color="auto" w:fill="auto"/>
                  <w:vAlign w:val="center"/>
                </w:tcPr>
                <w:p w14:paraId="0F74A97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rPr>
                  </w:pPr>
                </w:p>
              </w:tc>
              <w:tc>
                <w:tcPr>
                  <w:tcW w:w="347" w:type="pct"/>
                  <w:vMerge w:val="continue"/>
                  <w:tcBorders>
                    <w:tl2br w:val="nil"/>
                    <w:tr2bl w:val="nil"/>
                  </w:tcBorders>
                  <w:shd w:val="clear" w:color="auto" w:fill="auto"/>
                  <w:vAlign w:val="center"/>
                </w:tcPr>
                <w:p w14:paraId="0BC21FE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rPr>
                  </w:pPr>
                </w:p>
              </w:tc>
              <w:tc>
                <w:tcPr>
                  <w:tcW w:w="425" w:type="pct"/>
                  <w:vMerge w:val="continue"/>
                  <w:tcBorders>
                    <w:tl2br w:val="nil"/>
                    <w:tr2bl w:val="nil"/>
                  </w:tcBorders>
                  <w:shd w:val="clear" w:color="auto" w:fill="auto"/>
                  <w:vAlign w:val="center"/>
                </w:tcPr>
                <w:p w14:paraId="1D0C5BD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rPr>
                  </w:pPr>
                </w:p>
              </w:tc>
              <w:tc>
                <w:tcPr>
                  <w:tcW w:w="300" w:type="pct"/>
                  <w:tcBorders>
                    <w:tl2br w:val="nil"/>
                    <w:tr2bl w:val="nil"/>
                  </w:tcBorders>
                  <w:shd w:val="clear" w:color="auto" w:fill="auto"/>
                  <w:vAlign w:val="center"/>
                </w:tcPr>
                <w:p w14:paraId="0DB4742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kern w:val="0"/>
                      <w:sz w:val="18"/>
                      <w:szCs w:val="18"/>
                      <w:lang w:val="en-US"/>
                    </w:rPr>
                  </w:pPr>
                  <w:r>
                    <w:rPr>
                      <w:rFonts w:hint="default" w:ascii="Times New Roman" w:hAnsi="Times New Roman" w:eastAsia="宋体" w:cs="Times New Roman"/>
                      <w:b/>
                      <w:bCs/>
                      <w:color w:val="auto"/>
                      <w:kern w:val="0"/>
                      <w:sz w:val="18"/>
                      <w:szCs w:val="18"/>
                      <w:lang w:val="en-US" w:eastAsia="zh-CN" w:bidi="ar"/>
                    </w:rPr>
                    <w:t>kg/h</w:t>
                  </w:r>
                </w:p>
              </w:tc>
              <w:tc>
                <w:tcPr>
                  <w:tcW w:w="333" w:type="pct"/>
                  <w:tcBorders>
                    <w:tl2br w:val="nil"/>
                    <w:tr2bl w:val="nil"/>
                  </w:tcBorders>
                  <w:shd w:val="clear" w:color="auto" w:fill="auto"/>
                  <w:vAlign w:val="center"/>
                </w:tcPr>
                <w:p w14:paraId="2E82451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kern w:val="0"/>
                      <w:sz w:val="18"/>
                      <w:szCs w:val="18"/>
                      <w:lang w:val="en-US"/>
                    </w:rPr>
                  </w:pPr>
                  <w:r>
                    <w:rPr>
                      <w:rFonts w:hint="default" w:ascii="Times New Roman" w:hAnsi="Times New Roman" w:eastAsia="宋体" w:cs="Times New Roman"/>
                      <w:b/>
                      <w:bCs/>
                      <w:color w:val="auto"/>
                      <w:kern w:val="0"/>
                      <w:sz w:val="18"/>
                      <w:szCs w:val="18"/>
                      <w:lang w:val="en-US" w:eastAsia="zh-CN" w:bidi="ar"/>
                    </w:rPr>
                    <w:t>t/a</w:t>
                  </w:r>
                </w:p>
              </w:tc>
              <w:tc>
                <w:tcPr>
                  <w:tcW w:w="375" w:type="pct"/>
                  <w:vMerge w:val="continue"/>
                  <w:tcBorders>
                    <w:tl2br w:val="nil"/>
                    <w:tr2bl w:val="nil"/>
                  </w:tcBorders>
                  <w:shd w:val="clear" w:color="auto" w:fill="auto"/>
                  <w:vAlign w:val="center"/>
                </w:tcPr>
                <w:p w14:paraId="538F23F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rPr>
                  </w:pPr>
                </w:p>
              </w:tc>
              <w:tc>
                <w:tcPr>
                  <w:tcW w:w="299" w:type="pct"/>
                  <w:vMerge w:val="continue"/>
                  <w:tcBorders>
                    <w:tl2br w:val="nil"/>
                    <w:tr2bl w:val="nil"/>
                  </w:tcBorders>
                  <w:shd w:val="clear" w:color="auto" w:fill="auto"/>
                  <w:vAlign w:val="center"/>
                </w:tcPr>
                <w:p w14:paraId="48ADE25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rPr>
                  </w:pPr>
                </w:p>
              </w:tc>
              <w:tc>
                <w:tcPr>
                  <w:tcW w:w="317" w:type="pct"/>
                  <w:vMerge w:val="continue"/>
                  <w:tcBorders>
                    <w:tl2br w:val="nil"/>
                    <w:tr2bl w:val="nil"/>
                  </w:tcBorders>
                  <w:shd w:val="clear" w:color="auto" w:fill="auto"/>
                  <w:vAlign w:val="center"/>
                </w:tcPr>
                <w:p w14:paraId="0901C24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rPr>
                  </w:pPr>
                </w:p>
              </w:tc>
              <w:tc>
                <w:tcPr>
                  <w:tcW w:w="353" w:type="pct"/>
                  <w:vMerge w:val="continue"/>
                  <w:tcBorders>
                    <w:tl2br w:val="nil"/>
                    <w:tr2bl w:val="nil"/>
                  </w:tcBorders>
                  <w:shd w:val="clear" w:color="auto" w:fill="auto"/>
                  <w:vAlign w:val="center"/>
                </w:tcPr>
                <w:p w14:paraId="2E7FA86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rPr>
                  </w:pPr>
                </w:p>
              </w:tc>
              <w:tc>
                <w:tcPr>
                  <w:tcW w:w="317" w:type="pct"/>
                  <w:tcBorders>
                    <w:tl2br w:val="nil"/>
                    <w:tr2bl w:val="nil"/>
                  </w:tcBorders>
                  <w:shd w:val="clear" w:color="auto" w:fill="auto"/>
                  <w:vAlign w:val="center"/>
                </w:tcPr>
                <w:p w14:paraId="3742798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kern w:val="0"/>
                      <w:sz w:val="18"/>
                      <w:szCs w:val="18"/>
                      <w:lang w:val="en-US"/>
                    </w:rPr>
                  </w:pPr>
                  <w:r>
                    <w:rPr>
                      <w:rFonts w:hint="default" w:ascii="Times New Roman" w:hAnsi="Times New Roman" w:eastAsia="宋体" w:cs="Times New Roman"/>
                      <w:b/>
                      <w:bCs/>
                      <w:color w:val="auto"/>
                      <w:kern w:val="0"/>
                      <w:sz w:val="18"/>
                      <w:szCs w:val="18"/>
                      <w:lang w:val="en-US" w:eastAsia="zh-CN" w:bidi="ar"/>
                    </w:rPr>
                    <w:t>kg/h</w:t>
                  </w:r>
                </w:p>
              </w:tc>
              <w:tc>
                <w:tcPr>
                  <w:tcW w:w="345" w:type="pct"/>
                  <w:tcBorders>
                    <w:tl2br w:val="nil"/>
                    <w:tr2bl w:val="nil"/>
                  </w:tcBorders>
                  <w:shd w:val="clear" w:color="auto" w:fill="auto"/>
                  <w:vAlign w:val="center"/>
                </w:tcPr>
                <w:p w14:paraId="01DF5AF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kern w:val="0"/>
                      <w:sz w:val="18"/>
                      <w:szCs w:val="18"/>
                      <w:lang w:val="en-US"/>
                    </w:rPr>
                  </w:pPr>
                  <w:r>
                    <w:rPr>
                      <w:rFonts w:hint="default" w:ascii="Times New Roman" w:hAnsi="Times New Roman" w:eastAsia="宋体" w:cs="Times New Roman"/>
                      <w:b/>
                      <w:bCs/>
                      <w:color w:val="auto"/>
                      <w:kern w:val="0"/>
                      <w:sz w:val="18"/>
                      <w:szCs w:val="18"/>
                      <w:lang w:val="en-US" w:eastAsia="zh-CN" w:bidi="ar"/>
                    </w:rPr>
                    <w:t>t/a</w:t>
                  </w:r>
                </w:p>
              </w:tc>
              <w:tc>
                <w:tcPr>
                  <w:tcW w:w="255" w:type="pct"/>
                  <w:vMerge w:val="continue"/>
                  <w:tcBorders>
                    <w:tl2br w:val="nil"/>
                    <w:tr2bl w:val="nil"/>
                  </w:tcBorders>
                  <w:shd w:val="clear" w:color="auto" w:fill="auto"/>
                  <w:vAlign w:val="center"/>
                </w:tcPr>
                <w:p w14:paraId="5CA4C5E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rPr>
                  </w:pPr>
                </w:p>
              </w:tc>
            </w:tr>
            <w:tr w14:paraId="54657145">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240" w:hRule="atLeast"/>
              </w:trPr>
              <w:tc>
                <w:tcPr>
                  <w:tcW w:w="316" w:type="pct"/>
                  <w:vMerge w:val="restart"/>
                  <w:tcBorders>
                    <w:tl2br w:val="nil"/>
                    <w:tr2bl w:val="nil"/>
                  </w:tcBorders>
                  <w:shd w:val="clear" w:color="auto" w:fill="auto"/>
                  <w:vAlign w:val="center"/>
                </w:tcPr>
                <w:p w14:paraId="2AF0C05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0"/>
                      <w:sz w:val="18"/>
                      <w:szCs w:val="18"/>
                      <w:lang w:val="en-US" w:eastAsia="zh-CN"/>
                    </w:rPr>
                  </w:pPr>
                  <w:r>
                    <w:rPr>
                      <w:rFonts w:hint="default" w:ascii="Times New Roman" w:hAnsi="Times New Roman" w:eastAsia="宋体" w:cs="Times New Roman"/>
                      <w:color w:val="auto"/>
                      <w:kern w:val="0"/>
                      <w:sz w:val="18"/>
                      <w:szCs w:val="18"/>
                      <w:lang w:val="en-US" w:eastAsia="zh-CN"/>
                    </w:rPr>
                    <w:t>配料搅拌</w:t>
                  </w:r>
                  <w:r>
                    <w:rPr>
                      <w:rFonts w:hint="eastAsia" w:cs="Times New Roman"/>
                      <w:color w:val="auto"/>
                      <w:kern w:val="0"/>
                      <w:sz w:val="18"/>
                      <w:szCs w:val="18"/>
                      <w:lang w:val="en-US" w:eastAsia="zh-CN"/>
                    </w:rPr>
                    <w:t>；</w:t>
                  </w:r>
                  <w:r>
                    <w:rPr>
                      <w:rFonts w:hint="default" w:ascii="Times New Roman" w:hAnsi="Times New Roman" w:eastAsia="宋体" w:cs="Times New Roman"/>
                      <w:color w:val="auto"/>
                      <w:kern w:val="0"/>
                      <w:sz w:val="18"/>
                      <w:szCs w:val="18"/>
                      <w:lang w:val="en-US" w:eastAsia="zh-CN"/>
                    </w:rPr>
                    <w:t>平切、立切、切槽</w:t>
                  </w:r>
                </w:p>
              </w:tc>
              <w:tc>
                <w:tcPr>
                  <w:tcW w:w="298" w:type="pct"/>
                  <w:tcBorders>
                    <w:tl2br w:val="nil"/>
                    <w:tr2bl w:val="nil"/>
                  </w:tcBorders>
                  <w:shd w:val="clear" w:color="auto" w:fill="auto"/>
                  <w:vAlign w:val="center"/>
                </w:tcPr>
                <w:p w14:paraId="13D2501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0"/>
                      <w:sz w:val="18"/>
                      <w:szCs w:val="18"/>
                      <w:lang w:val="en-US"/>
                    </w:rPr>
                  </w:pPr>
                  <w:r>
                    <w:rPr>
                      <w:rFonts w:hint="default" w:ascii="Times New Roman" w:hAnsi="Times New Roman" w:eastAsia="宋体" w:cs="Times New Roman"/>
                      <w:color w:val="auto"/>
                      <w:kern w:val="0"/>
                      <w:sz w:val="18"/>
                      <w:szCs w:val="18"/>
                      <w:lang w:val="en-US" w:eastAsia="zh-CN" w:bidi="ar"/>
                    </w:rPr>
                    <w:t>DA001</w:t>
                  </w:r>
                </w:p>
              </w:tc>
              <w:tc>
                <w:tcPr>
                  <w:tcW w:w="335" w:type="pct"/>
                  <w:tcBorders>
                    <w:tl2br w:val="nil"/>
                    <w:tr2bl w:val="nil"/>
                  </w:tcBorders>
                  <w:shd w:val="clear" w:color="auto" w:fill="auto"/>
                  <w:vAlign w:val="center"/>
                </w:tcPr>
                <w:p w14:paraId="31A21C8E">
                  <w:pPr>
                    <w:pStyle w:val="42"/>
                    <w:keepNext w:val="0"/>
                    <w:keepLines w:val="0"/>
                    <w:pageBreakBefore w:val="0"/>
                    <w:suppressLineNumbers w:val="0"/>
                    <w:topLinePunct w:val="0"/>
                    <w:autoSpaceDE/>
                    <w:autoSpaceDN/>
                    <w:bidi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olor w:val="auto"/>
                      <w:kern w:val="0"/>
                      <w:sz w:val="18"/>
                      <w:szCs w:val="18"/>
                      <w:lang w:val="en-US" w:eastAsia="zh-CN"/>
                    </w:rPr>
                  </w:pPr>
                  <w:r>
                    <w:rPr>
                      <w:rFonts w:hint="default" w:ascii="Times New Roman" w:hAnsi="Times New Roman" w:eastAsia="宋体" w:cs="Times New Roman"/>
                      <w:color w:val="auto"/>
                      <w:sz w:val="18"/>
                      <w:szCs w:val="18"/>
                      <w:lang w:eastAsia="zh-CN"/>
                    </w:rPr>
                    <w:t>颗粒物</w:t>
                  </w:r>
                </w:p>
              </w:tc>
              <w:tc>
                <w:tcPr>
                  <w:tcW w:w="382" w:type="pct"/>
                  <w:vMerge w:val="restart"/>
                  <w:tcBorders>
                    <w:tl2br w:val="nil"/>
                    <w:tr2bl w:val="nil"/>
                  </w:tcBorders>
                  <w:shd w:val="clear" w:color="auto" w:fill="auto"/>
                  <w:vAlign w:val="center"/>
                </w:tcPr>
                <w:p w14:paraId="2D356C7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0"/>
                      <w:sz w:val="18"/>
                      <w:szCs w:val="18"/>
                      <w:lang w:val="en-US"/>
                    </w:rPr>
                  </w:pPr>
                  <w:r>
                    <w:rPr>
                      <w:rFonts w:hint="default" w:ascii="Times New Roman" w:hAnsi="Times New Roman" w:eastAsia="宋体" w:cs="Times New Roman"/>
                      <w:color w:val="auto"/>
                      <w:kern w:val="0"/>
                      <w:sz w:val="18"/>
                      <w:szCs w:val="18"/>
                      <w:lang w:val="en-US" w:eastAsia="zh-CN" w:bidi="ar"/>
                    </w:rPr>
                    <w:t>产污系数法</w:t>
                  </w:r>
                  <w:r>
                    <w:rPr>
                      <w:rFonts w:hint="eastAsia" w:cs="Times New Roman"/>
                      <w:color w:val="auto"/>
                      <w:kern w:val="0"/>
                      <w:sz w:val="18"/>
                      <w:szCs w:val="18"/>
                      <w:lang w:val="en-US" w:eastAsia="zh-CN" w:bidi="ar"/>
                    </w:rPr>
                    <w:t>、物料衡算法</w:t>
                  </w:r>
                </w:p>
              </w:tc>
              <w:tc>
                <w:tcPr>
                  <w:tcW w:w="347" w:type="pct"/>
                  <w:tcBorders>
                    <w:tl2br w:val="nil"/>
                    <w:tr2bl w:val="nil"/>
                  </w:tcBorders>
                  <w:shd w:val="clear" w:color="auto" w:fill="auto"/>
                  <w:vAlign w:val="center"/>
                </w:tcPr>
                <w:p w14:paraId="0643724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0"/>
                      <w:sz w:val="18"/>
                      <w:szCs w:val="18"/>
                      <w:lang w:val="en-US" w:eastAsia="zh-CN" w:bidi="ar"/>
                    </w:rPr>
                  </w:pPr>
                  <w:r>
                    <w:rPr>
                      <w:rFonts w:hint="default" w:ascii="Times New Roman" w:hAnsi="Times New Roman" w:eastAsia="宋体" w:cs="Times New Roman"/>
                      <w:color w:val="auto"/>
                      <w:kern w:val="0"/>
                      <w:sz w:val="18"/>
                      <w:szCs w:val="18"/>
                      <w:lang w:val="en-US" w:eastAsia="zh-CN" w:bidi="ar"/>
                    </w:rPr>
                    <w:t>2500</w:t>
                  </w:r>
                </w:p>
              </w:tc>
              <w:tc>
                <w:tcPr>
                  <w:tcW w:w="425" w:type="pct"/>
                  <w:tcBorders>
                    <w:tl2br w:val="nil"/>
                    <w:tr2bl w:val="nil"/>
                  </w:tcBorders>
                  <w:shd w:val="clear" w:color="auto" w:fill="auto"/>
                  <w:vAlign w:val="center"/>
                </w:tcPr>
                <w:p w14:paraId="4329643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0"/>
                      <w:sz w:val="18"/>
                      <w:szCs w:val="18"/>
                      <w:lang w:val="en-US" w:eastAsia="zh-CN" w:bidi="ar"/>
                    </w:rPr>
                  </w:pPr>
                  <w:r>
                    <w:rPr>
                      <w:rFonts w:hint="eastAsia" w:cs="Times New Roman"/>
                      <w:color w:val="auto"/>
                      <w:kern w:val="0"/>
                      <w:sz w:val="18"/>
                      <w:szCs w:val="18"/>
                      <w:lang w:val="en-US" w:eastAsia="zh-CN" w:bidi="ar"/>
                    </w:rPr>
                    <w:t>130.7</w:t>
                  </w:r>
                </w:p>
              </w:tc>
              <w:tc>
                <w:tcPr>
                  <w:tcW w:w="300" w:type="pct"/>
                  <w:tcBorders>
                    <w:tl2br w:val="nil"/>
                    <w:tr2bl w:val="nil"/>
                  </w:tcBorders>
                  <w:shd w:val="clear" w:color="auto" w:fill="auto"/>
                  <w:vAlign w:val="center"/>
                </w:tcPr>
                <w:p w14:paraId="0CBAC50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0"/>
                      <w:sz w:val="18"/>
                      <w:szCs w:val="18"/>
                      <w:lang w:val="en-US" w:eastAsia="zh-CN" w:bidi="ar"/>
                    </w:rPr>
                  </w:pPr>
                  <w:r>
                    <w:rPr>
                      <w:rFonts w:hint="default" w:ascii="Times New Roman" w:hAnsi="Times New Roman" w:eastAsia="宋体" w:cs="Times New Roman"/>
                      <w:color w:val="auto"/>
                      <w:kern w:val="0"/>
                      <w:sz w:val="18"/>
                      <w:szCs w:val="18"/>
                      <w:lang w:val="en-US" w:eastAsia="zh-CN" w:bidi="ar"/>
                    </w:rPr>
                    <w:t>0.3</w:t>
                  </w:r>
                  <w:r>
                    <w:rPr>
                      <w:rFonts w:hint="eastAsia" w:cs="Times New Roman"/>
                      <w:color w:val="auto"/>
                      <w:kern w:val="0"/>
                      <w:sz w:val="18"/>
                      <w:szCs w:val="18"/>
                      <w:lang w:val="en-US" w:eastAsia="zh-CN" w:bidi="ar"/>
                    </w:rPr>
                    <w:t>27</w:t>
                  </w:r>
                </w:p>
              </w:tc>
              <w:tc>
                <w:tcPr>
                  <w:tcW w:w="333" w:type="pct"/>
                  <w:tcBorders>
                    <w:tl2br w:val="nil"/>
                    <w:tr2bl w:val="nil"/>
                  </w:tcBorders>
                  <w:shd w:val="clear" w:color="auto" w:fill="auto"/>
                  <w:vAlign w:val="center"/>
                </w:tcPr>
                <w:p w14:paraId="61B52C7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0"/>
                      <w:sz w:val="18"/>
                      <w:szCs w:val="18"/>
                      <w:lang w:val="en-US" w:eastAsia="zh-CN" w:bidi="ar"/>
                    </w:rPr>
                  </w:pPr>
                  <w:r>
                    <w:rPr>
                      <w:rFonts w:hint="default" w:ascii="Times New Roman" w:hAnsi="Times New Roman" w:eastAsia="宋体" w:cs="Times New Roman"/>
                      <w:color w:val="auto"/>
                      <w:kern w:val="0"/>
                      <w:sz w:val="18"/>
                      <w:szCs w:val="18"/>
                      <w:lang w:val="en-US" w:eastAsia="zh-CN" w:bidi="ar"/>
                    </w:rPr>
                    <w:t>0.7</w:t>
                  </w:r>
                  <w:r>
                    <w:rPr>
                      <w:rFonts w:hint="eastAsia" w:cs="Times New Roman"/>
                      <w:color w:val="auto"/>
                      <w:kern w:val="0"/>
                      <w:sz w:val="18"/>
                      <w:szCs w:val="18"/>
                      <w:lang w:val="en-US" w:eastAsia="zh-CN" w:bidi="ar"/>
                    </w:rPr>
                    <w:t>84</w:t>
                  </w:r>
                </w:p>
              </w:tc>
              <w:tc>
                <w:tcPr>
                  <w:tcW w:w="375" w:type="pct"/>
                  <w:tcBorders>
                    <w:tl2br w:val="nil"/>
                    <w:tr2bl w:val="nil"/>
                  </w:tcBorders>
                  <w:shd w:val="clear" w:color="auto" w:fill="auto"/>
                  <w:vAlign w:val="center"/>
                </w:tcPr>
                <w:p w14:paraId="072E70B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0"/>
                      <w:sz w:val="18"/>
                      <w:szCs w:val="18"/>
                      <w:lang w:val="en-US" w:eastAsia="zh-CN" w:bidi="ar"/>
                    </w:rPr>
                  </w:pPr>
                  <w:r>
                    <w:rPr>
                      <w:rFonts w:hint="default" w:ascii="Times New Roman" w:hAnsi="Times New Roman" w:eastAsia="宋体" w:cs="Times New Roman"/>
                      <w:color w:val="auto"/>
                      <w:kern w:val="0"/>
                      <w:sz w:val="18"/>
                      <w:szCs w:val="18"/>
                      <w:lang w:val="en-US" w:eastAsia="zh-CN" w:bidi="ar"/>
                    </w:rPr>
                    <w:t>袋式除尘器</w:t>
                  </w:r>
                </w:p>
              </w:tc>
              <w:tc>
                <w:tcPr>
                  <w:tcW w:w="299" w:type="pct"/>
                  <w:tcBorders>
                    <w:tl2br w:val="nil"/>
                    <w:tr2bl w:val="nil"/>
                  </w:tcBorders>
                  <w:shd w:val="clear" w:color="auto" w:fill="auto"/>
                  <w:vAlign w:val="center"/>
                </w:tcPr>
                <w:p w14:paraId="43A2AC8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0"/>
                      <w:sz w:val="18"/>
                      <w:szCs w:val="18"/>
                      <w:lang w:val="en-US" w:eastAsia="zh-CN" w:bidi="ar"/>
                    </w:rPr>
                  </w:pPr>
                  <w:r>
                    <w:rPr>
                      <w:rFonts w:hint="default" w:ascii="Times New Roman" w:hAnsi="Times New Roman" w:eastAsia="宋体" w:cs="Times New Roman"/>
                      <w:color w:val="auto"/>
                      <w:kern w:val="0"/>
                      <w:sz w:val="18"/>
                      <w:szCs w:val="18"/>
                      <w:lang w:val="en-US" w:eastAsia="zh-CN" w:bidi="ar"/>
                    </w:rPr>
                    <w:t>9</w:t>
                  </w:r>
                  <w:r>
                    <w:rPr>
                      <w:rFonts w:hint="eastAsia" w:cs="Times New Roman"/>
                      <w:color w:val="auto"/>
                      <w:kern w:val="0"/>
                      <w:sz w:val="18"/>
                      <w:szCs w:val="18"/>
                      <w:lang w:val="en-US" w:eastAsia="zh-CN" w:bidi="ar"/>
                    </w:rPr>
                    <w:t>5</w:t>
                  </w:r>
                  <w:r>
                    <w:rPr>
                      <w:rFonts w:hint="default" w:ascii="Times New Roman" w:hAnsi="Times New Roman" w:eastAsia="宋体" w:cs="Times New Roman"/>
                      <w:color w:val="auto"/>
                      <w:kern w:val="0"/>
                      <w:sz w:val="18"/>
                      <w:szCs w:val="18"/>
                      <w:lang w:val="en-US" w:eastAsia="zh-CN" w:bidi="ar"/>
                    </w:rPr>
                    <w:t>%</w:t>
                  </w:r>
                </w:p>
              </w:tc>
              <w:tc>
                <w:tcPr>
                  <w:tcW w:w="317" w:type="pct"/>
                  <w:tcBorders>
                    <w:tl2br w:val="nil"/>
                    <w:tr2bl w:val="nil"/>
                  </w:tcBorders>
                  <w:shd w:val="clear" w:color="auto" w:fill="auto"/>
                  <w:vAlign w:val="center"/>
                </w:tcPr>
                <w:p w14:paraId="1B6BBD1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0"/>
                      <w:sz w:val="18"/>
                      <w:szCs w:val="18"/>
                      <w:lang w:val="en-US" w:eastAsia="zh-CN" w:bidi="ar"/>
                    </w:rPr>
                  </w:pPr>
                  <w:r>
                    <w:rPr>
                      <w:rFonts w:hint="eastAsia" w:ascii="Times New Roman" w:hAnsi="Times New Roman" w:eastAsia="宋体" w:cs="Times New Roman"/>
                      <w:color w:val="auto"/>
                      <w:kern w:val="0"/>
                      <w:sz w:val="18"/>
                      <w:szCs w:val="18"/>
                      <w:lang w:val="en-US" w:eastAsia="zh-CN" w:bidi="ar"/>
                    </w:rPr>
                    <w:t>2500</w:t>
                  </w:r>
                </w:p>
              </w:tc>
              <w:tc>
                <w:tcPr>
                  <w:tcW w:w="353" w:type="pct"/>
                  <w:tcBorders>
                    <w:tl2br w:val="nil"/>
                    <w:tr2bl w:val="nil"/>
                  </w:tcBorders>
                  <w:shd w:val="clear" w:color="auto" w:fill="auto"/>
                  <w:vAlign w:val="center"/>
                </w:tcPr>
                <w:p w14:paraId="68290BE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0"/>
                      <w:sz w:val="18"/>
                      <w:szCs w:val="18"/>
                      <w:lang w:val="en-US" w:eastAsia="zh-CN" w:bidi="ar"/>
                    </w:rPr>
                  </w:pPr>
                  <w:r>
                    <w:rPr>
                      <w:rFonts w:hint="default" w:ascii="Times New Roman" w:hAnsi="Times New Roman" w:eastAsia="宋体" w:cs="Times New Roman"/>
                      <w:color w:val="auto"/>
                      <w:kern w:val="0"/>
                      <w:sz w:val="18"/>
                      <w:szCs w:val="18"/>
                      <w:lang w:val="en-US" w:eastAsia="zh-CN" w:bidi="ar"/>
                    </w:rPr>
                    <w:t>6.</w:t>
                  </w:r>
                  <w:r>
                    <w:rPr>
                      <w:rFonts w:hint="eastAsia" w:cs="Times New Roman"/>
                      <w:color w:val="auto"/>
                      <w:kern w:val="0"/>
                      <w:sz w:val="18"/>
                      <w:szCs w:val="18"/>
                      <w:lang w:val="en-US" w:eastAsia="zh-CN" w:bidi="ar"/>
                    </w:rPr>
                    <w:t>5</w:t>
                  </w:r>
                </w:p>
              </w:tc>
              <w:tc>
                <w:tcPr>
                  <w:tcW w:w="317" w:type="pct"/>
                  <w:tcBorders>
                    <w:tl2br w:val="nil"/>
                    <w:tr2bl w:val="nil"/>
                  </w:tcBorders>
                  <w:shd w:val="clear" w:color="auto" w:fill="auto"/>
                  <w:vAlign w:val="center"/>
                </w:tcPr>
                <w:p w14:paraId="048CBE5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0"/>
                      <w:sz w:val="18"/>
                      <w:szCs w:val="18"/>
                      <w:lang w:val="en-US" w:eastAsia="zh-CN" w:bidi="ar"/>
                    </w:rPr>
                  </w:pPr>
                  <w:r>
                    <w:rPr>
                      <w:rFonts w:hint="default" w:ascii="Times New Roman" w:hAnsi="Times New Roman" w:eastAsia="宋体" w:cs="Times New Roman"/>
                      <w:color w:val="auto"/>
                      <w:kern w:val="0"/>
                      <w:sz w:val="18"/>
                      <w:szCs w:val="18"/>
                      <w:lang w:val="en-US" w:eastAsia="zh-CN" w:bidi="ar"/>
                    </w:rPr>
                    <w:t>0.01</w:t>
                  </w:r>
                  <w:r>
                    <w:rPr>
                      <w:rFonts w:hint="eastAsia" w:cs="Times New Roman"/>
                      <w:color w:val="auto"/>
                      <w:kern w:val="0"/>
                      <w:sz w:val="18"/>
                      <w:szCs w:val="18"/>
                      <w:lang w:val="en-US" w:eastAsia="zh-CN" w:bidi="ar"/>
                    </w:rPr>
                    <w:t>6</w:t>
                  </w:r>
                </w:p>
              </w:tc>
              <w:tc>
                <w:tcPr>
                  <w:tcW w:w="345" w:type="pct"/>
                  <w:tcBorders>
                    <w:tl2br w:val="nil"/>
                    <w:tr2bl w:val="nil"/>
                  </w:tcBorders>
                  <w:shd w:val="clear" w:color="auto" w:fill="auto"/>
                  <w:vAlign w:val="center"/>
                </w:tcPr>
                <w:p w14:paraId="3C30E23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0"/>
                      <w:sz w:val="18"/>
                      <w:szCs w:val="18"/>
                      <w:lang w:val="en-US" w:eastAsia="zh-CN" w:bidi="ar"/>
                    </w:rPr>
                  </w:pPr>
                  <w:r>
                    <w:rPr>
                      <w:rFonts w:hint="default" w:ascii="Times New Roman" w:hAnsi="Times New Roman" w:eastAsia="宋体" w:cs="Times New Roman"/>
                      <w:color w:val="auto"/>
                      <w:kern w:val="0"/>
                      <w:sz w:val="18"/>
                      <w:szCs w:val="18"/>
                      <w:lang w:val="en-US" w:eastAsia="zh-CN" w:bidi="ar"/>
                    </w:rPr>
                    <w:t>0.03</w:t>
                  </w:r>
                  <w:r>
                    <w:rPr>
                      <w:rFonts w:hint="eastAsia" w:cs="Times New Roman"/>
                      <w:color w:val="auto"/>
                      <w:kern w:val="0"/>
                      <w:sz w:val="18"/>
                      <w:szCs w:val="18"/>
                      <w:lang w:val="en-US" w:eastAsia="zh-CN" w:bidi="ar"/>
                    </w:rPr>
                    <w:t>9</w:t>
                  </w:r>
                </w:p>
              </w:tc>
              <w:tc>
                <w:tcPr>
                  <w:tcW w:w="255" w:type="pct"/>
                  <w:tcBorders>
                    <w:tl2br w:val="nil"/>
                    <w:tr2bl w:val="nil"/>
                  </w:tcBorders>
                  <w:shd w:val="clear" w:color="auto" w:fill="auto"/>
                  <w:vAlign w:val="center"/>
                </w:tcPr>
                <w:p w14:paraId="203C860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0"/>
                      <w:sz w:val="18"/>
                      <w:szCs w:val="18"/>
                      <w:lang w:val="en-US" w:eastAsia="zh-CN"/>
                    </w:rPr>
                  </w:pPr>
                  <w:r>
                    <w:rPr>
                      <w:rFonts w:hint="default" w:ascii="Times New Roman" w:hAnsi="Times New Roman" w:eastAsia="宋体" w:cs="Times New Roman"/>
                      <w:color w:val="auto"/>
                      <w:kern w:val="0"/>
                      <w:sz w:val="18"/>
                      <w:szCs w:val="18"/>
                      <w:lang w:val="en-US" w:eastAsia="zh-CN"/>
                    </w:rPr>
                    <w:t>2400</w:t>
                  </w:r>
                </w:p>
              </w:tc>
            </w:tr>
            <w:tr w14:paraId="3ADC217C">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240" w:hRule="atLeast"/>
              </w:trPr>
              <w:tc>
                <w:tcPr>
                  <w:tcW w:w="316" w:type="pct"/>
                  <w:vMerge w:val="continue"/>
                  <w:tcBorders>
                    <w:tl2br w:val="nil"/>
                    <w:tr2bl w:val="nil"/>
                  </w:tcBorders>
                  <w:shd w:val="clear" w:color="auto" w:fill="auto"/>
                  <w:vAlign w:val="center"/>
                </w:tcPr>
                <w:p w14:paraId="5ECDDE5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0"/>
                      <w:sz w:val="18"/>
                      <w:szCs w:val="18"/>
                      <w:lang w:val="en-US" w:eastAsia="zh-CN"/>
                    </w:rPr>
                  </w:pPr>
                </w:p>
              </w:tc>
              <w:tc>
                <w:tcPr>
                  <w:tcW w:w="298" w:type="pct"/>
                  <w:tcBorders>
                    <w:tl2br w:val="nil"/>
                    <w:tr2bl w:val="nil"/>
                  </w:tcBorders>
                  <w:shd w:val="clear" w:color="auto" w:fill="auto"/>
                  <w:vAlign w:val="center"/>
                </w:tcPr>
                <w:p w14:paraId="5C036F4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0"/>
                      <w:sz w:val="18"/>
                      <w:szCs w:val="18"/>
                      <w:lang w:val="en-US" w:eastAsia="zh-CN" w:bidi="ar"/>
                    </w:rPr>
                  </w:pPr>
                  <w:r>
                    <w:rPr>
                      <w:rFonts w:hint="default" w:ascii="Times New Roman" w:hAnsi="Times New Roman" w:eastAsia="宋体" w:cs="Times New Roman"/>
                      <w:color w:val="auto"/>
                      <w:kern w:val="0"/>
                      <w:sz w:val="18"/>
                      <w:szCs w:val="18"/>
                      <w:lang w:val="en-US" w:eastAsia="zh-CN" w:bidi="ar"/>
                    </w:rPr>
                    <w:t>无组织</w:t>
                  </w:r>
                </w:p>
              </w:tc>
              <w:tc>
                <w:tcPr>
                  <w:tcW w:w="335" w:type="pct"/>
                  <w:tcBorders>
                    <w:tl2br w:val="nil"/>
                    <w:tr2bl w:val="nil"/>
                  </w:tcBorders>
                  <w:shd w:val="clear" w:color="auto" w:fill="auto"/>
                  <w:vAlign w:val="center"/>
                </w:tcPr>
                <w:p w14:paraId="246D7465">
                  <w:pPr>
                    <w:pStyle w:val="42"/>
                    <w:keepNext w:val="0"/>
                    <w:keepLines w:val="0"/>
                    <w:pageBreakBefore w:val="0"/>
                    <w:suppressLineNumbers w:val="0"/>
                    <w:topLinePunct w:val="0"/>
                    <w:autoSpaceDE/>
                    <w:autoSpaceDN/>
                    <w:bidi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olor w:val="auto"/>
                      <w:sz w:val="18"/>
                      <w:szCs w:val="18"/>
                      <w:lang w:eastAsia="zh-CN"/>
                    </w:rPr>
                  </w:pPr>
                  <w:r>
                    <w:rPr>
                      <w:rFonts w:hint="default" w:ascii="Times New Roman" w:hAnsi="Times New Roman" w:eastAsia="宋体" w:cs="Times New Roman"/>
                      <w:color w:val="auto"/>
                      <w:sz w:val="18"/>
                      <w:szCs w:val="18"/>
                      <w:lang w:eastAsia="zh-CN"/>
                    </w:rPr>
                    <w:t>颗粒物</w:t>
                  </w:r>
                </w:p>
              </w:tc>
              <w:tc>
                <w:tcPr>
                  <w:tcW w:w="382" w:type="pct"/>
                  <w:vMerge w:val="continue"/>
                  <w:tcBorders>
                    <w:tl2br w:val="nil"/>
                    <w:tr2bl w:val="nil"/>
                  </w:tcBorders>
                  <w:shd w:val="clear" w:color="auto" w:fill="auto"/>
                  <w:vAlign w:val="center"/>
                </w:tcPr>
                <w:p w14:paraId="068FB3A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0"/>
                      <w:sz w:val="18"/>
                      <w:szCs w:val="18"/>
                      <w:lang w:val="en-US" w:eastAsia="zh-CN" w:bidi="ar"/>
                    </w:rPr>
                  </w:pPr>
                </w:p>
              </w:tc>
              <w:tc>
                <w:tcPr>
                  <w:tcW w:w="347" w:type="pct"/>
                  <w:tcBorders>
                    <w:tl2br w:val="nil"/>
                    <w:tr2bl w:val="nil"/>
                  </w:tcBorders>
                  <w:shd w:val="clear" w:color="auto" w:fill="auto"/>
                  <w:vAlign w:val="center"/>
                </w:tcPr>
                <w:p w14:paraId="6040270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0"/>
                      <w:sz w:val="18"/>
                      <w:szCs w:val="18"/>
                      <w:lang w:val="en-US" w:eastAsia="zh-CN" w:bidi="ar"/>
                    </w:rPr>
                  </w:pPr>
                  <w:r>
                    <w:rPr>
                      <w:rFonts w:hint="default" w:ascii="Times New Roman" w:hAnsi="Times New Roman" w:eastAsia="宋体" w:cs="Times New Roman"/>
                      <w:color w:val="auto"/>
                      <w:kern w:val="0"/>
                      <w:sz w:val="18"/>
                      <w:szCs w:val="18"/>
                      <w:lang w:val="en-US" w:eastAsia="zh-CN" w:bidi="ar"/>
                    </w:rPr>
                    <w:t>/</w:t>
                  </w:r>
                </w:p>
              </w:tc>
              <w:tc>
                <w:tcPr>
                  <w:tcW w:w="425" w:type="pct"/>
                  <w:tcBorders>
                    <w:tl2br w:val="nil"/>
                    <w:tr2bl w:val="nil"/>
                  </w:tcBorders>
                  <w:shd w:val="clear" w:color="auto" w:fill="auto"/>
                  <w:vAlign w:val="center"/>
                </w:tcPr>
                <w:p w14:paraId="2E5B3F2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0"/>
                      <w:sz w:val="18"/>
                      <w:szCs w:val="18"/>
                      <w:lang w:val="en-US" w:eastAsia="zh-CN" w:bidi="ar"/>
                    </w:rPr>
                  </w:pPr>
                  <w:r>
                    <w:rPr>
                      <w:rFonts w:hint="default" w:ascii="Times New Roman" w:hAnsi="Times New Roman" w:eastAsia="宋体" w:cs="Times New Roman"/>
                      <w:color w:val="auto"/>
                      <w:kern w:val="0"/>
                      <w:sz w:val="18"/>
                      <w:szCs w:val="18"/>
                      <w:lang w:val="en-US" w:eastAsia="zh-CN" w:bidi="ar"/>
                    </w:rPr>
                    <w:t>/</w:t>
                  </w:r>
                </w:p>
              </w:tc>
              <w:tc>
                <w:tcPr>
                  <w:tcW w:w="300" w:type="pct"/>
                  <w:tcBorders>
                    <w:tl2br w:val="nil"/>
                    <w:tr2bl w:val="nil"/>
                  </w:tcBorders>
                  <w:shd w:val="clear" w:color="auto" w:fill="auto"/>
                  <w:vAlign w:val="center"/>
                </w:tcPr>
                <w:p w14:paraId="6F78F76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0"/>
                      <w:sz w:val="18"/>
                      <w:szCs w:val="18"/>
                      <w:lang w:val="en-US" w:eastAsia="zh-CN" w:bidi="ar"/>
                    </w:rPr>
                  </w:pPr>
                  <w:r>
                    <w:rPr>
                      <w:rFonts w:hint="default" w:ascii="Times New Roman" w:hAnsi="Times New Roman" w:eastAsia="宋体" w:cs="Times New Roman"/>
                      <w:color w:val="auto"/>
                      <w:kern w:val="0"/>
                      <w:sz w:val="18"/>
                      <w:szCs w:val="18"/>
                      <w:lang w:val="en-US" w:eastAsia="zh-CN" w:bidi="ar"/>
                    </w:rPr>
                    <w:t>0.0</w:t>
                  </w:r>
                  <w:r>
                    <w:rPr>
                      <w:rFonts w:hint="eastAsia" w:cs="Times New Roman"/>
                      <w:color w:val="auto"/>
                      <w:kern w:val="0"/>
                      <w:sz w:val="18"/>
                      <w:szCs w:val="18"/>
                      <w:lang w:val="en-US" w:eastAsia="zh-CN" w:bidi="ar"/>
                    </w:rPr>
                    <w:t>17</w:t>
                  </w:r>
                </w:p>
              </w:tc>
              <w:tc>
                <w:tcPr>
                  <w:tcW w:w="333" w:type="pct"/>
                  <w:tcBorders>
                    <w:tl2br w:val="nil"/>
                    <w:tr2bl w:val="nil"/>
                  </w:tcBorders>
                  <w:shd w:val="clear" w:color="auto" w:fill="auto"/>
                  <w:vAlign w:val="center"/>
                </w:tcPr>
                <w:p w14:paraId="596A112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0"/>
                      <w:sz w:val="18"/>
                      <w:szCs w:val="18"/>
                      <w:lang w:val="en-US" w:eastAsia="zh-CN" w:bidi="ar"/>
                    </w:rPr>
                  </w:pPr>
                  <w:r>
                    <w:rPr>
                      <w:rFonts w:hint="default" w:ascii="Times New Roman" w:hAnsi="Times New Roman" w:eastAsia="宋体" w:cs="Times New Roman"/>
                      <w:color w:val="auto"/>
                      <w:kern w:val="0"/>
                      <w:sz w:val="18"/>
                      <w:szCs w:val="18"/>
                      <w:lang w:val="en-US" w:eastAsia="zh-CN" w:bidi="ar"/>
                    </w:rPr>
                    <w:t>0.0</w:t>
                  </w:r>
                  <w:r>
                    <w:rPr>
                      <w:rFonts w:hint="eastAsia" w:cs="Times New Roman"/>
                      <w:color w:val="auto"/>
                      <w:kern w:val="0"/>
                      <w:sz w:val="18"/>
                      <w:szCs w:val="18"/>
                      <w:lang w:val="en-US" w:eastAsia="zh-CN" w:bidi="ar"/>
                    </w:rPr>
                    <w:t>41</w:t>
                  </w:r>
                </w:p>
              </w:tc>
              <w:tc>
                <w:tcPr>
                  <w:tcW w:w="375" w:type="pct"/>
                  <w:tcBorders>
                    <w:tl2br w:val="nil"/>
                    <w:tr2bl w:val="nil"/>
                  </w:tcBorders>
                  <w:shd w:val="clear" w:color="auto" w:fill="auto"/>
                  <w:vAlign w:val="center"/>
                </w:tcPr>
                <w:p w14:paraId="476797D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0"/>
                      <w:sz w:val="18"/>
                      <w:szCs w:val="18"/>
                      <w:lang w:val="en-US" w:eastAsia="zh-CN" w:bidi="ar"/>
                    </w:rPr>
                  </w:pPr>
                  <w:r>
                    <w:rPr>
                      <w:rFonts w:hint="eastAsia" w:ascii="Times New Roman" w:hAnsi="Times New Roman" w:eastAsia="宋体" w:cs="Times New Roman"/>
                      <w:color w:val="auto"/>
                      <w:kern w:val="0"/>
                      <w:sz w:val="18"/>
                      <w:szCs w:val="18"/>
                      <w:lang w:val="en-US" w:eastAsia="zh-CN" w:bidi="ar"/>
                    </w:rPr>
                    <w:t>/</w:t>
                  </w:r>
                </w:p>
              </w:tc>
              <w:tc>
                <w:tcPr>
                  <w:tcW w:w="299" w:type="pct"/>
                  <w:tcBorders>
                    <w:tl2br w:val="nil"/>
                    <w:tr2bl w:val="nil"/>
                  </w:tcBorders>
                  <w:shd w:val="clear" w:color="auto" w:fill="auto"/>
                  <w:vAlign w:val="center"/>
                </w:tcPr>
                <w:p w14:paraId="7B5FA48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0"/>
                      <w:sz w:val="18"/>
                      <w:szCs w:val="18"/>
                      <w:lang w:val="en-US" w:eastAsia="zh-CN" w:bidi="ar"/>
                    </w:rPr>
                  </w:pPr>
                  <w:r>
                    <w:rPr>
                      <w:rFonts w:hint="eastAsia" w:cs="Times New Roman"/>
                      <w:color w:val="auto"/>
                      <w:kern w:val="0"/>
                      <w:sz w:val="18"/>
                      <w:szCs w:val="18"/>
                      <w:lang w:val="en-US" w:eastAsia="zh-CN" w:bidi="ar"/>
                    </w:rPr>
                    <w:t>0%</w:t>
                  </w:r>
                </w:p>
              </w:tc>
              <w:tc>
                <w:tcPr>
                  <w:tcW w:w="317" w:type="pct"/>
                  <w:tcBorders>
                    <w:tl2br w:val="nil"/>
                    <w:tr2bl w:val="nil"/>
                  </w:tcBorders>
                  <w:shd w:val="clear" w:color="auto" w:fill="auto"/>
                  <w:vAlign w:val="center"/>
                </w:tcPr>
                <w:p w14:paraId="13E6E41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0"/>
                      <w:sz w:val="18"/>
                      <w:szCs w:val="18"/>
                      <w:lang w:val="en-US" w:eastAsia="zh-CN" w:bidi="ar"/>
                    </w:rPr>
                  </w:pPr>
                  <w:r>
                    <w:rPr>
                      <w:rFonts w:hint="eastAsia" w:ascii="Times New Roman" w:hAnsi="Times New Roman" w:eastAsia="宋体" w:cs="Times New Roman"/>
                      <w:color w:val="auto"/>
                      <w:kern w:val="0"/>
                      <w:sz w:val="18"/>
                      <w:szCs w:val="18"/>
                      <w:lang w:val="en-US" w:eastAsia="zh-CN" w:bidi="ar"/>
                    </w:rPr>
                    <w:t>/</w:t>
                  </w:r>
                </w:p>
              </w:tc>
              <w:tc>
                <w:tcPr>
                  <w:tcW w:w="353" w:type="pct"/>
                  <w:tcBorders>
                    <w:tl2br w:val="nil"/>
                    <w:tr2bl w:val="nil"/>
                  </w:tcBorders>
                  <w:shd w:val="clear" w:color="auto" w:fill="auto"/>
                  <w:vAlign w:val="center"/>
                </w:tcPr>
                <w:p w14:paraId="03C41FD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0"/>
                      <w:sz w:val="18"/>
                      <w:szCs w:val="18"/>
                      <w:lang w:val="en-US" w:eastAsia="zh-CN" w:bidi="ar"/>
                    </w:rPr>
                  </w:pPr>
                  <w:r>
                    <w:rPr>
                      <w:rFonts w:hint="eastAsia" w:ascii="Times New Roman" w:hAnsi="Times New Roman" w:eastAsia="宋体" w:cs="Times New Roman"/>
                      <w:color w:val="auto"/>
                      <w:kern w:val="0"/>
                      <w:sz w:val="18"/>
                      <w:szCs w:val="18"/>
                      <w:lang w:val="en-US" w:eastAsia="zh-CN" w:bidi="ar"/>
                    </w:rPr>
                    <w:t>/</w:t>
                  </w:r>
                </w:p>
              </w:tc>
              <w:tc>
                <w:tcPr>
                  <w:tcW w:w="856" w:type="dxa"/>
                  <w:tcBorders>
                    <w:tl2br w:val="nil"/>
                    <w:tr2bl w:val="nil"/>
                  </w:tcBorders>
                  <w:shd w:val="clear" w:color="auto" w:fill="auto"/>
                  <w:vAlign w:val="center"/>
                </w:tcPr>
                <w:p w14:paraId="3214BEB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0"/>
                      <w:sz w:val="18"/>
                      <w:szCs w:val="18"/>
                      <w:lang w:val="en-US" w:eastAsia="zh-CN" w:bidi="ar"/>
                    </w:rPr>
                  </w:pPr>
                  <w:r>
                    <w:rPr>
                      <w:rFonts w:hint="default" w:ascii="Times New Roman" w:hAnsi="Times New Roman" w:eastAsia="宋体" w:cs="Times New Roman"/>
                      <w:color w:val="auto"/>
                      <w:kern w:val="0"/>
                      <w:sz w:val="18"/>
                      <w:szCs w:val="18"/>
                      <w:lang w:val="en-US" w:eastAsia="zh-CN" w:bidi="ar"/>
                    </w:rPr>
                    <w:t>0.0</w:t>
                  </w:r>
                  <w:r>
                    <w:rPr>
                      <w:rFonts w:hint="eastAsia" w:cs="Times New Roman"/>
                      <w:color w:val="auto"/>
                      <w:kern w:val="0"/>
                      <w:sz w:val="18"/>
                      <w:szCs w:val="18"/>
                      <w:lang w:val="en-US" w:eastAsia="zh-CN" w:bidi="ar"/>
                    </w:rPr>
                    <w:t>17</w:t>
                  </w:r>
                </w:p>
              </w:tc>
              <w:tc>
                <w:tcPr>
                  <w:tcW w:w="932" w:type="dxa"/>
                  <w:tcBorders>
                    <w:tl2br w:val="nil"/>
                    <w:tr2bl w:val="nil"/>
                  </w:tcBorders>
                  <w:shd w:val="clear" w:color="auto" w:fill="auto"/>
                  <w:vAlign w:val="center"/>
                </w:tcPr>
                <w:p w14:paraId="1F675CF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0"/>
                      <w:sz w:val="18"/>
                      <w:szCs w:val="18"/>
                      <w:lang w:val="en-US" w:eastAsia="zh-CN" w:bidi="ar"/>
                    </w:rPr>
                  </w:pPr>
                  <w:r>
                    <w:rPr>
                      <w:rFonts w:hint="default" w:ascii="Times New Roman" w:hAnsi="Times New Roman" w:eastAsia="宋体" w:cs="Times New Roman"/>
                      <w:color w:val="auto"/>
                      <w:kern w:val="0"/>
                      <w:sz w:val="18"/>
                      <w:szCs w:val="18"/>
                      <w:lang w:val="en-US" w:eastAsia="zh-CN" w:bidi="ar"/>
                    </w:rPr>
                    <w:t>0.0</w:t>
                  </w:r>
                  <w:r>
                    <w:rPr>
                      <w:rFonts w:hint="eastAsia" w:cs="Times New Roman"/>
                      <w:color w:val="auto"/>
                      <w:kern w:val="0"/>
                      <w:sz w:val="18"/>
                      <w:szCs w:val="18"/>
                      <w:lang w:val="en-US" w:eastAsia="zh-CN" w:bidi="ar"/>
                    </w:rPr>
                    <w:t>41</w:t>
                  </w:r>
                </w:p>
              </w:tc>
              <w:tc>
                <w:tcPr>
                  <w:tcW w:w="255" w:type="pct"/>
                  <w:tcBorders>
                    <w:top w:val="single" w:color="auto" w:sz="4" w:space="0"/>
                    <w:tl2br w:val="nil"/>
                    <w:tr2bl w:val="nil"/>
                  </w:tcBorders>
                  <w:shd w:val="clear" w:color="auto" w:fill="auto"/>
                  <w:vAlign w:val="center"/>
                </w:tcPr>
                <w:p w14:paraId="45DDD84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0"/>
                      <w:sz w:val="18"/>
                      <w:szCs w:val="18"/>
                      <w:lang w:val="en-US" w:eastAsia="zh-CN"/>
                    </w:rPr>
                  </w:pPr>
                  <w:r>
                    <w:rPr>
                      <w:rFonts w:hint="default" w:ascii="Times New Roman" w:hAnsi="Times New Roman" w:eastAsia="宋体" w:cs="Times New Roman"/>
                      <w:color w:val="auto"/>
                      <w:kern w:val="0"/>
                      <w:sz w:val="18"/>
                      <w:szCs w:val="18"/>
                      <w:lang w:val="en-US" w:eastAsia="zh-CN"/>
                    </w:rPr>
                    <w:t>2400</w:t>
                  </w:r>
                </w:p>
              </w:tc>
            </w:tr>
          </w:tbl>
          <w:p w14:paraId="00D93053">
            <w:pPr>
              <w:keepNext w:val="0"/>
              <w:keepLines w:val="0"/>
              <w:pageBreakBefore w:val="0"/>
              <w:widowControl w:val="0"/>
              <w:suppressLineNumbers w:val="0"/>
              <w:kinsoku/>
              <w:wordWrap/>
              <w:overflowPunct/>
              <w:topLinePunct w:val="0"/>
              <w:autoSpaceDE/>
              <w:autoSpaceDN/>
              <w:bidi w:val="0"/>
              <w:adjustRightInd/>
              <w:snapToGrid/>
              <w:spacing w:before="157" w:beforeLines="5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lang w:val="en-US" w:eastAsia="zh-CN"/>
              </w:rPr>
            </w:pPr>
            <w:r>
              <w:rPr>
                <w:rFonts w:hint="default" w:ascii="Times New Roman" w:hAnsi="Times New Roman" w:eastAsia="宋体" w:cs="Times New Roman"/>
                <w:b/>
                <w:bCs/>
                <w:color w:val="auto"/>
                <w:lang w:val="en-US" w:eastAsia="zh-CN"/>
              </w:rPr>
              <w:t xml:space="preserve">表4.1-2  </w:t>
            </w:r>
            <w:r>
              <w:rPr>
                <w:rFonts w:hint="eastAsia" w:cs="Times New Roman"/>
                <w:b/>
                <w:bCs/>
                <w:color w:val="auto"/>
                <w:lang w:val="en-US" w:eastAsia="zh-CN"/>
              </w:rPr>
              <w:t>拟建</w:t>
            </w:r>
            <w:r>
              <w:rPr>
                <w:rFonts w:hint="default" w:ascii="Times New Roman" w:hAnsi="Times New Roman" w:eastAsia="宋体" w:cs="Times New Roman"/>
                <w:b/>
                <w:bCs/>
                <w:color w:val="auto"/>
                <w:lang w:val="en-US" w:eastAsia="zh-CN"/>
              </w:rPr>
              <w:t>项目</w:t>
            </w:r>
            <w:r>
              <w:rPr>
                <w:rFonts w:hint="eastAsia" w:cs="Times New Roman"/>
                <w:b/>
                <w:bCs/>
                <w:color w:val="auto"/>
                <w:lang w:val="en-US" w:eastAsia="zh-CN"/>
              </w:rPr>
              <w:t>有组织</w:t>
            </w:r>
            <w:r>
              <w:rPr>
                <w:rFonts w:hint="default" w:ascii="Times New Roman" w:hAnsi="Times New Roman" w:eastAsia="宋体" w:cs="Times New Roman"/>
                <w:b/>
                <w:bCs/>
                <w:color w:val="auto"/>
                <w:lang w:val="en-US" w:eastAsia="zh-CN"/>
              </w:rPr>
              <w:t>废气污染源源强核算结果及相关参数一览表</w:t>
            </w:r>
          </w:p>
          <w:tbl>
            <w:tblPr>
              <w:tblStyle w:val="27"/>
              <w:tblW w:w="4997" w:type="pct"/>
              <w:jc w:val="center"/>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shd w:val="clear" w:color="auto" w:fill="auto"/>
              <w:tblLayout w:type="autofit"/>
              <w:tblCellMar>
                <w:top w:w="0" w:type="dxa"/>
                <w:left w:w="108" w:type="dxa"/>
                <w:bottom w:w="0" w:type="dxa"/>
                <w:right w:w="108" w:type="dxa"/>
              </w:tblCellMar>
            </w:tblPr>
            <w:tblGrid>
              <w:gridCol w:w="886"/>
              <w:gridCol w:w="1315"/>
              <w:gridCol w:w="886"/>
              <w:gridCol w:w="950"/>
              <w:gridCol w:w="832"/>
              <w:gridCol w:w="942"/>
              <w:gridCol w:w="1188"/>
              <w:gridCol w:w="737"/>
              <w:gridCol w:w="896"/>
              <w:gridCol w:w="907"/>
              <w:gridCol w:w="856"/>
              <w:gridCol w:w="894"/>
              <w:gridCol w:w="770"/>
              <w:gridCol w:w="621"/>
              <w:gridCol w:w="813"/>
            </w:tblGrid>
            <w:tr w14:paraId="7C189FE2">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23" w:hRule="atLeast"/>
                <w:jc w:val="center"/>
              </w:trPr>
              <w:tc>
                <w:tcPr>
                  <w:tcW w:w="328" w:type="pct"/>
                  <w:vMerge w:val="restart"/>
                  <w:tcBorders>
                    <w:tl2br w:val="nil"/>
                    <w:tr2bl w:val="nil"/>
                  </w:tcBorders>
                  <w:shd w:val="clear" w:color="auto" w:fill="auto"/>
                  <w:vAlign w:val="center"/>
                </w:tcPr>
                <w:p w14:paraId="1D490E4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kern w:val="0"/>
                      <w:sz w:val="18"/>
                      <w:szCs w:val="18"/>
                      <w:lang w:val="en-US"/>
                    </w:rPr>
                  </w:pPr>
                  <w:r>
                    <w:rPr>
                      <w:rFonts w:hint="default" w:ascii="Times New Roman" w:hAnsi="Times New Roman" w:eastAsia="宋体" w:cs="Times New Roman"/>
                      <w:b/>
                      <w:bCs/>
                      <w:color w:val="auto"/>
                      <w:kern w:val="0"/>
                      <w:sz w:val="18"/>
                      <w:szCs w:val="18"/>
                      <w:lang w:val="en-US" w:eastAsia="zh-CN" w:bidi="ar"/>
                    </w:rPr>
                    <w:t>排放源</w:t>
                  </w:r>
                </w:p>
              </w:tc>
              <w:tc>
                <w:tcPr>
                  <w:tcW w:w="487" w:type="pct"/>
                  <w:vMerge w:val="restart"/>
                  <w:tcBorders>
                    <w:tl2br w:val="nil"/>
                    <w:tr2bl w:val="nil"/>
                  </w:tcBorders>
                  <w:shd w:val="clear" w:color="auto" w:fill="auto"/>
                  <w:vAlign w:val="center"/>
                </w:tcPr>
                <w:p w14:paraId="21A9D85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kern w:val="0"/>
                      <w:sz w:val="18"/>
                      <w:szCs w:val="18"/>
                      <w:lang w:val="en-US"/>
                    </w:rPr>
                  </w:pPr>
                  <w:r>
                    <w:rPr>
                      <w:rFonts w:hint="default" w:ascii="Times New Roman" w:hAnsi="Times New Roman" w:eastAsia="宋体" w:cs="Times New Roman"/>
                      <w:b/>
                      <w:bCs/>
                      <w:color w:val="auto"/>
                      <w:kern w:val="0"/>
                      <w:sz w:val="18"/>
                      <w:szCs w:val="18"/>
                      <w:lang w:val="en-US" w:eastAsia="zh-CN" w:bidi="ar"/>
                    </w:rPr>
                    <w:t>污染物</w:t>
                  </w:r>
                </w:p>
              </w:tc>
              <w:tc>
                <w:tcPr>
                  <w:tcW w:w="328" w:type="pct"/>
                  <w:vMerge w:val="restart"/>
                  <w:tcBorders>
                    <w:tl2br w:val="nil"/>
                    <w:tr2bl w:val="nil"/>
                  </w:tcBorders>
                  <w:shd w:val="clear" w:color="auto" w:fill="auto"/>
                  <w:vAlign w:val="center"/>
                </w:tcPr>
                <w:p w14:paraId="75F4E70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kern w:val="0"/>
                      <w:sz w:val="18"/>
                      <w:szCs w:val="18"/>
                      <w:lang w:val="en-US"/>
                    </w:rPr>
                  </w:pPr>
                  <w:r>
                    <w:rPr>
                      <w:rFonts w:hint="default" w:ascii="Times New Roman" w:hAnsi="Times New Roman" w:eastAsia="宋体" w:cs="Times New Roman"/>
                      <w:b/>
                      <w:bCs/>
                      <w:color w:val="auto"/>
                      <w:kern w:val="0"/>
                      <w:sz w:val="18"/>
                      <w:szCs w:val="18"/>
                      <w:lang w:val="en-US" w:eastAsia="zh-CN" w:bidi="ar"/>
                    </w:rPr>
                    <w:t>废气量(m</w:t>
                  </w:r>
                  <w:r>
                    <w:rPr>
                      <w:rFonts w:hint="default" w:ascii="Times New Roman" w:hAnsi="Times New Roman" w:eastAsia="宋体" w:cs="Times New Roman"/>
                      <w:b/>
                      <w:bCs/>
                      <w:color w:val="auto"/>
                      <w:kern w:val="0"/>
                      <w:sz w:val="18"/>
                      <w:szCs w:val="18"/>
                      <w:vertAlign w:val="superscript"/>
                      <w:lang w:val="en-US" w:eastAsia="zh-CN" w:bidi="ar"/>
                    </w:rPr>
                    <w:t>3</w:t>
                  </w:r>
                  <w:r>
                    <w:rPr>
                      <w:rFonts w:hint="default" w:ascii="Times New Roman" w:hAnsi="Times New Roman" w:eastAsia="宋体" w:cs="Times New Roman"/>
                      <w:b/>
                      <w:bCs/>
                      <w:color w:val="auto"/>
                      <w:kern w:val="0"/>
                      <w:sz w:val="18"/>
                      <w:szCs w:val="18"/>
                      <w:lang w:val="en-US" w:eastAsia="zh-CN" w:bidi="ar"/>
                    </w:rPr>
                    <w:t>/h)</w:t>
                  </w:r>
                </w:p>
              </w:tc>
              <w:tc>
                <w:tcPr>
                  <w:tcW w:w="352" w:type="pct"/>
                  <w:vMerge w:val="restart"/>
                  <w:tcBorders>
                    <w:tl2br w:val="nil"/>
                    <w:tr2bl w:val="nil"/>
                  </w:tcBorders>
                  <w:shd w:val="clear" w:color="auto" w:fill="auto"/>
                  <w:vAlign w:val="center"/>
                </w:tcPr>
                <w:p w14:paraId="0003C6B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kern w:val="0"/>
                      <w:sz w:val="18"/>
                      <w:szCs w:val="18"/>
                      <w:lang w:val="en-US"/>
                    </w:rPr>
                  </w:pPr>
                  <w:r>
                    <w:rPr>
                      <w:rFonts w:hint="default" w:ascii="Times New Roman" w:hAnsi="Times New Roman" w:eastAsia="宋体" w:cs="Times New Roman"/>
                      <w:b/>
                      <w:bCs/>
                      <w:color w:val="auto"/>
                      <w:kern w:val="0"/>
                      <w:sz w:val="18"/>
                      <w:szCs w:val="18"/>
                      <w:lang w:val="en-US" w:eastAsia="zh-CN" w:bidi="ar"/>
                    </w:rPr>
                    <w:t>产生浓度(mg/m</w:t>
                  </w:r>
                  <w:r>
                    <w:rPr>
                      <w:rFonts w:hint="default" w:ascii="Times New Roman" w:hAnsi="Times New Roman" w:eastAsia="宋体" w:cs="Times New Roman"/>
                      <w:b/>
                      <w:bCs/>
                      <w:color w:val="auto"/>
                      <w:kern w:val="0"/>
                      <w:sz w:val="18"/>
                      <w:szCs w:val="18"/>
                      <w:vertAlign w:val="superscript"/>
                      <w:lang w:val="en-US" w:eastAsia="zh-CN" w:bidi="ar"/>
                    </w:rPr>
                    <w:t>3</w:t>
                  </w:r>
                  <w:r>
                    <w:rPr>
                      <w:rFonts w:hint="default" w:ascii="Times New Roman" w:hAnsi="Times New Roman" w:eastAsia="宋体" w:cs="Times New Roman"/>
                      <w:b/>
                      <w:bCs/>
                      <w:color w:val="auto"/>
                      <w:kern w:val="0"/>
                      <w:sz w:val="18"/>
                      <w:szCs w:val="18"/>
                      <w:lang w:val="en-US" w:eastAsia="zh-CN" w:bidi="ar"/>
                    </w:rPr>
                    <w:t>)</w:t>
                  </w:r>
                </w:p>
              </w:tc>
              <w:tc>
                <w:tcPr>
                  <w:tcW w:w="657" w:type="pct"/>
                  <w:gridSpan w:val="2"/>
                  <w:tcBorders>
                    <w:tl2br w:val="nil"/>
                    <w:tr2bl w:val="nil"/>
                  </w:tcBorders>
                  <w:shd w:val="clear" w:color="auto" w:fill="auto"/>
                  <w:vAlign w:val="center"/>
                </w:tcPr>
                <w:p w14:paraId="541A98C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kern w:val="0"/>
                      <w:sz w:val="18"/>
                      <w:szCs w:val="18"/>
                      <w:lang w:val="en-US"/>
                    </w:rPr>
                  </w:pPr>
                  <w:r>
                    <w:rPr>
                      <w:rFonts w:hint="default" w:ascii="Times New Roman" w:hAnsi="Times New Roman" w:eastAsia="宋体" w:cs="Times New Roman"/>
                      <w:b/>
                      <w:bCs/>
                      <w:color w:val="auto"/>
                      <w:kern w:val="0"/>
                      <w:sz w:val="18"/>
                      <w:szCs w:val="18"/>
                      <w:lang w:val="en-US" w:eastAsia="zh-CN" w:bidi="ar"/>
                    </w:rPr>
                    <w:t>产生量</w:t>
                  </w:r>
                </w:p>
              </w:tc>
              <w:tc>
                <w:tcPr>
                  <w:tcW w:w="713" w:type="pct"/>
                  <w:gridSpan w:val="2"/>
                  <w:tcBorders>
                    <w:tl2br w:val="nil"/>
                    <w:tr2bl w:val="nil"/>
                  </w:tcBorders>
                  <w:shd w:val="clear" w:color="auto" w:fill="auto"/>
                  <w:vAlign w:val="center"/>
                </w:tcPr>
                <w:p w14:paraId="4E8C8DF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kern w:val="0"/>
                      <w:sz w:val="18"/>
                      <w:szCs w:val="18"/>
                      <w:lang w:val="en-US"/>
                    </w:rPr>
                  </w:pPr>
                  <w:r>
                    <w:rPr>
                      <w:rFonts w:hint="default" w:ascii="Times New Roman" w:hAnsi="Times New Roman" w:eastAsia="宋体" w:cs="Times New Roman"/>
                      <w:b/>
                      <w:bCs/>
                      <w:color w:val="auto"/>
                      <w:kern w:val="0"/>
                      <w:sz w:val="18"/>
                      <w:szCs w:val="18"/>
                      <w:lang w:val="en-US" w:eastAsia="zh-CN" w:bidi="ar"/>
                    </w:rPr>
                    <w:t>治理措施</w:t>
                  </w:r>
                </w:p>
              </w:tc>
              <w:tc>
                <w:tcPr>
                  <w:tcW w:w="332" w:type="pct"/>
                  <w:vMerge w:val="restart"/>
                  <w:tcBorders>
                    <w:tl2br w:val="nil"/>
                    <w:tr2bl w:val="nil"/>
                  </w:tcBorders>
                  <w:shd w:val="clear" w:color="auto" w:fill="auto"/>
                  <w:vAlign w:val="center"/>
                </w:tcPr>
                <w:p w14:paraId="6F11A49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kern w:val="0"/>
                      <w:sz w:val="18"/>
                      <w:szCs w:val="18"/>
                      <w:lang w:val="en-US"/>
                    </w:rPr>
                  </w:pPr>
                  <w:r>
                    <w:rPr>
                      <w:rFonts w:hint="default" w:ascii="Times New Roman" w:hAnsi="Times New Roman" w:eastAsia="宋体" w:cs="Times New Roman"/>
                      <w:b/>
                      <w:bCs/>
                      <w:color w:val="auto"/>
                      <w:kern w:val="0"/>
                      <w:sz w:val="18"/>
                      <w:szCs w:val="18"/>
                      <w:lang w:val="en-US" w:eastAsia="zh-CN" w:bidi="ar"/>
                    </w:rPr>
                    <w:t>废气量(m</w:t>
                  </w:r>
                  <w:r>
                    <w:rPr>
                      <w:rFonts w:hint="default" w:ascii="Times New Roman" w:hAnsi="Times New Roman" w:eastAsia="宋体" w:cs="Times New Roman"/>
                      <w:b/>
                      <w:bCs/>
                      <w:color w:val="auto"/>
                      <w:kern w:val="0"/>
                      <w:sz w:val="18"/>
                      <w:szCs w:val="18"/>
                      <w:vertAlign w:val="superscript"/>
                      <w:lang w:val="en-US" w:eastAsia="zh-CN" w:bidi="ar"/>
                    </w:rPr>
                    <w:t>3</w:t>
                  </w:r>
                  <w:r>
                    <w:rPr>
                      <w:rFonts w:hint="default" w:ascii="Times New Roman" w:hAnsi="Times New Roman" w:eastAsia="宋体" w:cs="Times New Roman"/>
                      <w:b/>
                      <w:bCs/>
                      <w:color w:val="auto"/>
                      <w:kern w:val="0"/>
                      <w:sz w:val="18"/>
                      <w:szCs w:val="18"/>
                      <w:lang w:val="en-US" w:eastAsia="zh-CN" w:bidi="ar"/>
                    </w:rPr>
                    <w:t>/h)</w:t>
                  </w:r>
                </w:p>
              </w:tc>
              <w:tc>
                <w:tcPr>
                  <w:tcW w:w="336" w:type="pct"/>
                  <w:vMerge w:val="restart"/>
                  <w:tcBorders>
                    <w:tl2br w:val="nil"/>
                    <w:tr2bl w:val="nil"/>
                  </w:tcBorders>
                  <w:shd w:val="clear" w:color="auto" w:fill="auto"/>
                  <w:vAlign w:val="center"/>
                </w:tcPr>
                <w:p w14:paraId="76EFED2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kern w:val="0"/>
                      <w:sz w:val="18"/>
                      <w:szCs w:val="18"/>
                      <w:lang w:val="en-US" w:eastAsia="zh-CN" w:bidi="ar"/>
                    </w:rPr>
                  </w:pPr>
                  <w:r>
                    <w:rPr>
                      <w:rFonts w:hint="default" w:ascii="Times New Roman" w:hAnsi="Times New Roman" w:eastAsia="宋体" w:cs="Times New Roman"/>
                      <w:b/>
                      <w:bCs/>
                      <w:color w:val="auto"/>
                      <w:kern w:val="0"/>
                      <w:sz w:val="18"/>
                      <w:szCs w:val="18"/>
                      <w:lang w:val="en-US" w:eastAsia="zh-CN" w:bidi="ar"/>
                    </w:rPr>
                    <w:t>排放</w:t>
                  </w:r>
                </w:p>
                <w:p w14:paraId="7527C93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kern w:val="0"/>
                      <w:sz w:val="18"/>
                      <w:szCs w:val="18"/>
                      <w:lang w:val="en-US"/>
                    </w:rPr>
                  </w:pPr>
                  <w:r>
                    <w:rPr>
                      <w:rFonts w:hint="default" w:ascii="Times New Roman" w:hAnsi="Times New Roman" w:eastAsia="宋体" w:cs="Times New Roman"/>
                      <w:b/>
                      <w:bCs/>
                      <w:color w:val="auto"/>
                      <w:kern w:val="0"/>
                      <w:sz w:val="18"/>
                      <w:szCs w:val="18"/>
                      <w:lang w:val="en-US" w:eastAsia="zh-CN" w:bidi="ar"/>
                    </w:rPr>
                    <w:t>浓度(mg/m</w:t>
                  </w:r>
                  <w:r>
                    <w:rPr>
                      <w:rFonts w:hint="default" w:ascii="Times New Roman" w:hAnsi="Times New Roman" w:eastAsia="宋体" w:cs="Times New Roman"/>
                      <w:b/>
                      <w:bCs/>
                      <w:color w:val="auto"/>
                      <w:kern w:val="0"/>
                      <w:sz w:val="18"/>
                      <w:szCs w:val="18"/>
                      <w:vertAlign w:val="superscript"/>
                      <w:lang w:val="en-US" w:eastAsia="zh-CN" w:bidi="ar"/>
                    </w:rPr>
                    <w:t>3</w:t>
                  </w:r>
                  <w:r>
                    <w:rPr>
                      <w:rFonts w:hint="default" w:ascii="Times New Roman" w:hAnsi="Times New Roman" w:eastAsia="宋体" w:cs="Times New Roman"/>
                      <w:b/>
                      <w:bCs/>
                      <w:color w:val="auto"/>
                      <w:kern w:val="0"/>
                      <w:sz w:val="18"/>
                      <w:szCs w:val="18"/>
                      <w:lang w:val="en-US" w:eastAsia="zh-CN" w:bidi="ar"/>
                    </w:rPr>
                    <w:t>)</w:t>
                  </w:r>
                </w:p>
              </w:tc>
              <w:tc>
                <w:tcPr>
                  <w:tcW w:w="648" w:type="pct"/>
                  <w:gridSpan w:val="2"/>
                  <w:tcBorders>
                    <w:tl2br w:val="nil"/>
                    <w:tr2bl w:val="nil"/>
                  </w:tcBorders>
                  <w:shd w:val="clear" w:color="auto" w:fill="auto"/>
                  <w:vAlign w:val="center"/>
                </w:tcPr>
                <w:p w14:paraId="087243D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kern w:val="0"/>
                      <w:sz w:val="18"/>
                      <w:szCs w:val="18"/>
                      <w:lang w:val="en-US"/>
                    </w:rPr>
                  </w:pPr>
                  <w:r>
                    <w:rPr>
                      <w:rFonts w:hint="default" w:ascii="Times New Roman" w:hAnsi="Times New Roman" w:eastAsia="宋体" w:cs="Times New Roman"/>
                      <w:b/>
                      <w:bCs/>
                      <w:color w:val="auto"/>
                      <w:kern w:val="0"/>
                      <w:sz w:val="18"/>
                      <w:szCs w:val="18"/>
                      <w:lang w:val="en-US" w:eastAsia="zh-CN" w:bidi="ar"/>
                    </w:rPr>
                    <w:t>排放量</w:t>
                  </w:r>
                </w:p>
              </w:tc>
              <w:tc>
                <w:tcPr>
                  <w:tcW w:w="515" w:type="pct"/>
                  <w:gridSpan w:val="2"/>
                  <w:tcBorders>
                    <w:tl2br w:val="nil"/>
                    <w:tr2bl w:val="nil"/>
                  </w:tcBorders>
                  <w:shd w:val="clear" w:color="auto" w:fill="auto"/>
                  <w:vAlign w:val="center"/>
                </w:tcPr>
                <w:p w14:paraId="4AE471F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kern w:val="0"/>
                      <w:sz w:val="18"/>
                      <w:szCs w:val="18"/>
                      <w:lang w:val="en-US" w:eastAsia="zh-CN" w:bidi="ar"/>
                    </w:rPr>
                  </w:pPr>
                  <w:r>
                    <w:rPr>
                      <w:rFonts w:hint="default" w:ascii="Times New Roman" w:hAnsi="Times New Roman" w:eastAsia="宋体" w:cs="Times New Roman"/>
                      <w:b/>
                      <w:bCs/>
                      <w:color w:val="auto"/>
                      <w:kern w:val="0"/>
                      <w:sz w:val="18"/>
                      <w:szCs w:val="18"/>
                      <w:lang w:val="en-US" w:eastAsia="zh-CN" w:bidi="ar"/>
                    </w:rPr>
                    <w:t>执行标准</w:t>
                  </w:r>
                </w:p>
              </w:tc>
              <w:tc>
                <w:tcPr>
                  <w:tcW w:w="301" w:type="pct"/>
                  <w:vMerge w:val="restart"/>
                  <w:tcBorders>
                    <w:tl2br w:val="nil"/>
                    <w:tr2bl w:val="nil"/>
                  </w:tcBorders>
                  <w:shd w:val="clear" w:color="auto" w:fill="auto"/>
                  <w:vAlign w:val="center"/>
                </w:tcPr>
                <w:p w14:paraId="6992AEB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kern w:val="0"/>
                      <w:sz w:val="18"/>
                      <w:szCs w:val="18"/>
                      <w:lang w:val="en-US" w:eastAsia="zh-CN" w:bidi="ar"/>
                    </w:rPr>
                  </w:pPr>
                  <w:r>
                    <w:rPr>
                      <w:rFonts w:hint="default" w:ascii="Times New Roman" w:hAnsi="Times New Roman" w:eastAsia="宋体" w:cs="Times New Roman"/>
                      <w:b/>
                      <w:bCs/>
                      <w:color w:val="auto"/>
                      <w:kern w:val="0"/>
                      <w:sz w:val="18"/>
                      <w:szCs w:val="18"/>
                      <w:lang w:val="en-US" w:eastAsia="zh-CN" w:bidi="ar"/>
                    </w:rPr>
                    <w:t>排放时间(h)</w:t>
                  </w:r>
                </w:p>
              </w:tc>
            </w:tr>
            <w:tr w14:paraId="2E0EBC87">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75" w:hRule="atLeast"/>
                <w:jc w:val="center"/>
              </w:trPr>
              <w:tc>
                <w:tcPr>
                  <w:tcW w:w="328" w:type="pct"/>
                  <w:vMerge w:val="continue"/>
                  <w:tcBorders>
                    <w:tl2br w:val="nil"/>
                    <w:tr2bl w:val="nil"/>
                  </w:tcBorders>
                  <w:shd w:val="clear" w:color="auto" w:fill="auto"/>
                  <w:vAlign w:val="center"/>
                </w:tcPr>
                <w:p w14:paraId="4D4ED5C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rPr>
                  </w:pPr>
                </w:p>
              </w:tc>
              <w:tc>
                <w:tcPr>
                  <w:tcW w:w="487" w:type="pct"/>
                  <w:vMerge w:val="continue"/>
                  <w:tcBorders>
                    <w:tl2br w:val="nil"/>
                    <w:tr2bl w:val="nil"/>
                  </w:tcBorders>
                  <w:shd w:val="clear" w:color="auto" w:fill="auto"/>
                  <w:vAlign w:val="center"/>
                </w:tcPr>
                <w:p w14:paraId="23F29A0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rPr>
                  </w:pPr>
                </w:p>
              </w:tc>
              <w:tc>
                <w:tcPr>
                  <w:tcW w:w="328" w:type="pct"/>
                  <w:vMerge w:val="continue"/>
                  <w:tcBorders>
                    <w:tl2br w:val="nil"/>
                    <w:tr2bl w:val="nil"/>
                  </w:tcBorders>
                  <w:shd w:val="clear" w:color="auto" w:fill="auto"/>
                  <w:vAlign w:val="center"/>
                </w:tcPr>
                <w:p w14:paraId="703C56B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rPr>
                  </w:pPr>
                </w:p>
              </w:tc>
              <w:tc>
                <w:tcPr>
                  <w:tcW w:w="352" w:type="pct"/>
                  <w:vMerge w:val="continue"/>
                  <w:tcBorders>
                    <w:tl2br w:val="nil"/>
                    <w:tr2bl w:val="nil"/>
                  </w:tcBorders>
                  <w:shd w:val="clear" w:color="auto" w:fill="auto"/>
                  <w:vAlign w:val="center"/>
                </w:tcPr>
                <w:p w14:paraId="40FAE52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rPr>
                  </w:pPr>
                </w:p>
              </w:tc>
              <w:tc>
                <w:tcPr>
                  <w:tcW w:w="308" w:type="pct"/>
                  <w:tcBorders>
                    <w:tl2br w:val="nil"/>
                    <w:tr2bl w:val="nil"/>
                  </w:tcBorders>
                  <w:shd w:val="clear" w:color="auto" w:fill="auto"/>
                  <w:vAlign w:val="center"/>
                </w:tcPr>
                <w:p w14:paraId="7147DCD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kern w:val="0"/>
                      <w:sz w:val="18"/>
                      <w:szCs w:val="18"/>
                      <w:lang w:val="en-US"/>
                    </w:rPr>
                  </w:pPr>
                  <w:r>
                    <w:rPr>
                      <w:rFonts w:hint="default" w:ascii="Times New Roman" w:hAnsi="Times New Roman" w:eastAsia="宋体" w:cs="Times New Roman"/>
                      <w:b/>
                      <w:bCs/>
                      <w:color w:val="auto"/>
                      <w:kern w:val="0"/>
                      <w:sz w:val="18"/>
                      <w:szCs w:val="18"/>
                      <w:lang w:val="en-US" w:eastAsia="zh-CN" w:bidi="ar"/>
                    </w:rPr>
                    <w:t>kg/h</w:t>
                  </w:r>
                </w:p>
              </w:tc>
              <w:tc>
                <w:tcPr>
                  <w:tcW w:w="349" w:type="pct"/>
                  <w:tcBorders>
                    <w:tl2br w:val="nil"/>
                    <w:tr2bl w:val="nil"/>
                  </w:tcBorders>
                  <w:shd w:val="clear" w:color="auto" w:fill="auto"/>
                  <w:vAlign w:val="center"/>
                </w:tcPr>
                <w:p w14:paraId="2BFB7F3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kern w:val="0"/>
                      <w:sz w:val="18"/>
                      <w:szCs w:val="18"/>
                      <w:lang w:val="en-US"/>
                    </w:rPr>
                  </w:pPr>
                  <w:r>
                    <w:rPr>
                      <w:rFonts w:hint="default" w:ascii="Times New Roman" w:hAnsi="Times New Roman" w:eastAsia="宋体" w:cs="Times New Roman"/>
                      <w:b/>
                      <w:bCs/>
                      <w:color w:val="auto"/>
                      <w:kern w:val="0"/>
                      <w:sz w:val="18"/>
                      <w:szCs w:val="18"/>
                      <w:lang w:val="en-US" w:eastAsia="zh-CN" w:bidi="ar"/>
                    </w:rPr>
                    <w:t>t/a</w:t>
                  </w:r>
                </w:p>
              </w:tc>
              <w:tc>
                <w:tcPr>
                  <w:tcW w:w="440" w:type="pct"/>
                  <w:tcBorders>
                    <w:tl2br w:val="nil"/>
                    <w:tr2bl w:val="nil"/>
                  </w:tcBorders>
                  <w:shd w:val="clear" w:color="auto" w:fill="auto"/>
                  <w:vAlign w:val="center"/>
                </w:tcPr>
                <w:p w14:paraId="4CE5141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rPr>
                  </w:pPr>
                  <w:r>
                    <w:rPr>
                      <w:rFonts w:hint="default" w:ascii="Times New Roman" w:hAnsi="Times New Roman" w:eastAsia="宋体" w:cs="Times New Roman"/>
                      <w:b/>
                      <w:bCs/>
                      <w:color w:val="auto"/>
                      <w:kern w:val="0"/>
                      <w:sz w:val="18"/>
                      <w:szCs w:val="18"/>
                      <w:lang w:val="en-US" w:eastAsia="zh-CN" w:bidi="ar"/>
                    </w:rPr>
                    <w:t>治理措施</w:t>
                  </w:r>
                </w:p>
              </w:tc>
              <w:tc>
                <w:tcPr>
                  <w:tcW w:w="273" w:type="pct"/>
                  <w:tcBorders>
                    <w:tl2br w:val="nil"/>
                    <w:tr2bl w:val="nil"/>
                  </w:tcBorders>
                  <w:shd w:val="clear" w:color="auto" w:fill="auto"/>
                  <w:vAlign w:val="center"/>
                </w:tcPr>
                <w:p w14:paraId="057E39F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rPr>
                  </w:pPr>
                  <w:r>
                    <w:rPr>
                      <w:rFonts w:hint="default" w:ascii="Times New Roman" w:hAnsi="Times New Roman" w:eastAsia="宋体" w:cs="Times New Roman"/>
                      <w:b/>
                      <w:bCs/>
                      <w:color w:val="auto"/>
                      <w:kern w:val="0"/>
                      <w:sz w:val="18"/>
                      <w:szCs w:val="18"/>
                      <w:lang w:val="en-US" w:eastAsia="zh-CN" w:bidi="ar"/>
                    </w:rPr>
                    <w:t>效率</w:t>
                  </w:r>
                </w:p>
              </w:tc>
              <w:tc>
                <w:tcPr>
                  <w:tcW w:w="332" w:type="pct"/>
                  <w:vMerge w:val="continue"/>
                  <w:tcBorders>
                    <w:tl2br w:val="nil"/>
                    <w:tr2bl w:val="nil"/>
                  </w:tcBorders>
                  <w:shd w:val="clear" w:color="auto" w:fill="auto"/>
                  <w:vAlign w:val="center"/>
                </w:tcPr>
                <w:p w14:paraId="6236128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rPr>
                  </w:pPr>
                </w:p>
              </w:tc>
              <w:tc>
                <w:tcPr>
                  <w:tcW w:w="336" w:type="pct"/>
                  <w:vMerge w:val="continue"/>
                  <w:tcBorders>
                    <w:tl2br w:val="nil"/>
                    <w:tr2bl w:val="nil"/>
                  </w:tcBorders>
                  <w:shd w:val="clear" w:color="auto" w:fill="auto"/>
                  <w:vAlign w:val="center"/>
                </w:tcPr>
                <w:p w14:paraId="62AB6A7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rPr>
                  </w:pPr>
                </w:p>
              </w:tc>
              <w:tc>
                <w:tcPr>
                  <w:tcW w:w="317" w:type="pct"/>
                  <w:tcBorders>
                    <w:tl2br w:val="nil"/>
                    <w:tr2bl w:val="nil"/>
                  </w:tcBorders>
                  <w:shd w:val="clear" w:color="auto" w:fill="auto"/>
                  <w:vAlign w:val="center"/>
                </w:tcPr>
                <w:p w14:paraId="3460D2F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kern w:val="0"/>
                      <w:sz w:val="18"/>
                      <w:szCs w:val="18"/>
                      <w:lang w:val="en-US"/>
                    </w:rPr>
                  </w:pPr>
                  <w:r>
                    <w:rPr>
                      <w:rFonts w:hint="default" w:ascii="Times New Roman" w:hAnsi="Times New Roman" w:eastAsia="宋体" w:cs="Times New Roman"/>
                      <w:b/>
                      <w:bCs/>
                      <w:color w:val="auto"/>
                      <w:kern w:val="0"/>
                      <w:sz w:val="18"/>
                      <w:szCs w:val="18"/>
                      <w:lang w:val="en-US" w:eastAsia="zh-CN" w:bidi="ar"/>
                    </w:rPr>
                    <w:t>kg/h</w:t>
                  </w:r>
                </w:p>
              </w:tc>
              <w:tc>
                <w:tcPr>
                  <w:tcW w:w="331" w:type="pct"/>
                  <w:tcBorders>
                    <w:tl2br w:val="nil"/>
                    <w:tr2bl w:val="nil"/>
                  </w:tcBorders>
                  <w:shd w:val="clear" w:color="auto" w:fill="auto"/>
                  <w:vAlign w:val="center"/>
                </w:tcPr>
                <w:p w14:paraId="4714BFA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kern w:val="0"/>
                      <w:sz w:val="18"/>
                      <w:szCs w:val="18"/>
                      <w:lang w:val="en-US"/>
                    </w:rPr>
                  </w:pPr>
                  <w:r>
                    <w:rPr>
                      <w:rFonts w:hint="default" w:ascii="Times New Roman" w:hAnsi="Times New Roman" w:eastAsia="宋体" w:cs="Times New Roman"/>
                      <w:b/>
                      <w:bCs/>
                      <w:color w:val="auto"/>
                      <w:kern w:val="0"/>
                      <w:sz w:val="18"/>
                      <w:szCs w:val="18"/>
                      <w:lang w:val="en-US" w:eastAsia="zh-CN" w:bidi="ar"/>
                    </w:rPr>
                    <w:t>t/a</w:t>
                  </w:r>
                </w:p>
              </w:tc>
              <w:tc>
                <w:tcPr>
                  <w:tcW w:w="285" w:type="pct"/>
                  <w:tcBorders>
                    <w:tl2br w:val="nil"/>
                    <w:tr2bl w:val="nil"/>
                  </w:tcBorders>
                  <w:shd w:val="clear" w:color="auto" w:fill="auto"/>
                  <w:vAlign w:val="center"/>
                </w:tcPr>
                <w:p w14:paraId="1107CD9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rPr>
                  </w:pPr>
                  <w:r>
                    <w:rPr>
                      <w:rFonts w:hint="default" w:ascii="Times New Roman" w:hAnsi="Times New Roman" w:eastAsia="宋体" w:cs="Times New Roman"/>
                      <w:b/>
                      <w:bCs/>
                      <w:color w:val="auto"/>
                      <w:kern w:val="0"/>
                      <w:sz w:val="18"/>
                      <w:szCs w:val="18"/>
                      <w:lang w:val="en-US" w:eastAsia="zh-CN" w:bidi="ar"/>
                    </w:rPr>
                    <w:t>mg/m</w:t>
                  </w:r>
                  <w:r>
                    <w:rPr>
                      <w:rFonts w:hint="default" w:ascii="Times New Roman" w:hAnsi="Times New Roman" w:eastAsia="宋体" w:cs="Times New Roman"/>
                      <w:b/>
                      <w:bCs/>
                      <w:color w:val="auto"/>
                      <w:kern w:val="0"/>
                      <w:sz w:val="18"/>
                      <w:szCs w:val="18"/>
                      <w:vertAlign w:val="superscript"/>
                      <w:lang w:val="en-US" w:eastAsia="zh-CN" w:bidi="ar"/>
                    </w:rPr>
                    <w:t>3</w:t>
                  </w:r>
                </w:p>
              </w:tc>
              <w:tc>
                <w:tcPr>
                  <w:tcW w:w="230" w:type="pct"/>
                  <w:tcBorders>
                    <w:tl2br w:val="nil"/>
                    <w:tr2bl w:val="nil"/>
                  </w:tcBorders>
                  <w:shd w:val="clear" w:color="auto" w:fill="auto"/>
                  <w:vAlign w:val="center"/>
                </w:tcPr>
                <w:p w14:paraId="612BF2D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rPr>
                  </w:pPr>
                  <w:r>
                    <w:rPr>
                      <w:rFonts w:hint="default" w:ascii="Times New Roman" w:hAnsi="Times New Roman" w:eastAsia="宋体" w:cs="Times New Roman"/>
                      <w:b/>
                      <w:bCs/>
                      <w:color w:val="auto"/>
                      <w:kern w:val="0"/>
                      <w:sz w:val="18"/>
                      <w:szCs w:val="18"/>
                      <w:lang w:val="en-US" w:eastAsia="zh-CN" w:bidi="ar"/>
                    </w:rPr>
                    <w:t>kg/h</w:t>
                  </w:r>
                </w:p>
              </w:tc>
              <w:tc>
                <w:tcPr>
                  <w:tcW w:w="301" w:type="pct"/>
                  <w:vMerge w:val="continue"/>
                  <w:tcBorders>
                    <w:tl2br w:val="nil"/>
                    <w:tr2bl w:val="nil"/>
                  </w:tcBorders>
                  <w:shd w:val="clear" w:color="auto" w:fill="auto"/>
                  <w:vAlign w:val="center"/>
                </w:tcPr>
                <w:p w14:paraId="11C8A69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rPr>
                  </w:pPr>
                </w:p>
              </w:tc>
            </w:tr>
            <w:tr w14:paraId="71E48BC5">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84" w:hRule="atLeast"/>
                <w:jc w:val="center"/>
              </w:trPr>
              <w:tc>
                <w:tcPr>
                  <w:tcW w:w="328" w:type="pct"/>
                  <w:tcBorders>
                    <w:tl2br w:val="nil"/>
                    <w:tr2bl w:val="nil"/>
                  </w:tcBorders>
                  <w:shd w:val="clear" w:color="auto" w:fill="auto"/>
                  <w:noWrap/>
                  <w:vAlign w:val="center"/>
                </w:tcPr>
                <w:p w14:paraId="49E9B38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0"/>
                      <w:sz w:val="18"/>
                      <w:szCs w:val="18"/>
                      <w:lang w:val="en-US"/>
                    </w:rPr>
                  </w:pPr>
                  <w:r>
                    <w:rPr>
                      <w:rFonts w:hint="default" w:ascii="Times New Roman" w:hAnsi="Times New Roman" w:eastAsia="宋体" w:cs="Times New Roman"/>
                      <w:color w:val="auto"/>
                      <w:kern w:val="0"/>
                      <w:sz w:val="18"/>
                      <w:szCs w:val="18"/>
                      <w:lang w:val="en-US" w:eastAsia="zh-CN" w:bidi="ar"/>
                    </w:rPr>
                    <w:t>DA001</w:t>
                  </w:r>
                </w:p>
              </w:tc>
              <w:tc>
                <w:tcPr>
                  <w:tcW w:w="487" w:type="pct"/>
                  <w:tcBorders>
                    <w:tl2br w:val="nil"/>
                    <w:tr2bl w:val="nil"/>
                  </w:tcBorders>
                  <w:shd w:val="clear" w:color="auto" w:fill="auto"/>
                  <w:vAlign w:val="center"/>
                </w:tcPr>
                <w:p w14:paraId="0F228F9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0"/>
                      <w:sz w:val="18"/>
                      <w:szCs w:val="18"/>
                      <w:lang w:val="en-US"/>
                    </w:rPr>
                  </w:pPr>
                  <w:r>
                    <w:rPr>
                      <w:rFonts w:hint="default" w:ascii="Times New Roman" w:hAnsi="Times New Roman" w:eastAsia="宋体" w:cs="Times New Roman"/>
                      <w:color w:val="auto"/>
                      <w:kern w:val="0"/>
                      <w:sz w:val="18"/>
                      <w:szCs w:val="18"/>
                      <w:lang w:val="en-US" w:eastAsia="zh-CN" w:bidi="ar"/>
                    </w:rPr>
                    <w:t>颗粒物</w:t>
                  </w:r>
                </w:p>
              </w:tc>
              <w:tc>
                <w:tcPr>
                  <w:tcW w:w="886" w:type="dxa"/>
                  <w:tcBorders>
                    <w:tl2br w:val="nil"/>
                    <w:tr2bl w:val="nil"/>
                  </w:tcBorders>
                  <w:shd w:val="clear" w:color="auto" w:fill="auto"/>
                  <w:noWrap/>
                  <w:vAlign w:val="center"/>
                </w:tcPr>
                <w:p w14:paraId="44378AB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0"/>
                      <w:sz w:val="18"/>
                      <w:szCs w:val="18"/>
                      <w:lang w:val="en-US"/>
                    </w:rPr>
                  </w:pPr>
                  <w:r>
                    <w:rPr>
                      <w:rFonts w:hint="default" w:ascii="Times New Roman" w:hAnsi="Times New Roman" w:eastAsia="宋体" w:cs="Times New Roman"/>
                      <w:color w:val="auto"/>
                      <w:kern w:val="0"/>
                      <w:sz w:val="18"/>
                      <w:szCs w:val="18"/>
                      <w:lang w:val="en-US" w:eastAsia="zh-CN" w:bidi="ar"/>
                    </w:rPr>
                    <w:t>2500</w:t>
                  </w:r>
                </w:p>
              </w:tc>
              <w:tc>
                <w:tcPr>
                  <w:tcW w:w="950" w:type="dxa"/>
                  <w:tcBorders>
                    <w:tl2br w:val="nil"/>
                    <w:tr2bl w:val="nil"/>
                  </w:tcBorders>
                  <w:shd w:val="clear" w:color="auto" w:fill="auto"/>
                  <w:noWrap/>
                  <w:vAlign w:val="center"/>
                </w:tcPr>
                <w:p w14:paraId="3A59449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0"/>
                      <w:sz w:val="18"/>
                      <w:szCs w:val="18"/>
                      <w:lang w:val="en-US" w:eastAsia="zh-CN" w:bidi="ar"/>
                    </w:rPr>
                  </w:pPr>
                  <w:r>
                    <w:rPr>
                      <w:rFonts w:hint="eastAsia" w:cs="Times New Roman"/>
                      <w:color w:val="auto"/>
                      <w:kern w:val="0"/>
                      <w:sz w:val="18"/>
                      <w:szCs w:val="18"/>
                      <w:lang w:val="en-US" w:eastAsia="zh-CN" w:bidi="ar"/>
                    </w:rPr>
                    <w:t>130.7</w:t>
                  </w:r>
                </w:p>
              </w:tc>
              <w:tc>
                <w:tcPr>
                  <w:tcW w:w="832" w:type="dxa"/>
                  <w:tcBorders>
                    <w:tl2br w:val="nil"/>
                    <w:tr2bl w:val="nil"/>
                  </w:tcBorders>
                  <w:shd w:val="clear" w:color="auto" w:fill="auto"/>
                  <w:noWrap/>
                  <w:vAlign w:val="center"/>
                </w:tcPr>
                <w:p w14:paraId="773C046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0"/>
                      <w:sz w:val="18"/>
                      <w:szCs w:val="18"/>
                      <w:lang w:val="en-US" w:eastAsia="zh-CN"/>
                    </w:rPr>
                  </w:pPr>
                  <w:r>
                    <w:rPr>
                      <w:rFonts w:hint="default" w:ascii="Times New Roman" w:hAnsi="Times New Roman" w:eastAsia="宋体" w:cs="Times New Roman"/>
                      <w:color w:val="auto"/>
                      <w:kern w:val="0"/>
                      <w:sz w:val="18"/>
                      <w:szCs w:val="18"/>
                      <w:lang w:val="en-US" w:eastAsia="zh-CN" w:bidi="ar"/>
                    </w:rPr>
                    <w:t>0.3</w:t>
                  </w:r>
                  <w:r>
                    <w:rPr>
                      <w:rFonts w:hint="eastAsia" w:cs="Times New Roman"/>
                      <w:color w:val="auto"/>
                      <w:kern w:val="0"/>
                      <w:sz w:val="18"/>
                      <w:szCs w:val="18"/>
                      <w:lang w:val="en-US" w:eastAsia="zh-CN" w:bidi="ar"/>
                    </w:rPr>
                    <w:t>27</w:t>
                  </w:r>
                </w:p>
              </w:tc>
              <w:tc>
                <w:tcPr>
                  <w:tcW w:w="942" w:type="dxa"/>
                  <w:tcBorders>
                    <w:tl2br w:val="nil"/>
                    <w:tr2bl w:val="nil"/>
                  </w:tcBorders>
                  <w:shd w:val="clear" w:color="auto" w:fill="auto"/>
                  <w:noWrap/>
                  <w:vAlign w:val="center"/>
                </w:tcPr>
                <w:p w14:paraId="64882DE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0"/>
                      <w:sz w:val="18"/>
                      <w:szCs w:val="18"/>
                      <w:lang w:val="en-US" w:eastAsia="zh-CN"/>
                    </w:rPr>
                  </w:pPr>
                  <w:r>
                    <w:rPr>
                      <w:rFonts w:hint="default" w:ascii="Times New Roman" w:hAnsi="Times New Roman" w:eastAsia="宋体" w:cs="Times New Roman"/>
                      <w:color w:val="auto"/>
                      <w:kern w:val="0"/>
                      <w:sz w:val="18"/>
                      <w:szCs w:val="18"/>
                      <w:lang w:val="en-US" w:eastAsia="zh-CN" w:bidi="ar"/>
                    </w:rPr>
                    <w:t>0.7</w:t>
                  </w:r>
                  <w:r>
                    <w:rPr>
                      <w:rFonts w:hint="eastAsia" w:cs="Times New Roman"/>
                      <w:color w:val="auto"/>
                      <w:kern w:val="0"/>
                      <w:sz w:val="18"/>
                      <w:szCs w:val="18"/>
                      <w:lang w:val="en-US" w:eastAsia="zh-CN" w:bidi="ar"/>
                    </w:rPr>
                    <w:t>84</w:t>
                  </w:r>
                </w:p>
              </w:tc>
              <w:tc>
                <w:tcPr>
                  <w:tcW w:w="440" w:type="pct"/>
                  <w:tcBorders>
                    <w:tl2br w:val="nil"/>
                    <w:tr2bl w:val="nil"/>
                  </w:tcBorders>
                  <w:shd w:val="clear" w:color="auto" w:fill="auto"/>
                  <w:vAlign w:val="center"/>
                </w:tcPr>
                <w:p w14:paraId="63EAD4A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0"/>
                      <w:sz w:val="18"/>
                      <w:szCs w:val="18"/>
                      <w:lang w:val="en-US"/>
                    </w:rPr>
                  </w:pPr>
                  <w:r>
                    <w:rPr>
                      <w:rFonts w:hint="default" w:ascii="Times New Roman" w:hAnsi="Times New Roman" w:eastAsia="宋体" w:cs="Times New Roman"/>
                      <w:color w:val="auto"/>
                      <w:kern w:val="0"/>
                      <w:sz w:val="18"/>
                      <w:szCs w:val="18"/>
                      <w:lang w:val="en-US" w:eastAsia="zh-CN"/>
                    </w:rPr>
                    <w:t>袋式除尘器</w:t>
                  </w:r>
                </w:p>
              </w:tc>
              <w:tc>
                <w:tcPr>
                  <w:tcW w:w="273" w:type="pct"/>
                  <w:tcBorders>
                    <w:tl2br w:val="nil"/>
                    <w:tr2bl w:val="nil"/>
                  </w:tcBorders>
                  <w:shd w:val="clear" w:color="auto" w:fill="auto"/>
                  <w:vAlign w:val="center"/>
                </w:tcPr>
                <w:p w14:paraId="4DE486B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0"/>
                      <w:sz w:val="18"/>
                      <w:szCs w:val="18"/>
                      <w:lang w:val="en-US"/>
                    </w:rPr>
                  </w:pPr>
                  <w:r>
                    <w:rPr>
                      <w:rFonts w:hint="default" w:ascii="Times New Roman" w:hAnsi="Times New Roman" w:eastAsia="宋体" w:cs="Times New Roman"/>
                      <w:color w:val="auto"/>
                      <w:kern w:val="0"/>
                      <w:sz w:val="18"/>
                      <w:szCs w:val="18"/>
                      <w:lang w:val="en-US" w:eastAsia="zh-CN" w:bidi="ar"/>
                    </w:rPr>
                    <w:t>9</w:t>
                  </w:r>
                  <w:r>
                    <w:rPr>
                      <w:rFonts w:hint="eastAsia" w:cs="Times New Roman"/>
                      <w:color w:val="auto"/>
                      <w:kern w:val="0"/>
                      <w:sz w:val="18"/>
                      <w:szCs w:val="18"/>
                      <w:lang w:val="en-US" w:eastAsia="zh-CN" w:bidi="ar"/>
                    </w:rPr>
                    <w:t>5</w:t>
                  </w:r>
                  <w:r>
                    <w:rPr>
                      <w:rFonts w:hint="default" w:ascii="Times New Roman" w:hAnsi="Times New Roman" w:eastAsia="宋体" w:cs="Times New Roman"/>
                      <w:color w:val="auto"/>
                      <w:kern w:val="0"/>
                      <w:sz w:val="18"/>
                      <w:szCs w:val="18"/>
                      <w:lang w:val="en-US" w:eastAsia="zh-CN" w:bidi="ar"/>
                    </w:rPr>
                    <w:t>%</w:t>
                  </w:r>
                </w:p>
              </w:tc>
              <w:tc>
                <w:tcPr>
                  <w:tcW w:w="332" w:type="pct"/>
                  <w:tcBorders>
                    <w:tl2br w:val="nil"/>
                    <w:tr2bl w:val="nil"/>
                  </w:tcBorders>
                  <w:shd w:val="clear" w:color="auto" w:fill="auto"/>
                  <w:noWrap/>
                  <w:vAlign w:val="center"/>
                </w:tcPr>
                <w:p w14:paraId="4331C5D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0"/>
                      <w:sz w:val="18"/>
                      <w:szCs w:val="18"/>
                      <w:lang w:val="en-US"/>
                    </w:rPr>
                  </w:pPr>
                  <w:r>
                    <w:rPr>
                      <w:rFonts w:hint="eastAsia" w:cs="Times New Roman"/>
                      <w:color w:val="auto"/>
                      <w:kern w:val="0"/>
                      <w:sz w:val="18"/>
                      <w:szCs w:val="18"/>
                      <w:lang w:val="en-US" w:eastAsia="zh-CN"/>
                    </w:rPr>
                    <w:t>2500</w:t>
                  </w:r>
                </w:p>
              </w:tc>
              <w:tc>
                <w:tcPr>
                  <w:tcW w:w="907" w:type="dxa"/>
                  <w:tcBorders>
                    <w:tl2br w:val="nil"/>
                    <w:tr2bl w:val="nil"/>
                  </w:tcBorders>
                  <w:shd w:val="clear" w:color="auto" w:fill="auto"/>
                  <w:noWrap/>
                  <w:vAlign w:val="center"/>
                </w:tcPr>
                <w:p w14:paraId="5028933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0"/>
                      <w:sz w:val="18"/>
                      <w:szCs w:val="18"/>
                      <w:lang w:val="en-US" w:eastAsia="zh-CN"/>
                    </w:rPr>
                  </w:pPr>
                  <w:r>
                    <w:rPr>
                      <w:rFonts w:hint="default" w:ascii="Times New Roman" w:hAnsi="Times New Roman" w:eastAsia="宋体" w:cs="Times New Roman"/>
                      <w:color w:val="auto"/>
                      <w:kern w:val="0"/>
                      <w:sz w:val="18"/>
                      <w:szCs w:val="18"/>
                      <w:lang w:val="en-US" w:eastAsia="zh-CN" w:bidi="ar"/>
                    </w:rPr>
                    <w:t>6.</w:t>
                  </w:r>
                  <w:r>
                    <w:rPr>
                      <w:rFonts w:hint="eastAsia" w:cs="Times New Roman"/>
                      <w:color w:val="auto"/>
                      <w:kern w:val="0"/>
                      <w:sz w:val="18"/>
                      <w:szCs w:val="18"/>
                      <w:lang w:val="en-US" w:eastAsia="zh-CN" w:bidi="ar"/>
                    </w:rPr>
                    <w:t>5</w:t>
                  </w:r>
                </w:p>
              </w:tc>
              <w:tc>
                <w:tcPr>
                  <w:tcW w:w="856" w:type="dxa"/>
                  <w:tcBorders>
                    <w:tl2br w:val="nil"/>
                    <w:tr2bl w:val="nil"/>
                  </w:tcBorders>
                  <w:shd w:val="clear" w:color="auto" w:fill="auto"/>
                  <w:noWrap/>
                  <w:vAlign w:val="center"/>
                </w:tcPr>
                <w:p w14:paraId="7EAD3B9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0"/>
                      <w:sz w:val="18"/>
                      <w:szCs w:val="18"/>
                      <w:lang w:val="en-US" w:eastAsia="zh-CN"/>
                    </w:rPr>
                  </w:pPr>
                  <w:r>
                    <w:rPr>
                      <w:rFonts w:hint="default" w:ascii="Times New Roman" w:hAnsi="Times New Roman" w:eastAsia="宋体" w:cs="Times New Roman"/>
                      <w:color w:val="auto"/>
                      <w:kern w:val="0"/>
                      <w:sz w:val="18"/>
                      <w:szCs w:val="18"/>
                      <w:lang w:val="en-US" w:eastAsia="zh-CN" w:bidi="ar"/>
                    </w:rPr>
                    <w:t>0.01</w:t>
                  </w:r>
                  <w:r>
                    <w:rPr>
                      <w:rFonts w:hint="eastAsia" w:cs="Times New Roman"/>
                      <w:color w:val="auto"/>
                      <w:kern w:val="0"/>
                      <w:sz w:val="18"/>
                      <w:szCs w:val="18"/>
                      <w:lang w:val="en-US" w:eastAsia="zh-CN" w:bidi="ar"/>
                    </w:rPr>
                    <w:t>6</w:t>
                  </w:r>
                </w:p>
              </w:tc>
              <w:tc>
                <w:tcPr>
                  <w:tcW w:w="894" w:type="dxa"/>
                  <w:tcBorders>
                    <w:tl2br w:val="nil"/>
                    <w:tr2bl w:val="nil"/>
                  </w:tcBorders>
                  <w:shd w:val="clear" w:color="auto" w:fill="auto"/>
                  <w:noWrap/>
                  <w:vAlign w:val="center"/>
                </w:tcPr>
                <w:p w14:paraId="5056E27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0"/>
                      <w:sz w:val="18"/>
                      <w:szCs w:val="18"/>
                      <w:lang w:val="en-US" w:eastAsia="zh-CN"/>
                    </w:rPr>
                  </w:pPr>
                  <w:r>
                    <w:rPr>
                      <w:rFonts w:hint="default" w:ascii="Times New Roman" w:hAnsi="Times New Roman" w:eastAsia="宋体" w:cs="Times New Roman"/>
                      <w:color w:val="auto"/>
                      <w:kern w:val="0"/>
                      <w:sz w:val="18"/>
                      <w:szCs w:val="18"/>
                      <w:lang w:val="en-US" w:eastAsia="zh-CN" w:bidi="ar"/>
                    </w:rPr>
                    <w:t>0.03</w:t>
                  </w:r>
                  <w:r>
                    <w:rPr>
                      <w:rFonts w:hint="eastAsia" w:cs="Times New Roman"/>
                      <w:color w:val="auto"/>
                      <w:kern w:val="0"/>
                      <w:sz w:val="18"/>
                      <w:szCs w:val="18"/>
                      <w:lang w:val="en-US" w:eastAsia="zh-CN" w:bidi="ar"/>
                    </w:rPr>
                    <w:t>9</w:t>
                  </w:r>
                </w:p>
              </w:tc>
              <w:tc>
                <w:tcPr>
                  <w:tcW w:w="285" w:type="pct"/>
                  <w:tcBorders>
                    <w:tl2br w:val="nil"/>
                    <w:tr2bl w:val="nil"/>
                  </w:tcBorders>
                  <w:shd w:val="clear" w:color="auto" w:fill="auto"/>
                  <w:noWrap/>
                  <w:vAlign w:val="center"/>
                </w:tcPr>
                <w:p w14:paraId="19F698D8">
                  <w:pPr>
                    <w:keepNext w:val="0"/>
                    <w:keepLines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olor w:val="auto"/>
                      <w:kern w:val="0"/>
                      <w:sz w:val="18"/>
                      <w:szCs w:val="18"/>
                      <w:lang w:val="en-US" w:eastAsia="zh-CN"/>
                    </w:rPr>
                  </w:pPr>
                  <w:r>
                    <w:rPr>
                      <w:rFonts w:hint="eastAsia" w:cs="Times New Roman"/>
                      <w:color w:val="auto"/>
                      <w:sz w:val="18"/>
                      <w:szCs w:val="18"/>
                      <w:lang w:val="en-US" w:eastAsia="zh-CN"/>
                    </w:rPr>
                    <w:t>20</w:t>
                  </w:r>
                </w:p>
              </w:tc>
              <w:tc>
                <w:tcPr>
                  <w:tcW w:w="230" w:type="pct"/>
                  <w:tcBorders>
                    <w:tl2br w:val="nil"/>
                    <w:tr2bl w:val="nil"/>
                  </w:tcBorders>
                  <w:shd w:val="clear" w:color="auto" w:fill="auto"/>
                  <w:noWrap/>
                  <w:vAlign w:val="center"/>
                </w:tcPr>
                <w:p w14:paraId="5EC68826">
                  <w:pPr>
                    <w:keepNext w:val="0"/>
                    <w:keepLines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olor w:val="auto"/>
                      <w:kern w:val="0"/>
                      <w:sz w:val="18"/>
                      <w:szCs w:val="18"/>
                      <w:lang w:val="en-US" w:eastAsia="zh-CN" w:bidi="ar"/>
                    </w:rPr>
                  </w:pPr>
                  <w:r>
                    <w:rPr>
                      <w:rFonts w:hint="eastAsia" w:cs="Times New Roman"/>
                      <w:color w:val="auto"/>
                      <w:kern w:val="0"/>
                      <w:sz w:val="18"/>
                      <w:szCs w:val="18"/>
                      <w:lang w:val="en-US" w:eastAsia="zh-CN" w:bidi="ar"/>
                    </w:rPr>
                    <w:t>1</w:t>
                  </w:r>
                </w:p>
              </w:tc>
              <w:tc>
                <w:tcPr>
                  <w:tcW w:w="301" w:type="pct"/>
                  <w:tcBorders>
                    <w:tl2br w:val="nil"/>
                    <w:tr2bl w:val="nil"/>
                  </w:tcBorders>
                  <w:shd w:val="clear" w:color="auto" w:fill="auto"/>
                  <w:noWrap/>
                  <w:vAlign w:val="center"/>
                </w:tcPr>
                <w:p w14:paraId="5357757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0"/>
                      <w:sz w:val="18"/>
                      <w:szCs w:val="18"/>
                      <w:lang w:val="en-US" w:eastAsia="zh-CN" w:bidi="ar"/>
                    </w:rPr>
                  </w:pPr>
                  <w:r>
                    <w:rPr>
                      <w:rFonts w:hint="default" w:ascii="Times New Roman" w:hAnsi="Times New Roman" w:eastAsia="宋体" w:cs="Times New Roman"/>
                      <w:color w:val="auto"/>
                      <w:kern w:val="0"/>
                      <w:sz w:val="18"/>
                      <w:szCs w:val="18"/>
                      <w:lang w:val="en-US" w:eastAsia="zh-CN" w:bidi="ar"/>
                    </w:rPr>
                    <w:t>2400</w:t>
                  </w:r>
                </w:p>
              </w:tc>
            </w:tr>
          </w:tbl>
          <w:p w14:paraId="374AE92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80"/>
              <w:textAlignment w:val="auto"/>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rPr>
              <w:t>由上述分析可知，DA00</w:t>
            </w:r>
            <w:r>
              <w:rPr>
                <w:rFonts w:hint="default" w:ascii="Times New Roman" w:hAnsi="Times New Roman" w:eastAsia="宋体" w:cs="Times New Roman"/>
                <w:color w:val="auto"/>
                <w:lang w:val="en-US" w:eastAsia="zh-CN"/>
              </w:rPr>
              <w:t>1</w:t>
            </w:r>
            <w:r>
              <w:rPr>
                <w:rFonts w:hint="default" w:ascii="Times New Roman" w:hAnsi="Times New Roman" w:eastAsia="宋体" w:cs="Times New Roman"/>
                <w:color w:val="auto"/>
              </w:rPr>
              <w:t>排气筒</w:t>
            </w:r>
            <w:r>
              <w:rPr>
                <w:rFonts w:hint="default" w:ascii="Times New Roman" w:hAnsi="Times New Roman" w:eastAsia="宋体" w:cs="Times New Roman"/>
                <w:color w:val="auto"/>
                <w:lang w:eastAsia="zh-CN"/>
              </w:rPr>
              <w:t>颗粒物</w:t>
            </w:r>
            <w:r>
              <w:rPr>
                <w:rFonts w:hint="default" w:ascii="Times New Roman" w:hAnsi="Times New Roman" w:eastAsia="宋体" w:cs="Times New Roman"/>
                <w:color w:val="auto"/>
                <w:lang w:val="en-US" w:eastAsia="zh-CN"/>
              </w:rPr>
              <w:t>排放浓度</w:t>
            </w:r>
            <w:r>
              <w:rPr>
                <w:rFonts w:hint="eastAsia" w:cs="Times New Roman"/>
                <w:color w:val="auto"/>
                <w:lang w:val="en-US" w:eastAsia="zh-CN"/>
              </w:rPr>
              <w:t>及速率</w:t>
            </w:r>
            <w:r>
              <w:rPr>
                <w:rFonts w:hint="default" w:ascii="Times New Roman" w:hAnsi="Times New Roman" w:eastAsia="宋体" w:cs="Times New Roman"/>
                <w:color w:val="auto"/>
              </w:rPr>
              <w:t>满足</w:t>
            </w:r>
            <w:r>
              <w:rPr>
                <w:rFonts w:hint="default" w:ascii="Times New Roman" w:hAnsi="Times New Roman" w:eastAsia="宋体" w:cs="Times New Roman"/>
                <w:color w:val="auto"/>
                <w:lang w:val="en-US" w:eastAsia="zh-CN"/>
              </w:rPr>
              <w:t>江苏省地方标准</w:t>
            </w:r>
            <w:r>
              <w:rPr>
                <w:rFonts w:hint="default" w:ascii="Times New Roman" w:hAnsi="Times New Roman" w:eastAsia="宋体" w:cs="Times New Roman"/>
                <w:color w:val="auto"/>
              </w:rPr>
              <w:t>《大气污染物综合排放标准》（DB32/4041-2021）表1排放限值</w:t>
            </w:r>
            <w:r>
              <w:rPr>
                <w:rFonts w:hint="eastAsia" w:cs="Times New Roman"/>
                <w:color w:val="auto"/>
                <w:lang w:eastAsia="zh-CN"/>
              </w:rPr>
              <w:t>要求</w:t>
            </w:r>
            <w:r>
              <w:rPr>
                <w:rFonts w:hint="default" w:ascii="Times New Roman" w:hAnsi="Times New Roman" w:eastAsia="宋体" w:cs="Times New Roman"/>
                <w:color w:val="auto"/>
                <w:lang w:val="en-US" w:eastAsia="zh-CN"/>
              </w:rPr>
              <w:t>。</w:t>
            </w:r>
          </w:p>
          <w:p w14:paraId="2CFC955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lang w:val="en-US" w:eastAsia="zh-CN"/>
              </w:rPr>
            </w:pPr>
            <w:r>
              <w:rPr>
                <w:rFonts w:hint="default" w:ascii="Times New Roman" w:hAnsi="Times New Roman" w:eastAsia="宋体" w:cs="Times New Roman"/>
                <w:b/>
                <w:bCs/>
                <w:color w:val="auto"/>
                <w:lang w:val="en-US" w:eastAsia="zh-CN"/>
              </w:rPr>
              <w:t xml:space="preserve">表4.1-3  </w:t>
            </w:r>
            <w:r>
              <w:rPr>
                <w:rFonts w:hint="eastAsia" w:cs="Times New Roman"/>
                <w:b/>
                <w:bCs/>
                <w:color w:val="auto"/>
                <w:lang w:val="en-US" w:eastAsia="zh-CN"/>
              </w:rPr>
              <w:t>拟建</w:t>
            </w:r>
            <w:r>
              <w:rPr>
                <w:rFonts w:hint="default" w:ascii="Times New Roman" w:hAnsi="Times New Roman" w:eastAsia="宋体" w:cs="Times New Roman"/>
                <w:b/>
                <w:bCs/>
                <w:color w:val="auto"/>
                <w:lang w:val="en-US" w:eastAsia="zh-CN"/>
              </w:rPr>
              <w:t>项目无组织废气污染源源强核算结果及相关参数一览表</w:t>
            </w:r>
          </w:p>
          <w:tbl>
            <w:tblPr>
              <w:tblStyle w:val="28"/>
              <w:tblW w:w="4998"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8"/>
              <w:gridCol w:w="1588"/>
              <w:gridCol w:w="1588"/>
              <w:gridCol w:w="1591"/>
              <w:gridCol w:w="1588"/>
              <w:gridCol w:w="1588"/>
              <w:gridCol w:w="1588"/>
              <w:gridCol w:w="2377"/>
            </w:tblGrid>
            <w:tr w14:paraId="77E335B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22" w:hRule="atLeast"/>
              </w:trPr>
              <w:tc>
                <w:tcPr>
                  <w:tcW w:w="588" w:type="pct"/>
                  <w:vMerge w:val="restart"/>
                  <w:tcBorders>
                    <w:tl2br w:val="nil"/>
                    <w:tr2bl w:val="nil"/>
                  </w:tcBorders>
                  <w:vAlign w:val="center"/>
                </w:tcPr>
                <w:p w14:paraId="5D1A0F0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污染源位置</w:t>
                  </w:r>
                </w:p>
              </w:tc>
              <w:tc>
                <w:tcPr>
                  <w:tcW w:w="588" w:type="pct"/>
                  <w:vMerge w:val="restart"/>
                  <w:tcBorders>
                    <w:tl2br w:val="nil"/>
                    <w:tr2bl w:val="nil"/>
                  </w:tcBorders>
                  <w:vAlign w:val="center"/>
                </w:tcPr>
                <w:p w14:paraId="09267A17">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污染物名称</w:t>
                  </w:r>
                </w:p>
              </w:tc>
              <w:tc>
                <w:tcPr>
                  <w:tcW w:w="1177" w:type="pct"/>
                  <w:gridSpan w:val="2"/>
                  <w:tcBorders>
                    <w:tl2br w:val="nil"/>
                    <w:tr2bl w:val="nil"/>
                  </w:tcBorders>
                  <w:vAlign w:val="center"/>
                </w:tcPr>
                <w:p w14:paraId="4CB2EE9F">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排放源强</w:t>
                  </w:r>
                </w:p>
              </w:tc>
              <w:tc>
                <w:tcPr>
                  <w:tcW w:w="588" w:type="pct"/>
                  <w:vMerge w:val="restart"/>
                  <w:tcBorders>
                    <w:tl2br w:val="nil"/>
                    <w:tr2bl w:val="nil"/>
                  </w:tcBorders>
                  <w:vAlign w:val="center"/>
                </w:tcPr>
                <w:p w14:paraId="229668C2">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面源长度(m)</w:t>
                  </w:r>
                </w:p>
              </w:tc>
              <w:tc>
                <w:tcPr>
                  <w:tcW w:w="588" w:type="pct"/>
                  <w:vMerge w:val="restart"/>
                  <w:tcBorders>
                    <w:tl2br w:val="nil"/>
                    <w:tr2bl w:val="nil"/>
                  </w:tcBorders>
                  <w:vAlign w:val="center"/>
                </w:tcPr>
                <w:p w14:paraId="0F2143E5">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面源宽度(m)</w:t>
                  </w:r>
                </w:p>
              </w:tc>
              <w:tc>
                <w:tcPr>
                  <w:tcW w:w="588" w:type="pct"/>
                  <w:vMerge w:val="restart"/>
                  <w:tcBorders>
                    <w:tl2br w:val="nil"/>
                    <w:tr2bl w:val="nil"/>
                  </w:tcBorders>
                  <w:vAlign w:val="center"/>
                </w:tcPr>
                <w:p w14:paraId="5CA305CB">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面源高度(m)</w:t>
                  </w:r>
                </w:p>
              </w:tc>
              <w:tc>
                <w:tcPr>
                  <w:tcW w:w="880" w:type="pct"/>
                  <w:vMerge w:val="restart"/>
                  <w:tcBorders>
                    <w:tl2br w:val="nil"/>
                    <w:tr2bl w:val="nil"/>
                  </w:tcBorders>
                  <w:vAlign w:val="center"/>
                </w:tcPr>
                <w:p w14:paraId="36643707">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排放时间(h)</w:t>
                  </w:r>
                </w:p>
              </w:tc>
            </w:tr>
            <w:tr w14:paraId="1998FC7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07" w:hRule="atLeast"/>
              </w:trPr>
              <w:tc>
                <w:tcPr>
                  <w:tcW w:w="588" w:type="pct"/>
                  <w:vMerge w:val="continue"/>
                  <w:tcBorders>
                    <w:tl2br w:val="nil"/>
                    <w:tr2bl w:val="nil"/>
                  </w:tcBorders>
                  <w:vAlign w:val="center"/>
                </w:tcPr>
                <w:p w14:paraId="62844816">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p>
              </w:tc>
              <w:tc>
                <w:tcPr>
                  <w:tcW w:w="588" w:type="pct"/>
                  <w:vMerge w:val="continue"/>
                  <w:tcBorders>
                    <w:tl2br w:val="nil"/>
                    <w:tr2bl w:val="nil"/>
                  </w:tcBorders>
                  <w:vAlign w:val="center"/>
                </w:tcPr>
                <w:p w14:paraId="279D2D52">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p>
              </w:tc>
              <w:tc>
                <w:tcPr>
                  <w:tcW w:w="588" w:type="pct"/>
                  <w:tcBorders>
                    <w:tl2br w:val="nil"/>
                    <w:tr2bl w:val="nil"/>
                  </w:tcBorders>
                  <w:vAlign w:val="center"/>
                </w:tcPr>
                <w:p w14:paraId="3B92032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b/>
                      <w:bCs/>
                      <w:color w:val="auto"/>
                      <w:sz w:val="18"/>
                      <w:szCs w:val="18"/>
                    </w:rPr>
                    <w:t>(kg/h)</w:t>
                  </w:r>
                </w:p>
              </w:tc>
              <w:tc>
                <w:tcPr>
                  <w:tcW w:w="589" w:type="pct"/>
                  <w:tcBorders>
                    <w:tl2br w:val="nil"/>
                    <w:tr2bl w:val="nil"/>
                  </w:tcBorders>
                  <w:vAlign w:val="center"/>
                </w:tcPr>
                <w:p w14:paraId="2265BBD7">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b/>
                      <w:bCs/>
                      <w:color w:val="auto"/>
                      <w:sz w:val="18"/>
                      <w:szCs w:val="18"/>
                    </w:rPr>
                    <w:t>(t/a)</w:t>
                  </w:r>
                </w:p>
              </w:tc>
              <w:tc>
                <w:tcPr>
                  <w:tcW w:w="588" w:type="pct"/>
                  <w:vMerge w:val="continue"/>
                  <w:tcBorders>
                    <w:tl2br w:val="nil"/>
                    <w:tr2bl w:val="nil"/>
                  </w:tcBorders>
                  <w:vAlign w:val="center"/>
                </w:tcPr>
                <w:p w14:paraId="039DAEE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p>
              </w:tc>
              <w:tc>
                <w:tcPr>
                  <w:tcW w:w="588" w:type="pct"/>
                  <w:vMerge w:val="continue"/>
                  <w:tcBorders>
                    <w:tl2br w:val="nil"/>
                    <w:tr2bl w:val="nil"/>
                  </w:tcBorders>
                  <w:vAlign w:val="center"/>
                </w:tcPr>
                <w:p w14:paraId="0FA3BCA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p>
              </w:tc>
              <w:tc>
                <w:tcPr>
                  <w:tcW w:w="588" w:type="pct"/>
                  <w:vMerge w:val="continue"/>
                  <w:tcBorders>
                    <w:tl2br w:val="nil"/>
                    <w:tr2bl w:val="nil"/>
                  </w:tcBorders>
                  <w:vAlign w:val="center"/>
                </w:tcPr>
                <w:p w14:paraId="0B7E950F">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p>
              </w:tc>
              <w:tc>
                <w:tcPr>
                  <w:tcW w:w="880" w:type="pct"/>
                  <w:vMerge w:val="continue"/>
                  <w:tcBorders>
                    <w:tl2br w:val="nil"/>
                    <w:tr2bl w:val="nil"/>
                  </w:tcBorders>
                  <w:vAlign w:val="center"/>
                </w:tcPr>
                <w:p w14:paraId="29BE1C6C">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p>
              </w:tc>
            </w:tr>
            <w:tr w14:paraId="05D69AC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88" w:type="pct"/>
                  <w:tcBorders>
                    <w:tl2br w:val="nil"/>
                    <w:tr2bl w:val="nil"/>
                  </w:tcBorders>
                  <w:vAlign w:val="center"/>
                </w:tcPr>
                <w:p w14:paraId="0B4CD39A">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lang w:val="en-US" w:eastAsia="zh-CN"/>
                    </w:rPr>
                  </w:pPr>
                  <w:r>
                    <w:rPr>
                      <w:rFonts w:hint="eastAsia" w:cs="Times New Roman"/>
                      <w:color w:val="auto"/>
                      <w:kern w:val="0"/>
                      <w:sz w:val="18"/>
                      <w:szCs w:val="18"/>
                      <w:lang w:val="en-US" w:eastAsia="zh-CN"/>
                    </w:rPr>
                    <w:t>生产厂房</w:t>
                  </w:r>
                </w:p>
              </w:tc>
              <w:tc>
                <w:tcPr>
                  <w:tcW w:w="588" w:type="pct"/>
                  <w:tcBorders>
                    <w:tl2br w:val="nil"/>
                    <w:tr2bl w:val="nil"/>
                  </w:tcBorders>
                  <w:vAlign w:val="center"/>
                </w:tcPr>
                <w:p w14:paraId="6DB7D9C2">
                  <w:pPr>
                    <w:pStyle w:val="42"/>
                    <w:keepNext w:val="0"/>
                    <w:keepLines w:val="0"/>
                    <w:pageBreakBefore w:val="0"/>
                    <w:suppressLineNumbers w:val="0"/>
                    <w:topLinePunct w:val="0"/>
                    <w:autoSpaceDE/>
                    <w:autoSpaceDN/>
                    <w:bidi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color w:val="auto"/>
                      <w:sz w:val="18"/>
                      <w:szCs w:val="18"/>
                      <w:lang w:eastAsia="zh-CN"/>
                    </w:rPr>
                    <w:t>颗粒物</w:t>
                  </w:r>
                </w:p>
              </w:tc>
              <w:tc>
                <w:tcPr>
                  <w:tcW w:w="1588" w:type="dxa"/>
                  <w:tcBorders>
                    <w:tl2br w:val="nil"/>
                    <w:tr2bl w:val="nil"/>
                  </w:tcBorders>
                  <w:vAlign w:val="center"/>
                </w:tcPr>
                <w:p w14:paraId="7233B27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kern w:val="0"/>
                      <w:sz w:val="18"/>
                      <w:szCs w:val="18"/>
                      <w:lang w:val="en-US" w:eastAsia="zh-CN" w:bidi="ar"/>
                    </w:rPr>
                    <w:t>0.0</w:t>
                  </w:r>
                  <w:r>
                    <w:rPr>
                      <w:rFonts w:hint="eastAsia" w:cs="Times New Roman"/>
                      <w:color w:val="auto"/>
                      <w:kern w:val="0"/>
                      <w:sz w:val="18"/>
                      <w:szCs w:val="18"/>
                      <w:lang w:val="en-US" w:eastAsia="zh-CN" w:bidi="ar"/>
                    </w:rPr>
                    <w:t>17</w:t>
                  </w:r>
                </w:p>
              </w:tc>
              <w:tc>
                <w:tcPr>
                  <w:tcW w:w="1591" w:type="dxa"/>
                  <w:tcBorders>
                    <w:tl2br w:val="nil"/>
                    <w:tr2bl w:val="nil"/>
                  </w:tcBorders>
                  <w:vAlign w:val="center"/>
                </w:tcPr>
                <w:p w14:paraId="0B12721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kern w:val="0"/>
                      <w:sz w:val="18"/>
                      <w:szCs w:val="18"/>
                      <w:lang w:val="en-US" w:eastAsia="zh-CN" w:bidi="ar"/>
                    </w:rPr>
                    <w:t>0.0</w:t>
                  </w:r>
                  <w:r>
                    <w:rPr>
                      <w:rFonts w:hint="eastAsia" w:cs="Times New Roman"/>
                      <w:color w:val="auto"/>
                      <w:kern w:val="0"/>
                      <w:sz w:val="18"/>
                      <w:szCs w:val="18"/>
                      <w:lang w:val="en-US" w:eastAsia="zh-CN" w:bidi="ar"/>
                    </w:rPr>
                    <w:t>41</w:t>
                  </w:r>
                </w:p>
              </w:tc>
              <w:tc>
                <w:tcPr>
                  <w:tcW w:w="588" w:type="pct"/>
                  <w:tcBorders>
                    <w:tl2br w:val="nil"/>
                    <w:tr2bl w:val="nil"/>
                  </w:tcBorders>
                  <w:vAlign w:val="center"/>
                </w:tcPr>
                <w:p w14:paraId="099F066B">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lang w:val="en-US" w:eastAsia="zh-CN"/>
                    </w:rPr>
                  </w:pPr>
                  <w:r>
                    <w:rPr>
                      <w:rFonts w:hint="eastAsia" w:cs="Times New Roman"/>
                      <w:color w:val="auto"/>
                      <w:sz w:val="18"/>
                      <w:szCs w:val="18"/>
                      <w:lang w:val="en-US" w:eastAsia="zh-CN"/>
                    </w:rPr>
                    <w:t>70</w:t>
                  </w:r>
                </w:p>
              </w:tc>
              <w:tc>
                <w:tcPr>
                  <w:tcW w:w="588" w:type="pct"/>
                  <w:tcBorders>
                    <w:tl2br w:val="nil"/>
                    <w:tr2bl w:val="nil"/>
                  </w:tcBorders>
                  <w:vAlign w:val="center"/>
                </w:tcPr>
                <w:p w14:paraId="6FEAE8D6">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lang w:val="en-US" w:eastAsia="zh-CN"/>
                    </w:rPr>
                  </w:pPr>
                  <w:r>
                    <w:rPr>
                      <w:rFonts w:hint="eastAsia" w:cs="Times New Roman"/>
                      <w:color w:val="auto"/>
                      <w:sz w:val="18"/>
                      <w:szCs w:val="18"/>
                      <w:lang w:val="en-US" w:eastAsia="zh-CN"/>
                    </w:rPr>
                    <w:t>20</w:t>
                  </w:r>
                </w:p>
              </w:tc>
              <w:tc>
                <w:tcPr>
                  <w:tcW w:w="588" w:type="pct"/>
                  <w:tcBorders>
                    <w:tl2br w:val="nil"/>
                    <w:tr2bl w:val="nil"/>
                  </w:tcBorders>
                  <w:vAlign w:val="center"/>
                </w:tcPr>
                <w:p w14:paraId="404E56D3">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10</w:t>
                  </w:r>
                </w:p>
              </w:tc>
              <w:tc>
                <w:tcPr>
                  <w:tcW w:w="880" w:type="pct"/>
                  <w:tcBorders>
                    <w:tl2br w:val="nil"/>
                    <w:tr2bl w:val="nil"/>
                  </w:tcBorders>
                  <w:vAlign w:val="center"/>
                </w:tcPr>
                <w:p w14:paraId="2182852A">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2400</w:t>
                  </w:r>
                </w:p>
              </w:tc>
            </w:tr>
          </w:tbl>
          <w:p w14:paraId="5929002B">
            <w:pPr>
              <w:keepNext w:val="0"/>
              <w:keepLines w:val="0"/>
              <w:pageBreakBefore w:val="0"/>
              <w:widowControl w:val="0"/>
              <w:suppressLineNumbers w:val="0"/>
              <w:kinsoku/>
              <w:wordWrap/>
              <w:overflowPunct/>
              <w:topLinePunct w:val="0"/>
              <w:autoSpaceDE/>
              <w:autoSpaceDN/>
              <w:bidi w:val="0"/>
              <w:adjustRightInd/>
              <w:snapToGrid/>
              <w:spacing w:before="157" w:beforeLines="5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lang w:val="en-US" w:eastAsia="zh-CN"/>
              </w:rPr>
            </w:pPr>
            <w:r>
              <w:rPr>
                <w:rFonts w:hint="default" w:ascii="Times New Roman" w:hAnsi="Times New Roman" w:eastAsia="宋体" w:cs="Times New Roman"/>
                <w:b/>
                <w:bCs/>
                <w:color w:val="auto"/>
                <w:lang w:val="en-US" w:eastAsia="zh-CN"/>
              </w:rPr>
              <w:t xml:space="preserve">表4.1-4  </w:t>
            </w:r>
            <w:r>
              <w:rPr>
                <w:rFonts w:hint="eastAsia" w:cs="Times New Roman"/>
                <w:b/>
                <w:bCs/>
                <w:color w:val="auto"/>
                <w:lang w:val="en-US" w:eastAsia="zh-CN"/>
              </w:rPr>
              <w:t>拟建</w:t>
            </w:r>
            <w:r>
              <w:rPr>
                <w:rFonts w:hint="default" w:ascii="Times New Roman" w:hAnsi="Times New Roman" w:eastAsia="宋体" w:cs="Times New Roman"/>
                <w:b/>
                <w:bCs/>
                <w:color w:val="auto"/>
                <w:lang w:val="en-US" w:eastAsia="zh-CN"/>
              </w:rPr>
              <w:t>项目废气收集、治理措施及排放情况汇总表</w:t>
            </w:r>
          </w:p>
          <w:tbl>
            <w:tblPr>
              <w:tblStyle w:val="28"/>
              <w:tblW w:w="4998" w:type="pct"/>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108" w:type="dxa"/>
                <w:bottom w:w="0" w:type="dxa"/>
                <w:right w:w="108" w:type="dxa"/>
              </w:tblCellMar>
            </w:tblPr>
            <w:tblGrid>
              <w:gridCol w:w="2592"/>
              <w:gridCol w:w="1283"/>
              <w:gridCol w:w="1972"/>
              <w:gridCol w:w="1777"/>
              <w:gridCol w:w="1337"/>
              <w:gridCol w:w="1075"/>
              <w:gridCol w:w="1742"/>
              <w:gridCol w:w="1718"/>
            </w:tblGrid>
            <w:tr w14:paraId="5206BE47">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1435" w:type="pct"/>
                  <w:gridSpan w:val="2"/>
                  <w:tcBorders>
                    <w:tl2br w:val="nil"/>
                    <w:tr2bl w:val="nil"/>
                  </w:tcBorders>
                  <w:vAlign w:val="center"/>
                </w:tcPr>
                <w:p w14:paraId="5D7086F4">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产污环节</w:t>
                  </w:r>
                </w:p>
              </w:tc>
              <w:tc>
                <w:tcPr>
                  <w:tcW w:w="730" w:type="pct"/>
                  <w:vMerge w:val="restart"/>
                  <w:tcBorders>
                    <w:tl2br w:val="nil"/>
                    <w:tr2bl w:val="nil"/>
                  </w:tcBorders>
                  <w:vAlign w:val="center"/>
                </w:tcPr>
                <w:p w14:paraId="171A405E">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污染物种类</w:t>
                  </w:r>
                </w:p>
              </w:tc>
              <w:tc>
                <w:tcPr>
                  <w:tcW w:w="658" w:type="pct"/>
                  <w:vMerge w:val="restart"/>
                  <w:tcBorders>
                    <w:tl2br w:val="nil"/>
                    <w:tr2bl w:val="nil"/>
                  </w:tcBorders>
                  <w:vAlign w:val="center"/>
                </w:tcPr>
                <w:p w14:paraId="4949C935">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收集方式</w:t>
                  </w:r>
                </w:p>
              </w:tc>
              <w:tc>
                <w:tcPr>
                  <w:tcW w:w="495" w:type="pct"/>
                  <w:vMerge w:val="restart"/>
                  <w:tcBorders>
                    <w:tl2br w:val="nil"/>
                    <w:tr2bl w:val="nil"/>
                  </w:tcBorders>
                  <w:vAlign w:val="center"/>
                </w:tcPr>
                <w:p w14:paraId="4BBF26F6">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治理工艺</w:t>
                  </w:r>
                </w:p>
              </w:tc>
              <w:tc>
                <w:tcPr>
                  <w:tcW w:w="398" w:type="pct"/>
                  <w:vMerge w:val="restart"/>
                  <w:tcBorders>
                    <w:tl2br w:val="nil"/>
                    <w:tr2bl w:val="nil"/>
                  </w:tcBorders>
                  <w:vAlign w:val="center"/>
                </w:tcPr>
                <w:p w14:paraId="083E0AB5">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去除效率</w:t>
                  </w:r>
                </w:p>
              </w:tc>
              <w:tc>
                <w:tcPr>
                  <w:tcW w:w="645" w:type="pct"/>
                  <w:vMerge w:val="restart"/>
                  <w:tcBorders>
                    <w:tl2br w:val="nil"/>
                    <w:tr2bl w:val="nil"/>
                  </w:tcBorders>
                  <w:vAlign w:val="center"/>
                </w:tcPr>
                <w:p w14:paraId="702EC9CE">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lang w:eastAsia="zh-CN"/>
                    </w:rPr>
                  </w:pPr>
                  <w:r>
                    <w:rPr>
                      <w:rFonts w:hint="default" w:ascii="Times New Roman" w:hAnsi="Times New Roman" w:eastAsia="宋体" w:cs="Times New Roman"/>
                      <w:b/>
                      <w:bCs/>
                      <w:color w:val="auto"/>
                      <w:sz w:val="18"/>
                      <w:szCs w:val="18"/>
                    </w:rPr>
                    <w:t>是否为可行技术</w:t>
                  </w:r>
                </w:p>
              </w:tc>
              <w:tc>
                <w:tcPr>
                  <w:tcW w:w="636" w:type="pct"/>
                  <w:vMerge w:val="restart"/>
                  <w:tcBorders>
                    <w:tl2br w:val="nil"/>
                    <w:tr2bl w:val="nil"/>
                  </w:tcBorders>
                  <w:vAlign w:val="center"/>
                </w:tcPr>
                <w:p w14:paraId="50C54C3E">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排放形式</w:t>
                  </w:r>
                </w:p>
              </w:tc>
            </w:tr>
            <w:tr w14:paraId="478629E2">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20" w:hRule="atLeast"/>
                <w:jc w:val="center"/>
              </w:trPr>
              <w:tc>
                <w:tcPr>
                  <w:tcW w:w="960" w:type="pct"/>
                  <w:tcBorders>
                    <w:tl2br w:val="nil"/>
                    <w:tr2bl w:val="nil"/>
                  </w:tcBorders>
                  <w:vAlign w:val="center"/>
                </w:tcPr>
                <w:p w14:paraId="36084F0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kern w:val="0"/>
                      <w:sz w:val="18"/>
                      <w:szCs w:val="18"/>
                      <w:lang w:val="en-US" w:eastAsia="zh-CN" w:bidi="ar"/>
                    </w:rPr>
                    <w:t>工序/生产线</w:t>
                  </w:r>
                </w:p>
              </w:tc>
              <w:tc>
                <w:tcPr>
                  <w:tcW w:w="474" w:type="pct"/>
                  <w:tcBorders>
                    <w:tl2br w:val="nil"/>
                    <w:tr2bl w:val="nil"/>
                  </w:tcBorders>
                  <w:vAlign w:val="center"/>
                </w:tcPr>
                <w:p w14:paraId="0774D6F7">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废气种类</w:t>
                  </w:r>
                </w:p>
              </w:tc>
              <w:tc>
                <w:tcPr>
                  <w:tcW w:w="730" w:type="pct"/>
                  <w:vMerge w:val="continue"/>
                  <w:tcBorders>
                    <w:tl2br w:val="nil"/>
                    <w:tr2bl w:val="nil"/>
                  </w:tcBorders>
                  <w:vAlign w:val="center"/>
                </w:tcPr>
                <w:p w14:paraId="36D9C173">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c>
                <w:tcPr>
                  <w:tcW w:w="658" w:type="pct"/>
                  <w:vMerge w:val="continue"/>
                  <w:tcBorders>
                    <w:tl2br w:val="nil"/>
                    <w:tr2bl w:val="nil"/>
                  </w:tcBorders>
                  <w:vAlign w:val="center"/>
                </w:tcPr>
                <w:p w14:paraId="0BA1F869">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c>
                <w:tcPr>
                  <w:tcW w:w="495" w:type="pct"/>
                  <w:vMerge w:val="continue"/>
                  <w:tcBorders>
                    <w:tl2br w:val="nil"/>
                    <w:tr2bl w:val="nil"/>
                  </w:tcBorders>
                  <w:vAlign w:val="center"/>
                </w:tcPr>
                <w:p w14:paraId="18426BB1">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c>
                <w:tcPr>
                  <w:tcW w:w="398" w:type="pct"/>
                  <w:vMerge w:val="continue"/>
                  <w:tcBorders>
                    <w:tl2br w:val="nil"/>
                    <w:tr2bl w:val="nil"/>
                  </w:tcBorders>
                  <w:vAlign w:val="center"/>
                </w:tcPr>
                <w:p w14:paraId="76B04915">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c>
                <w:tcPr>
                  <w:tcW w:w="645" w:type="pct"/>
                  <w:vMerge w:val="continue"/>
                  <w:tcBorders>
                    <w:tl2br w:val="nil"/>
                    <w:tr2bl w:val="nil"/>
                  </w:tcBorders>
                  <w:vAlign w:val="center"/>
                </w:tcPr>
                <w:p w14:paraId="101DC7BD">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c>
                <w:tcPr>
                  <w:tcW w:w="636" w:type="pct"/>
                  <w:vMerge w:val="continue"/>
                  <w:tcBorders>
                    <w:tl2br w:val="nil"/>
                    <w:tr2bl w:val="nil"/>
                  </w:tcBorders>
                  <w:vAlign w:val="center"/>
                </w:tcPr>
                <w:p w14:paraId="0F34EA6C">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r>
            <w:tr w14:paraId="5568D3D0">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960" w:type="pct"/>
                  <w:tcBorders>
                    <w:tl2br w:val="nil"/>
                    <w:tr2bl w:val="nil"/>
                  </w:tcBorders>
                  <w:vAlign w:val="center"/>
                </w:tcPr>
                <w:p w14:paraId="67AB747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kern w:val="0"/>
                      <w:sz w:val="18"/>
                      <w:szCs w:val="18"/>
                      <w:lang w:val="en-US" w:eastAsia="zh-CN"/>
                    </w:rPr>
                    <w:t>配料搅拌</w:t>
                  </w:r>
                  <w:r>
                    <w:rPr>
                      <w:rFonts w:hint="eastAsia" w:cs="Times New Roman"/>
                      <w:color w:val="auto"/>
                      <w:kern w:val="0"/>
                      <w:sz w:val="18"/>
                      <w:szCs w:val="18"/>
                      <w:lang w:val="en-US" w:eastAsia="zh-CN"/>
                    </w:rPr>
                    <w:t>；</w:t>
                  </w:r>
                  <w:r>
                    <w:rPr>
                      <w:rFonts w:hint="default" w:ascii="Times New Roman" w:hAnsi="Times New Roman" w:eastAsia="宋体" w:cs="Times New Roman"/>
                      <w:color w:val="auto"/>
                      <w:kern w:val="0"/>
                      <w:sz w:val="18"/>
                      <w:szCs w:val="18"/>
                      <w:lang w:val="en-US" w:eastAsia="zh-CN"/>
                    </w:rPr>
                    <w:t>平切、立切、切槽</w:t>
                  </w:r>
                </w:p>
              </w:tc>
              <w:tc>
                <w:tcPr>
                  <w:tcW w:w="474" w:type="pct"/>
                  <w:tcBorders>
                    <w:tl2br w:val="nil"/>
                    <w:tr2bl w:val="nil"/>
                  </w:tcBorders>
                  <w:vAlign w:val="center"/>
                </w:tcPr>
                <w:p w14:paraId="5AF69326">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eastAsia" w:cs="Times New Roman"/>
                      <w:color w:val="auto"/>
                      <w:kern w:val="0"/>
                      <w:sz w:val="18"/>
                      <w:szCs w:val="18"/>
                      <w:lang w:val="en-US" w:eastAsia="zh-CN"/>
                    </w:rPr>
                    <w:t>含尘</w:t>
                  </w:r>
                  <w:r>
                    <w:rPr>
                      <w:rFonts w:hint="default" w:ascii="Times New Roman" w:hAnsi="Times New Roman" w:eastAsia="宋体" w:cs="Times New Roman"/>
                      <w:color w:val="auto"/>
                      <w:sz w:val="18"/>
                      <w:szCs w:val="18"/>
                    </w:rPr>
                    <w:t>废气</w:t>
                  </w:r>
                </w:p>
              </w:tc>
              <w:tc>
                <w:tcPr>
                  <w:tcW w:w="730" w:type="pct"/>
                  <w:tcBorders>
                    <w:tl2br w:val="nil"/>
                    <w:tr2bl w:val="nil"/>
                  </w:tcBorders>
                  <w:vAlign w:val="center"/>
                </w:tcPr>
                <w:p w14:paraId="3DC4B9C1">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eastAsia="zh-CN"/>
                    </w:rPr>
                  </w:pPr>
                  <w:r>
                    <w:rPr>
                      <w:rFonts w:hint="default" w:ascii="Times New Roman" w:hAnsi="Times New Roman" w:eastAsia="宋体" w:cs="Times New Roman"/>
                      <w:color w:val="auto"/>
                      <w:sz w:val="18"/>
                      <w:szCs w:val="18"/>
                      <w:lang w:eastAsia="zh-CN"/>
                    </w:rPr>
                    <w:t>颗粒物</w:t>
                  </w:r>
                </w:p>
              </w:tc>
              <w:tc>
                <w:tcPr>
                  <w:tcW w:w="658" w:type="pct"/>
                  <w:tcBorders>
                    <w:tl2br w:val="nil"/>
                    <w:tr2bl w:val="nil"/>
                  </w:tcBorders>
                  <w:vAlign w:val="center"/>
                </w:tcPr>
                <w:p w14:paraId="3AAE9B98">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lang w:val="en-US" w:eastAsia="zh-CN"/>
                    </w:rPr>
                    <w:t>集气罩</w:t>
                  </w:r>
                </w:p>
              </w:tc>
              <w:tc>
                <w:tcPr>
                  <w:tcW w:w="495" w:type="pct"/>
                  <w:tcBorders>
                    <w:tl2br w:val="nil"/>
                    <w:tr2bl w:val="nil"/>
                  </w:tcBorders>
                  <w:vAlign w:val="center"/>
                </w:tcPr>
                <w:p w14:paraId="4DBAB37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袋式除尘</w:t>
                  </w:r>
                </w:p>
              </w:tc>
              <w:tc>
                <w:tcPr>
                  <w:tcW w:w="398" w:type="pct"/>
                  <w:tcBorders>
                    <w:tl2br w:val="nil"/>
                    <w:tr2bl w:val="nil"/>
                  </w:tcBorders>
                  <w:vAlign w:val="center"/>
                </w:tcPr>
                <w:p w14:paraId="3D3328AB">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lang w:val="en-US" w:eastAsia="zh-CN"/>
                    </w:rPr>
                    <w:t>9</w:t>
                  </w:r>
                  <w:r>
                    <w:rPr>
                      <w:rFonts w:hint="eastAsia" w:cs="Times New Roman"/>
                      <w:color w:val="auto"/>
                      <w:sz w:val="18"/>
                      <w:szCs w:val="18"/>
                      <w:lang w:val="en-US" w:eastAsia="zh-CN"/>
                    </w:rPr>
                    <w:t>5</w:t>
                  </w:r>
                  <w:r>
                    <w:rPr>
                      <w:rFonts w:hint="default" w:ascii="Times New Roman" w:hAnsi="Times New Roman" w:eastAsia="宋体" w:cs="Times New Roman"/>
                      <w:color w:val="auto"/>
                      <w:sz w:val="18"/>
                      <w:szCs w:val="18"/>
                    </w:rPr>
                    <w:t>%</w:t>
                  </w:r>
                </w:p>
              </w:tc>
              <w:tc>
                <w:tcPr>
                  <w:tcW w:w="645" w:type="pct"/>
                  <w:tcBorders>
                    <w:tl2br w:val="nil"/>
                    <w:tr2bl w:val="nil"/>
                  </w:tcBorders>
                  <w:vAlign w:val="center"/>
                </w:tcPr>
                <w:p w14:paraId="04401C93">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是</w:t>
                  </w:r>
                </w:p>
              </w:tc>
              <w:tc>
                <w:tcPr>
                  <w:tcW w:w="636" w:type="pct"/>
                  <w:tcBorders>
                    <w:tl2br w:val="nil"/>
                    <w:tr2bl w:val="nil"/>
                  </w:tcBorders>
                  <w:vAlign w:val="center"/>
                </w:tcPr>
                <w:p w14:paraId="047D1135">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lang w:val="en-US" w:eastAsia="zh-CN"/>
                    </w:rPr>
                    <w:t>15m排气筒</w:t>
                  </w:r>
                  <w:r>
                    <w:rPr>
                      <w:rFonts w:hint="default" w:ascii="Times New Roman" w:hAnsi="Times New Roman" w:eastAsia="宋体" w:cs="Times New Roman"/>
                      <w:color w:val="auto"/>
                      <w:sz w:val="18"/>
                      <w:szCs w:val="18"/>
                    </w:rPr>
                    <w:t>DA00</w:t>
                  </w:r>
                  <w:r>
                    <w:rPr>
                      <w:rFonts w:hint="default" w:ascii="Times New Roman" w:hAnsi="Times New Roman" w:eastAsia="宋体" w:cs="Times New Roman"/>
                      <w:color w:val="auto"/>
                      <w:sz w:val="18"/>
                      <w:szCs w:val="18"/>
                      <w:lang w:val="en-US" w:eastAsia="zh-CN"/>
                    </w:rPr>
                    <w:t>1</w:t>
                  </w:r>
                </w:p>
              </w:tc>
            </w:tr>
          </w:tbl>
          <w:p w14:paraId="77600C9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lang w:val="en-US" w:eastAsia="zh-CN"/>
              </w:rPr>
            </w:pPr>
            <w:r>
              <w:rPr>
                <w:rFonts w:hint="default" w:ascii="Times New Roman" w:hAnsi="Times New Roman" w:eastAsia="宋体" w:cs="Times New Roman"/>
                <w:b/>
                <w:bCs/>
                <w:color w:val="auto"/>
                <w:lang w:val="en-US" w:eastAsia="zh-CN"/>
              </w:rPr>
              <w:t xml:space="preserve">表4.1-5  </w:t>
            </w:r>
            <w:r>
              <w:rPr>
                <w:rFonts w:hint="eastAsia" w:cs="Times New Roman"/>
                <w:b/>
                <w:bCs/>
                <w:color w:val="auto"/>
                <w:lang w:val="en-US" w:eastAsia="zh-CN"/>
              </w:rPr>
              <w:t>拟建</w:t>
            </w:r>
            <w:r>
              <w:rPr>
                <w:rFonts w:hint="default" w:ascii="Times New Roman" w:hAnsi="Times New Roman" w:eastAsia="宋体" w:cs="Times New Roman"/>
                <w:b/>
                <w:bCs/>
                <w:color w:val="auto"/>
                <w:lang w:val="en-US" w:eastAsia="zh-CN"/>
              </w:rPr>
              <w:t>项目废气排放口基本情况一览表</w:t>
            </w:r>
          </w:p>
          <w:tbl>
            <w:tblPr>
              <w:tblStyle w:val="28"/>
              <w:tblW w:w="13496"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1380"/>
              <w:gridCol w:w="1170"/>
              <w:gridCol w:w="1183"/>
              <w:gridCol w:w="1250"/>
              <w:gridCol w:w="825"/>
              <w:gridCol w:w="937"/>
              <w:gridCol w:w="775"/>
              <w:gridCol w:w="738"/>
              <w:gridCol w:w="1812"/>
              <w:gridCol w:w="1264"/>
              <w:gridCol w:w="1255"/>
            </w:tblGrid>
            <w:tr w14:paraId="34DECCA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907" w:type="dxa"/>
                  <w:vMerge w:val="restart"/>
                  <w:tcBorders>
                    <w:tl2br w:val="nil"/>
                    <w:tr2bl w:val="nil"/>
                  </w:tcBorders>
                  <w:vAlign w:val="center"/>
                </w:tcPr>
                <w:p w14:paraId="218D4F31">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名称</w:t>
                  </w:r>
                </w:p>
              </w:tc>
              <w:tc>
                <w:tcPr>
                  <w:tcW w:w="1380" w:type="dxa"/>
                  <w:vMerge w:val="restart"/>
                  <w:tcBorders>
                    <w:tl2br w:val="nil"/>
                    <w:tr2bl w:val="nil"/>
                  </w:tcBorders>
                  <w:vAlign w:val="center"/>
                </w:tcPr>
                <w:p w14:paraId="1BB2516B">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排放口类型</w:t>
                  </w:r>
                </w:p>
              </w:tc>
              <w:tc>
                <w:tcPr>
                  <w:tcW w:w="2353" w:type="dxa"/>
                  <w:gridSpan w:val="2"/>
                  <w:tcBorders>
                    <w:tl2br w:val="nil"/>
                    <w:tr2bl w:val="nil"/>
                  </w:tcBorders>
                  <w:vAlign w:val="center"/>
                </w:tcPr>
                <w:p w14:paraId="09BD6F76">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排气筒底部中心坐标（UTM）坐标</w:t>
                  </w:r>
                </w:p>
              </w:tc>
              <w:tc>
                <w:tcPr>
                  <w:tcW w:w="1250" w:type="dxa"/>
                  <w:vMerge w:val="restart"/>
                  <w:tcBorders>
                    <w:tl2br w:val="nil"/>
                    <w:tr2bl w:val="nil"/>
                  </w:tcBorders>
                  <w:vAlign w:val="center"/>
                </w:tcPr>
                <w:p w14:paraId="3739B615">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排气筒底部海拔高度/m</w:t>
                  </w:r>
                </w:p>
              </w:tc>
              <w:tc>
                <w:tcPr>
                  <w:tcW w:w="825" w:type="dxa"/>
                  <w:vMerge w:val="restart"/>
                  <w:tcBorders>
                    <w:tl2br w:val="nil"/>
                    <w:tr2bl w:val="nil"/>
                  </w:tcBorders>
                  <w:vAlign w:val="center"/>
                </w:tcPr>
                <w:p w14:paraId="0645B8A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排气筒高度/m</w:t>
                  </w:r>
                </w:p>
              </w:tc>
              <w:tc>
                <w:tcPr>
                  <w:tcW w:w="937" w:type="dxa"/>
                  <w:vMerge w:val="restart"/>
                  <w:tcBorders>
                    <w:tl2br w:val="nil"/>
                    <w:tr2bl w:val="nil"/>
                  </w:tcBorders>
                  <w:vAlign w:val="center"/>
                </w:tcPr>
                <w:p w14:paraId="2484C36D">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排气筒内径/m</w:t>
                  </w:r>
                </w:p>
              </w:tc>
              <w:tc>
                <w:tcPr>
                  <w:tcW w:w="775" w:type="dxa"/>
                  <w:vMerge w:val="restart"/>
                  <w:tcBorders>
                    <w:tl2br w:val="nil"/>
                    <w:tr2bl w:val="nil"/>
                  </w:tcBorders>
                  <w:vAlign w:val="center"/>
                </w:tcPr>
                <w:p w14:paraId="7371AA18">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烟气温度/℃</w:t>
                  </w:r>
                </w:p>
              </w:tc>
              <w:tc>
                <w:tcPr>
                  <w:tcW w:w="738" w:type="dxa"/>
                  <w:vMerge w:val="restart"/>
                  <w:tcBorders>
                    <w:tl2br w:val="nil"/>
                    <w:tr2bl w:val="nil"/>
                  </w:tcBorders>
                  <w:vAlign w:val="center"/>
                </w:tcPr>
                <w:p w14:paraId="05761DB6">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排放</w:t>
                  </w:r>
                </w:p>
                <w:p w14:paraId="362FDE60">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工况</w:t>
                  </w:r>
                </w:p>
              </w:tc>
              <w:tc>
                <w:tcPr>
                  <w:tcW w:w="1812" w:type="dxa"/>
                  <w:vMerge w:val="restart"/>
                  <w:tcBorders>
                    <w:tl2br w:val="nil"/>
                    <w:tr2bl w:val="nil"/>
                  </w:tcBorders>
                  <w:vAlign w:val="center"/>
                </w:tcPr>
                <w:p w14:paraId="36192123">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污染物类型</w:t>
                  </w:r>
                </w:p>
              </w:tc>
              <w:tc>
                <w:tcPr>
                  <w:tcW w:w="2519" w:type="dxa"/>
                  <w:gridSpan w:val="2"/>
                  <w:tcBorders>
                    <w:tl2br w:val="nil"/>
                    <w:tr2bl w:val="nil"/>
                  </w:tcBorders>
                  <w:vAlign w:val="center"/>
                </w:tcPr>
                <w:p w14:paraId="13425D62">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执行标准</w:t>
                  </w:r>
                </w:p>
              </w:tc>
            </w:tr>
            <w:tr w14:paraId="61F7608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07" w:type="dxa"/>
                  <w:vMerge w:val="continue"/>
                  <w:tcBorders>
                    <w:tl2br w:val="nil"/>
                    <w:tr2bl w:val="nil"/>
                  </w:tcBorders>
                  <w:vAlign w:val="center"/>
                </w:tcPr>
                <w:p w14:paraId="5D90874D">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p>
              </w:tc>
              <w:tc>
                <w:tcPr>
                  <w:tcW w:w="1380" w:type="dxa"/>
                  <w:vMerge w:val="continue"/>
                  <w:tcBorders>
                    <w:tl2br w:val="nil"/>
                    <w:tr2bl w:val="nil"/>
                  </w:tcBorders>
                  <w:vAlign w:val="center"/>
                </w:tcPr>
                <w:p w14:paraId="65A45D53">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c>
                <w:tcPr>
                  <w:tcW w:w="1170" w:type="dxa"/>
                  <w:tcBorders>
                    <w:tl2br w:val="nil"/>
                    <w:tr2bl w:val="nil"/>
                  </w:tcBorders>
                  <w:vAlign w:val="center"/>
                </w:tcPr>
                <w:p w14:paraId="2EECDD23">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X</w:t>
                  </w:r>
                </w:p>
              </w:tc>
              <w:tc>
                <w:tcPr>
                  <w:tcW w:w="1183" w:type="dxa"/>
                  <w:tcBorders>
                    <w:tl2br w:val="nil"/>
                    <w:tr2bl w:val="nil"/>
                  </w:tcBorders>
                  <w:vAlign w:val="center"/>
                </w:tcPr>
                <w:p w14:paraId="7FD6DB22">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Y</w:t>
                  </w:r>
                </w:p>
              </w:tc>
              <w:tc>
                <w:tcPr>
                  <w:tcW w:w="1250" w:type="dxa"/>
                  <w:vMerge w:val="continue"/>
                  <w:tcBorders>
                    <w:tl2br w:val="nil"/>
                    <w:tr2bl w:val="nil"/>
                  </w:tcBorders>
                  <w:vAlign w:val="center"/>
                </w:tcPr>
                <w:p w14:paraId="5C3B7C6D">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p>
              </w:tc>
              <w:tc>
                <w:tcPr>
                  <w:tcW w:w="825" w:type="dxa"/>
                  <w:vMerge w:val="continue"/>
                  <w:tcBorders>
                    <w:tl2br w:val="nil"/>
                    <w:tr2bl w:val="nil"/>
                  </w:tcBorders>
                  <w:vAlign w:val="center"/>
                </w:tcPr>
                <w:p w14:paraId="115495E6">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p>
              </w:tc>
              <w:tc>
                <w:tcPr>
                  <w:tcW w:w="937" w:type="dxa"/>
                  <w:vMerge w:val="continue"/>
                  <w:tcBorders>
                    <w:tl2br w:val="nil"/>
                    <w:tr2bl w:val="nil"/>
                  </w:tcBorders>
                  <w:vAlign w:val="center"/>
                </w:tcPr>
                <w:p w14:paraId="17521D4B">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p>
              </w:tc>
              <w:tc>
                <w:tcPr>
                  <w:tcW w:w="775" w:type="dxa"/>
                  <w:vMerge w:val="continue"/>
                  <w:tcBorders>
                    <w:tl2br w:val="nil"/>
                    <w:tr2bl w:val="nil"/>
                  </w:tcBorders>
                  <w:vAlign w:val="center"/>
                </w:tcPr>
                <w:p w14:paraId="65E97F5A">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p>
              </w:tc>
              <w:tc>
                <w:tcPr>
                  <w:tcW w:w="738" w:type="dxa"/>
                  <w:vMerge w:val="continue"/>
                  <w:tcBorders>
                    <w:tl2br w:val="nil"/>
                    <w:tr2bl w:val="nil"/>
                  </w:tcBorders>
                  <w:vAlign w:val="center"/>
                </w:tcPr>
                <w:p w14:paraId="533BDF64">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p>
              </w:tc>
              <w:tc>
                <w:tcPr>
                  <w:tcW w:w="1812" w:type="dxa"/>
                  <w:vMerge w:val="continue"/>
                  <w:tcBorders>
                    <w:tl2br w:val="nil"/>
                    <w:tr2bl w:val="nil"/>
                  </w:tcBorders>
                  <w:vAlign w:val="center"/>
                </w:tcPr>
                <w:p w14:paraId="44B42FA7">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p>
              </w:tc>
              <w:tc>
                <w:tcPr>
                  <w:tcW w:w="1264" w:type="dxa"/>
                  <w:tcBorders>
                    <w:tl2br w:val="nil"/>
                    <w:tr2bl w:val="nil"/>
                  </w:tcBorders>
                  <w:vAlign w:val="center"/>
                </w:tcPr>
                <w:p w14:paraId="21DD56BE">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浓度(mg/m</w:t>
                  </w:r>
                  <w:r>
                    <w:rPr>
                      <w:rFonts w:hint="default" w:ascii="Times New Roman" w:hAnsi="Times New Roman" w:eastAsia="宋体" w:cs="Times New Roman"/>
                      <w:b/>
                      <w:bCs/>
                      <w:color w:val="auto"/>
                      <w:sz w:val="18"/>
                      <w:szCs w:val="18"/>
                      <w:vertAlign w:val="superscript"/>
                    </w:rPr>
                    <w:t>3</w:t>
                  </w:r>
                  <w:r>
                    <w:rPr>
                      <w:rFonts w:hint="default" w:ascii="Times New Roman" w:hAnsi="Times New Roman" w:eastAsia="宋体" w:cs="Times New Roman"/>
                      <w:b/>
                      <w:bCs/>
                      <w:color w:val="auto"/>
                      <w:sz w:val="18"/>
                      <w:szCs w:val="18"/>
                    </w:rPr>
                    <w:t>)</w:t>
                  </w:r>
                </w:p>
              </w:tc>
              <w:tc>
                <w:tcPr>
                  <w:tcW w:w="1255" w:type="dxa"/>
                  <w:tcBorders>
                    <w:tl2br w:val="nil"/>
                    <w:tr2bl w:val="nil"/>
                  </w:tcBorders>
                  <w:vAlign w:val="center"/>
                </w:tcPr>
                <w:p w14:paraId="46A992F5">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速率(kg/h)</w:t>
                  </w:r>
                </w:p>
              </w:tc>
            </w:tr>
            <w:tr w14:paraId="7B6CABB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907" w:type="dxa"/>
                  <w:tcBorders>
                    <w:tl2br w:val="nil"/>
                    <w:tr2bl w:val="nil"/>
                  </w:tcBorders>
                  <w:vAlign w:val="center"/>
                </w:tcPr>
                <w:p w14:paraId="5CF0C53C">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DA001</w:t>
                  </w:r>
                </w:p>
              </w:tc>
              <w:tc>
                <w:tcPr>
                  <w:tcW w:w="1380" w:type="dxa"/>
                  <w:tcBorders>
                    <w:tl2br w:val="nil"/>
                    <w:tr2bl w:val="nil"/>
                  </w:tcBorders>
                  <w:vAlign w:val="center"/>
                </w:tcPr>
                <w:p w14:paraId="3F34CA77">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一般排放口</w:t>
                  </w:r>
                </w:p>
              </w:tc>
              <w:tc>
                <w:tcPr>
                  <w:tcW w:w="1170" w:type="dxa"/>
                  <w:tcBorders>
                    <w:tl2br w:val="nil"/>
                    <w:tr2bl w:val="nil"/>
                  </w:tcBorders>
                  <w:vAlign w:val="center"/>
                </w:tcPr>
                <w:p w14:paraId="56117CDE">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119.</w:t>
                  </w:r>
                  <w:r>
                    <w:rPr>
                      <w:rFonts w:hint="eastAsia" w:cs="Times New Roman"/>
                      <w:color w:val="auto"/>
                      <w:sz w:val="18"/>
                      <w:szCs w:val="18"/>
                      <w:lang w:val="en-US" w:eastAsia="zh-CN"/>
                    </w:rPr>
                    <w:t>072444</w:t>
                  </w:r>
                </w:p>
              </w:tc>
              <w:tc>
                <w:tcPr>
                  <w:tcW w:w="1183" w:type="dxa"/>
                  <w:tcBorders>
                    <w:tl2br w:val="nil"/>
                    <w:tr2bl w:val="nil"/>
                  </w:tcBorders>
                  <w:vAlign w:val="center"/>
                </w:tcPr>
                <w:p w14:paraId="6295AD58">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33.6</w:t>
                  </w:r>
                  <w:r>
                    <w:rPr>
                      <w:rFonts w:hint="eastAsia" w:cs="Times New Roman"/>
                      <w:color w:val="auto"/>
                      <w:sz w:val="18"/>
                      <w:szCs w:val="18"/>
                      <w:lang w:val="en-US" w:eastAsia="zh-CN"/>
                    </w:rPr>
                    <w:t>44748</w:t>
                  </w:r>
                </w:p>
              </w:tc>
              <w:tc>
                <w:tcPr>
                  <w:tcW w:w="1250" w:type="dxa"/>
                  <w:tcBorders>
                    <w:tl2br w:val="nil"/>
                    <w:tr2bl w:val="nil"/>
                  </w:tcBorders>
                  <w:vAlign w:val="center"/>
                </w:tcPr>
                <w:p w14:paraId="5335A9B7">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eastAsia="zh-CN"/>
                    </w:rPr>
                  </w:pPr>
                  <w:r>
                    <w:rPr>
                      <w:rFonts w:hint="default" w:ascii="Times New Roman" w:hAnsi="Times New Roman" w:eastAsia="宋体" w:cs="Times New Roman"/>
                      <w:color w:val="auto"/>
                      <w:sz w:val="18"/>
                      <w:szCs w:val="18"/>
                      <w:lang w:val="en-US" w:eastAsia="zh-CN"/>
                    </w:rPr>
                    <w:t>8</w:t>
                  </w:r>
                </w:p>
              </w:tc>
              <w:tc>
                <w:tcPr>
                  <w:tcW w:w="825" w:type="dxa"/>
                  <w:tcBorders>
                    <w:tl2br w:val="nil"/>
                    <w:tr2bl w:val="nil"/>
                  </w:tcBorders>
                  <w:vAlign w:val="center"/>
                </w:tcPr>
                <w:p w14:paraId="3A673E74">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15</w:t>
                  </w:r>
                </w:p>
              </w:tc>
              <w:tc>
                <w:tcPr>
                  <w:tcW w:w="937" w:type="dxa"/>
                  <w:tcBorders>
                    <w:tl2br w:val="nil"/>
                    <w:tr2bl w:val="nil"/>
                  </w:tcBorders>
                  <w:vAlign w:val="center"/>
                </w:tcPr>
                <w:p w14:paraId="0FD07890">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0.4</w:t>
                  </w:r>
                </w:p>
              </w:tc>
              <w:tc>
                <w:tcPr>
                  <w:tcW w:w="775" w:type="dxa"/>
                  <w:tcBorders>
                    <w:tl2br w:val="nil"/>
                    <w:tr2bl w:val="nil"/>
                  </w:tcBorders>
                  <w:vAlign w:val="center"/>
                </w:tcPr>
                <w:p w14:paraId="471E1B9D">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25</w:t>
                  </w:r>
                </w:p>
              </w:tc>
              <w:tc>
                <w:tcPr>
                  <w:tcW w:w="738" w:type="dxa"/>
                  <w:tcBorders>
                    <w:tl2br w:val="nil"/>
                    <w:tr2bl w:val="nil"/>
                  </w:tcBorders>
                  <w:vAlign w:val="center"/>
                </w:tcPr>
                <w:p w14:paraId="79FB72E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正常</w:t>
                  </w:r>
                </w:p>
              </w:tc>
              <w:tc>
                <w:tcPr>
                  <w:tcW w:w="1812" w:type="dxa"/>
                  <w:tcBorders>
                    <w:tl2br w:val="nil"/>
                    <w:tr2bl w:val="nil"/>
                  </w:tcBorders>
                  <w:vAlign w:val="center"/>
                </w:tcPr>
                <w:p w14:paraId="0B964495">
                  <w:pPr>
                    <w:pStyle w:val="42"/>
                    <w:keepNext w:val="0"/>
                    <w:keepLines w:val="0"/>
                    <w:pageBreakBefore w:val="0"/>
                    <w:suppressLineNumbers w:val="0"/>
                    <w:topLinePunct w:val="0"/>
                    <w:autoSpaceDE/>
                    <w:autoSpaceDN/>
                    <w:bidi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olor w:val="auto"/>
                      <w:sz w:val="18"/>
                      <w:szCs w:val="18"/>
                      <w:lang w:eastAsia="zh-CN"/>
                    </w:rPr>
                  </w:pPr>
                  <w:r>
                    <w:rPr>
                      <w:rFonts w:hint="default" w:ascii="Times New Roman" w:hAnsi="Times New Roman" w:eastAsia="宋体" w:cs="Times New Roman"/>
                      <w:color w:val="auto"/>
                      <w:sz w:val="18"/>
                      <w:szCs w:val="18"/>
                      <w:lang w:eastAsia="zh-CN"/>
                    </w:rPr>
                    <w:t>颗粒物</w:t>
                  </w:r>
                </w:p>
              </w:tc>
              <w:tc>
                <w:tcPr>
                  <w:tcW w:w="1264" w:type="dxa"/>
                  <w:tcBorders>
                    <w:tl2br w:val="nil"/>
                    <w:tr2bl w:val="nil"/>
                  </w:tcBorders>
                  <w:vAlign w:val="center"/>
                </w:tcPr>
                <w:p w14:paraId="72471F20">
                  <w:pPr>
                    <w:pStyle w:val="49"/>
                    <w:keepNext w:val="0"/>
                    <w:keepLines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olor w:val="auto"/>
                      <w:sz w:val="18"/>
                      <w:szCs w:val="18"/>
                      <w:lang w:val="en-US" w:eastAsia="zh-CN"/>
                    </w:rPr>
                  </w:pPr>
                  <w:r>
                    <w:rPr>
                      <w:rFonts w:hint="eastAsia" w:cs="Times New Roman"/>
                      <w:b w:val="0"/>
                      <w:bCs w:val="0"/>
                      <w:color w:val="auto"/>
                      <w:sz w:val="18"/>
                      <w:szCs w:val="18"/>
                      <w:lang w:val="en-US" w:eastAsia="zh-CN"/>
                    </w:rPr>
                    <w:t>20</w:t>
                  </w:r>
                </w:p>
              </w:tc>
              <w:tc>
                <w:tcPr>
                  <w:tcW w:w="1255" w:type="dxa"/>
                  <w:tcBorders>
                    <w:tl2br w:val="nil"/>
                    <w:tr2bl w:val="nil"/>
                  </w:tcBorders>
                  <w:vAlign w:val="center"/>
                </w:tcPr>
                <w:p w14:paraId="63ED87B4">
                  <w:pPr>
                    <w:pStyle w:val="49"/>
                    <w:keepNext w:val="0"/>
                    <w:keepLines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olor w:val="auto"/>
                      <w:sz w:val="18"/>
                      <w:szCs w:val="18"/>
                      <w:lang w:val="en-US" w:eastAsia="zh-CN"/>
                    </w:rPr>
                  </w:pPr>
                  <w:r>
                    <w:rPr>
                      <w:rFonts w:hint="eastAsia" w:cs="Times New Roman"/>
                      <w:b w:val="0"/>
                      <w:bCs w:val="0"/>
                      <w:color w:val="auto"/>
                      <w:sz w:val="18"/>
                      <w:szCs w:val="18"/>
                      <w:lang w:val="en-US" w:eastAsia="zh-CN"/>
                    </w:rPr>
                    <w:t>1</w:t>
                  </w:r>
                </w:p>
              </w:tc>
            </w:tr>
          </w:tbl>
          <w:p w14:paraId="5C957E6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firstLine="480" w:firstLineChars="200"/>
              <w:textAlignment w:val="auto"/>
              <w:rPr>
                <w:rFonts w:hint="default" w:ascii="Times New Roman" w:hAnsi="Times New Roman" w:eastAsia="宋体" w:cs="Times New Roman"/>
                <w:color w:val="auto"/>
                <w:lang w:val="en-US" w:eastAsia="zh-CN"/>
              </w:rPr>
            </w:pPr>
          </w:p>
        </w:tc>
      </w:tr>
    </w:tbl>
    <w:p w14:paraId="05C86955">
      <w:pPr>
        <w:numPr>
          <w:ilvl w:val="0"/>
          <w:numId w:val="0"/>
        </w:numPr>
        <w:ind w:leftChars="0"/>
        <w:rPr>
          <w:rFonts w:hint="default" w:ascii="Times New Roman" w:hAnsi="Times New Roman" w:eastAsia="宋体" w:cs="Times New Roman"/>
          <w:color w:val="auto"/>
          <w:lang w:val="en-US" w:eastAsia="zh-CN"/>
        </w:rPr>
        <w:sectPr>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cols w:space="425" w:num="1"/>
          <w:docGrid w:type="lines" w:linePitch="312" w:charSpace="0"/>
        </w:sectPr>
      </w:pP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
        <w:gridCol w:w="8300"/>
      </w:tblGrid>
      <w:tr w14:paraId="488D0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89" w:hRule="atLeast"/>
        </w:trPr>
        <w:tc>
          <w:tcPr>
            <w:tcW w:w="354" w:type="dxa"/>
          </w:tcPr>
          <w:p w14:paraId="36CDDC00">
            <w:pPr>
              <w:keepNext w:val="0"/>
              <w:keepLines w:val="0"/>
              <w:numPr>
                <w:ilvl w:val="0"/>
                <w:numId w:val="0"/>
              </w:numPr>
              <w:suppressLineNumbers w:val="0"/>
              <w:spacing w:before="0" w:beforeAutospacing="0" w:after="0" w:afterAutospacing="0"/>
              <w:ind w:left="0" w:right="0"/>
              <w:rPr>
                <w:rFonts w:hint="default" w:ascii="Times New Roman" w:hAnsi="Times New Roman" w:eastAsia="宋体" w:cs="Times New Roman"/>
                <w:color w:val="auto"/>
                <w:vertAlign w:val="baseline"/>
                <w:lang w:val="en-US" w:eastAsia="zh-CN"/>
              </w:rPr>
            </w:pPr>
          </w:p>
        </w:tc>
        <w:tc>
          <w:tcPr>
            <w:tcW w:w="8168" w:type="dxa"/>
          </w:tcPr>
          <w:p w14:paraId="622CC6EE">
            <w:pPr>
              <w:keepNext w:val="0"/>
              <w:keepLines w:val="0"/>
              <w:numPr>
                <w:ilvl w:val="0"/>
                <w:numId w:val="0"/>
              </w:numPr>
              <w:suppressLineNumbers w:val="0"/>
              <w:bidi w:val="0"/>
              <w:spacing w:before="0" w:beforeAutospacing="0" w:after="0" w:afterAutospacing="0"/>
              <w:ind w:left="480" w:leftChars="200" w:right="0"/>
              <w:rPr>
                <w:rFonts w:hint="default" w:ascii="Times New Roman" w:hAnsi="Times New Roman" w:eastAsia="宋体" w:cs="Times New Roman"/>
                <w:color w:val="auto"/>
                <w:lang w:val="en-US" w:eastAsia="zh-CN"/>
              </w:rPr>
            </w:pPr>
            <w:r>
              <w:rPr>
                <w:rFonts w:hint="default" w:ascii="Times New Roman" w:hAnsi="Times New Roman" w:eastAsia="宋体" w:cs="Times New Roman"/>
                <w:b/>
                <w:bCs/>
                <w:color w:val="auto"/>
                <w:lang w:val="en-US" w:eastAsia="zh-CN"/>
              </w:rPr>
              <w:t>1.2废气污染源强核算过程简述</w:t>
            </w:r>
          </w:p>
          <w:p w14:paraId="4DAB24EB">
            <w:pPr>
              <w:keepNext w:val="0"/>
              <w:keepLines w:val="0"/>
              <w:suppressLineNumbers w:val="0"/>
              <w:autoSpaceDE w:val="0"/>
              <w:autoSpaceDN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b w:val="0"/>
                <w:bCs/>
                <w:color w:val="auto"/>
                <w:sz w:val="24"/>
                <w:lang w:val="en-US" w:eastAsia="zh-CN"/>
              </w:rPr>
            </w:pPr>
            <w:r>
              <w:rPr>
                <w:rFonts w:hint="eastAsia" w:cs="Times New Roman"/>
                <w:b w:val="0"/>
                <w:bCs/>
                <w:color w:val="auto"/>
                <w:sz w:val="24"/>
                <w:lang w:val="en-US" w:eastAsia="zh-CN"/>
              </w:rPr>
              <w:t>拟建</w:t>
            </w:r>
            <w:r>
              <w:rPr>
                <w:rFonts w:hint="default" w:ascii="Times New Roman" w:hAnsi="Times New Roman" w:eastAsia="宋体" w:cs="Times New Roman"/>
                <w:b w:val="0"/>
                <w:bCs/>
                <w:color w:val="auto"/>
                <w:sz w:val="24"/>
                <w:lang w:val="en-US" w:eastAsia="zh-CN"/>
              </w:rPr>
              <w:t>项目</w:t>
            </w:r>
            <w:r>
              <w:rPr>
                <w:rFonts w:hint="eastAsia" w:cs="Times New Roman"/>
                <w:b w:val="0"/>
                <w:bCs/>
                <w:color w:val="auto"/>
                <w:sz w:val="24"/>
                <w:lang w:val="en-US" w:eastAsia="zh-CN"/>
              </w:rPr>
              <w:t>产生的</w:t>
            </w:r>
            <w:r>
              <w:rPr>
                <w:rFonts w:hint="default" w:ascii="Times New Roman" w:hAnsi="Times New Roman" w:eastAsia="宋体" w:cs="Times New Roman"/>
                <w:b w:val="0"/>
                <w:bCs/>
                <w:color w:val="auto"/>
                <w:sz w:val="24"/>
                <w:lang w:val="en-US" w:eastAsia="zh-CN"/>
              </w:rPr>
              <w:t>废气主要为L990型耐火密封填料（基料）</w:t>
            </w:r>
            <w:r>
              <w:rPr>
                <w:rFonts w:hint="eastAsia" w:cs="Times New Roman"/>
                <w:b w:val="0"/>
                <w:bCs/>
                <w:color w:val="auto"/>
                <w:sz w:val="24"/>
                <w:lang w:val="en-US" w:eastAsia="zh-CN"/>
              </w:rPr>
              <w:t>生产线配料及搅拌工序产生的颗粒物</w:t>
            </w:r>
            <w:r>
              <w:rPr>
                <w:rFonts w:hint="default" w:ascii="Times New Roman" w:hAnsi="Times New Roman" w:eastAsia="宋体" w:cs="Times New Roman"/>
                <w:b w:val="0"/>
                <w:bCs/>
                <w:color w:val="auto"/>
                <w:sz w:val="24"/>
                <w:lang w:val="en-US" w:eastAsia="zh-CN"/>
              </w:rPr>
              <w:t>（G</w:t>
            </w:r>
            <w:r>
              <w:rPr>
                <w:rFonts w:hint="eastAsia" w:cs="Times New Roman"/>
                <w:b w:val="0"/>
                <w:bCs/>
                <w:color w:val="auto"/>
                <w:sz w:val="24"/>
                <w:lang w:val="en-US" w:eastAsia="zh-CN"/>
              </w:rPr>
              <w:t>1-1</w:t>
            </w:r>
            <w:r>
              <w:rPr>
                <w:rFonts w:hint="default" w:ascii="Times New Roman" w:hAnsi="Times New Roman" w:eastAsia="宋体" w:cs="Times New Roman"/>
                <w:b w:val="0"/>
                <w:bCs/>
                <w:color w:val="auto"/>
                <w:sz w:val="24"/>
                <w:lang w:val="en-US" w:eastAsia="zh-CN"/>
              </w:rPr>
              <w:t>）</w:t>
            </w:r>
            <w:r>
              <w:rPr>
                <w:rFonts w:hint="eastAsia" w:cs="Times New Roman"/>
                <w:b w:val="0"/>
                <w:bCs/>
                <w:color w:val="auto"/>
                <w:sz w:val="24"/>
                <w:lang w:val="en-US" w:eastAsia="zh-CN"/>
              </w:rPr>
              <w:t>；</w:t>
            </w:r>
            <w:r>
              <w:rPr>
                <w:rFonts w:hint="default" w:ascii="Times New Roman" w:hAnsi="Times New Roman" w:eastAsia="宋体" w:cs="Times New Roman"/>
                <w:b w:val="0"/>
                <w:bCs/>
                <w:color w:val="auto"/>
                <w:sz w:val="24"/>
                <w:lang w:val="en-US" w:eastAsia="zh-CN"/>
              </w:rPr>
              <w:t>KP800型膨胀堵料膨胀条</w:t>
            </w:r>
            <w:r>
              <w:rPr>
                <w:rFonts w:hint="eastAsia" w:cs="Times New Roman"/>
                <w:b w:val="0"/>
                <w:bCs/>
                <w:color w:val="auto"/>
                <w:sz w:val="24"/>
                <w:lang w:val="en-US" w:eastAsia="zh-CN"/>
              </w:rPr>
              <w:t>生产线平切工序产生的</w:t>
            </w:r>
            <w:r>
              <w:rPr>
                <w:rFonts w:hint="default" w:ascii="Times New Roman" w:hAnsi="Times New Roman" w:eastAsia="宋体" w:cs="Times New Roman"/>
                <w:b w:val="0"/>
                <w:bCs/>
                <w:color w:val="auto"/>
                <w:sz w:val="24"/>
                <w:lang w:val="en-US" w:eastAsia="zh-CN"/>
              </w:rPr>
              <w:t>颗粒物（G</w:t>
            </w:r>
            <w:r>
              <w:rPr>
                <w:rFonts w:hint="eastAsia" w:cs="Times New Roman"/>
                <w:b w:val="0"/>
                <w:bCs/>
                <w:color w:val="auto"/>
                <w:sz w:val="24"/>
                <w:lang w:val="en-US" w:eastAsia="zh-CN"/>
              </w:rPr>
              <w:t>2-</w:t>
            </w:r>
            <w:r>
              <w:rPr>
                <w:rFonts w:hint="default" w:ascii="Times New Roman" w:hAnsi="Times New Roman" w:eastAsia="宋体" w:cs="Times New Roman"/>
                <w:b w:val="0"/>
                <w:bCs/>
                <w:color w:val="auto"/>
                <w:sz w:val="24"/>
                <w:lang w:val="en-US" w:eastAsia="zh-CN"/>
              </w:rPr>
              <w:t>1）、</w:t>
            </w:r>
            <w:r>
              <w:rPr>
                <w:rFonts w:hint="eastAsia" w:cs="Times New Roman"/>
                <w:b w:val="0"/>
                <w:bCs/>
                <w:color w:val="auto"/>
                <w:sz w:val="24"/>
                <w:lang w:val="en-US" w:eastAsia="zh-CN"/>
              </w:rPr>
              <w:t>立切工序产生的</w:t>
            </w:r>
            <w:r>
              <w:rPr>
                <w:rFonts w:hint="default" w:ascii="Times New Roman" w:hAnsi="Times New Roman" w:eastAsia="宋体" w:cs="Times New Roman"/>
                <w:b w:val="0"/>
                <w:bCs/>
                <w:color w:val="auto"/>
                <w:sz w:val="24"/>
                <w:lang w:val="en-US" w:eastAsia="zh-CN"/>
              </w:rPr>
              <w:t>颗粒物（G2</w:t>
            </w:r>
            <w:r>
              <w:rPr>
                <w:rFonts w:hint="eastAsia" w:cs="Times New Roman"/>
                <w:b w:val="0"/>
                <w:bCs/>
                <w:color w:val="auto"/>
                <w:sz w:val="24"/>
                <w:lang w:val="en-US" w:eastAsia="zh-CN"/>
              </w:rPr>
              <w:t>-2</w:t>
            </w:r>
            <w:r>
              <w:rPr>
                <w:rFonts w:hint="default" w:ascii="Times New Roman" w:hAnsi="Times New Roman" w:eastAsia="宋体" w:cs="Times New Roman"/>
                <w:b w:val="0"/>
                <w:bCs/>
                <w:color w:val="auto"/>
                <w:sz w:val="24"/>
                <w:lang w:val="en-US" w:eastAsia="zh-CN"/>
              </w:rPr>
              <w:t>）、</w:t>
            </w:r>
            <w:r>
              <w:rPr>
                <w:rFonts w:hint="eastAsia" w:cs="Times New Roman"/>
                <w:b w:val="0"/>
                <w:bCs/>
                <w:color w:val="auto"/>
                <w:sz w:val="24"/>
                <w:lang w:val="en-US" w:eastAsia="zh-CN"/>
              </w:rPr>
              <w:t>切槽工序</w:t>
            </w:r>
            <w:r>
              <w:rPr>
                <w:rFonts w:hint="default" w:ascii="Times New Roman" w:hAnsi="Times New Roman" w:eastAsia="宋体" w:cs="Times New Roman"/>
                <w:b w:val="0"/>
                <w:bCs/>
                <w:color w:val="auto"/>
                <w:sz w:val="24"/>
                <w:lang w:val="en-US" w:eastAsia="zh-CN"/>
              </w:rPr>
              <w:t>产生的颗粒物（G</w:t>
            </w:r>
            <w:r>
              <w:rPr>
                <w:rFonts w:hint="eastAsia" w:cs="Times New Roman"/>
                <w:b w:val="0"/>
                <w:bCs/>
                <w:color w:val="auto"/>
                <w:sz w:val="24"/>
                <w:lang w:val="en-US" w:eastAsia="zh-CN"/>
              </w:rPr>
              <w:t>2-</w:t>
            </w:r>
            <w:r>
              <w:rPr>
                <w:rFonts w:hint="default" w:ascii="Times New Roman" w:hAnsi="Times New Roman" w:eastAsia="宋体" w:cs="Times New Roman"/>
                <w:b w:val="0"/>
                <w:bCs/>
                <w:color w:val="auto"/>
                <w:sz w:val="24"/>
                <w:lang w:val="en-US" w:eastAsia="zh-CN"/>
              </w:rPr>
              <w:t>3）。</w:t>
            </w:r>
          </w:p>
          <w:p w14:paraId="48CCDFB8">
            <w:pPr>
              <w:keepNext w:val="0"/>
              <w:keepLines w:val="0"/>
              <w:suppressLineNumbers w:val="0"/>
              <w:autoSpaceDE w:val="0"/>
              <w:autoSpaceDN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b w:val="0"/>
                <w:bCs/>
                <w:color w:val="auto"/>
                <w:sz w:val="24"/>
                <w:lang w:val="en-US" w:eastAsia="zh-CN"/>
              </w:rPr>
            </w:pPr>
            <w:r>
              <w:rPr>
                <w:rFonts w:hint="default" w:ascii="Times New Roman" w:hAnsi="Times New Roman" w:eastAsia="宋体" w:cs="Times New Roman"/>
                <w:b w:val="0"/>
                <w:bCs/>
                <w:color w:val="auto"/>
                <w:sz w:val="24"/>
                <w:lang w:val="en-US" w:eastAsia="zh-CN"/>
              </w:rPr>
              <w:t>（1）</w:t>
            </w:r>
            <w:r>
              <w:rPr>
                <w:rFonts w:hint="eastAsia" w:cs="Times New Roman"/>
                <w:b w:val="0"/>
                <w:bCs/>
                <w:color w:val="auto"/>
                <w:sz w:val="24"/>
                <w:lang w:val="en-US" w:eastAsia="zh-CN"/>
              </w:rPr>
              <w:t>配料及搅拌颗粒物</w:t>
            </w:r>
            <w:r>
              <w:rPr>
                <w:rFonts w:hint="default" w:ascii="Times New Roman" w:hAnsi="Times New Roman" w:eastAsia="宋体" w:cs="Times New Roman"/>
                <w:b w:val="0"/>
                <w:bCs/>
                <w:color w:val="auto"/>
                <w:sz w:val="24"/>
                <w:lang w:val="en-US" w:eastAsia="zh-CN"/>
              </w:rPr>
              <w:t>（G</w:t>
            </w:r>
            <w:r>
              <w:rPr>
                <w:rFonts w:hint="eastAsia" w:cs="Times New Roman"/>
                <w:b w:val="0"/>
                <w:bCs/>
                <w:color w:val="auto"/>
                <w:sz w:val="24"/>
                <w:lang w:val="en-US" w:eastAsia="zh-CN"/>
              </w:rPr>
              <w:t>1-1</w:t>
            </w:r>
            <w:r>
              <w:rPr>
                <w:rFonts w:hint="default" w:ascii="Times New Roman" w:hAnsi="Times New Roman" w:eastAsia="宋体" w:cs="Times New Roman"/>
                <w:b w:val="0"/>
                <w:bCs/>
                <w:color w:val="auto"/>
                <w:sz w:val="24"/>
                <w:lang w:val="en-US" w:eastAsia="zh-CN"/>
              </w:rPr>
              <w:t>）</w:t>
            </w:r>
          </w:p>
          <w:p w14:paraId="7FB1F472">
            <w:pPr>
              <w:keepNext w:val="0"/>
              <w:keepLines w:val="0"/>
              <w:suppressLineNumbers w:val="0"/>
              <w:autoSpaceDE w:val="0"/>
              <w:autoSpaceDN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b w:val="0"/>
                <w:bCs/>
                <w:color w:val="auto"/>
                <w:sz w:val="24"/>
                <w:lang w:val="en-US" w:eastAsia="zh-CN"/>
              </w:rPr>
            </w:pPr>
            <w:r>
              <w:rPr>
                <w:rFonts w:hint="eastAsia" w:cs="Times New Roman"/>
                <w:b w:val="0"/>
                <w:bCs/>
                <w:color w:val="auto"/>
                <w:sz w:val="24"/>
                <w:lang w:val="en-US" w:eastAsia="zh-CN"/>
              </w:rPr>
              <w:t>经查</w:t>
            </w:r>
            <w:r>
              <w:rPr>
                <w:rFonts w:hint="default" w:ascii="Times New Roman" w:hAnsi="Times New Roman" w:eastAsia="宋体" w:cs="Times New Roman"/>
                <w:b w:val="0"/>
                <w:bCs/>
                <w:color w:val="auto"/>
                <w:sz w:val="24"/>
                <w:lang w:val="en-US" w:eastAsia="zh-CN"/>
              </w:rPr>
              <w:t>《3089 耐火陶瓷制品及其他耐火材料制造行业系数手册》</w:t>
            </w:r>
            <w:r>
              <w:rPr>
                <w:rFonts w:hint="eastAsia" w:cs="Times New Roman"/>
                <w:b w:val="0"/>
                <w:bCs/>
                <w:color w:val="auto"/>
                <w:sz w:val="24"/>
                <w:lang w:val="en-US" w:eastAsia="zh-CN"/>
              </w:rPr>
              <w:t>，无本项目相关的排污系数，</w:t>
            </w:r>
            <w:r>
              <w:rPr>
                <w:rFonts w:hint="eastAsia" w:cs="Times New Roman"/>
                <w:b w:val="0"/>
                <w:bCs/>
                <w:color w:val="auto"/>
                <w:sz w:val="24"/>
                <w:lang w:val="en-US" w:eastAsia="zh-CN"/>
              </w:rPr>
              <w:t>本次评价参照</w:t>
            </w:r>
            <w:r>
              <w:rPr>
                <w:rFonts w:hint="eastAsia"/>
                <w:b w:val="0"/>
                <w:bCs/>
                <w:color w:val="auto"/>
                <w:sz w:val="24"/>
                <w:u w:val="none"/>
                <w:lang w:val="zh-CN"/>
              </w:rPr>
              <w:t>《逸散性工业粉尘控制技术》</w:t>
            </w:r>
            <w:r>
              <w:rPr>
                <w:rFonts w:hint="eastAsia"/>
                <w:b w:val="0"/>
                <w:bCs/>
                <w:color w:val="auto"/>
                <w:sz w:val="24"/>
                <w:u w:val="none"/>
                <w:lang w:val="zh-CN" w:eastAsia="zh-CN"/>
              </w:rPr>
              <w:t>中粒料加工厂系数</w:t>
            </w:r>
            <w:r>
              <w:rPr>
                <w:rFonts w:hint="eastAsia"/>
                <w:b w:val="0"/>
                <w:bCs/>
                <w:color w:val="auto"/>
                <w:sz w:val="24"/>
                <w:u w:val="none"/>
                <w:lang w:val="zh-CN"/>
              </w:rPr>
              <w:t>进行核算</w:t>
            </w:r>
            <w:r>
              <w:rPr>
                <w:rFonts w:hint="eastAsia" w:cs="Times New Roman"/>
                <w:b w:val="0"/>
                <w:bCs/>
                <w:color w:val="auto"/>
                <w:sz w:val="24"/>
                <w:lang w:val="en-US" w:eastAsia="zh-CN"/>
              </w:rPr>
              <w:t>进行配料搅拌源强核算。</w:t>
            </w:r>
          </w:p>
          <w:p w14:paraId="12263F7B">
            <w:pPr>
              <w:keepNext w:val="0"/>
              <w:keepLines w:val="0"/>
              <w:suppressLineNumbers w:val="0"/>
              <w:autoSpaceDE w:val="0"/>
              <w:autoSpaceDN w:val="0"/>
              <w:adjustRightInd w:val="0"/>
              <w:snapToGrid w:val="0"/>
              <w:spacing w:before="0" w:beforeAutospacing="0" w:after="0" w:afterAutospacing="0" w:line="360" w:lineRule="auto"/>
              <w:ind w:left="0" w:right="0" w:firstLine="480" w:firstLineChars="200"/>
              <w:rPr>
                <w:rFonts w:hint="eastAsia" w:cs="Times New Roman"/>
                <w:b w:val="0"/>
                <w:bCs/>
                <w:color w:val="auto"/>
                <w:sz w:val="24"/>
                <w:lang w:val="en-US" w:eastAsia="zh-CN"/>
              </w:rPr>
            </w:pPr>
            <w:r>
              <w:rPr>
                <w:rFonts w:hint="eastAsia" w:cs="Times New Roman"/>
                <w:b w:val="0"/>
                <w:bCs/>
                <w:color w:val="auto"/>
                <w:sz w:val="24"/>
                <w:lang w:val="en-US" w:eastAsia="zh-CN"/>
              </w:rPr>
              <w:t>根据《逸散性工业粉尘控制技术》P275表18-1粒料加工厂逸散尘源的排放因子，卸料及装料粉尘产生系数为0.02kg/t原料，考虑本项目有部分粉状物料，因此中本项目配比上料过程的产尘系数按照卸料及装料的2倍计，为0.04kg/t，混合搅拌粉尘产生系数取0.05kg/t原料。项目</w:t>
            </w:r>
            <w:r>
              <w:rPr>
                <w:rFonts w:hint="default" w:ascii="Times New Roman" w:hAnsi="Times New Roman" w:eastAsia="宋体" w:cs="Times New Roman"/>
                <w:b w:val="0"/>
                <w:bCs/>
                <w:color w:val="auto"/>
                <w:sz w:val="24"/>
                <w:lang w:val="en-US" w:eastAsia="zh-CN"/>
              </w:rPr>
              <w:t>L990型耐火密封填料（基料）</w:t>
            </w:r>
            <w:r>
              <w:rPr>
                <w:rFonts w:hint="eastAsia" w:cs="Times New Roman"/>
                <w:b w:val="0"/>
                <w:bCs/>
                <w:color w:val="auto"/>
                <w:sz w:val="24"/>
                <w:lang w:val="en-US" w:eastAsia="zh-CN"/>
              </w:rPr>
              <w:t>生产线总投料量为275.7t/a，计算配比过程中粉尘产生量为0.011t/a，混料搅拌粉尘产生量为0.014t/a，配料搅拌工序合计产生颗粒物0.025t/a。</w:t>
            </w:r>
          </w:p>
          <w:p w14:paraId="2A6D7489">
            <w:pPr>
              <w:keepNext w:val="0"/>
              <w:keepLines w:val="0"/>
              <w:suppressLineNumbers w:val="0"/>
              <w:autoSpaceDE w:val="0"/>
              <w:autoSpaceDN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sz w:val="24"/>
                <w:lang w:eastAsia="zh-CN"/>
              </w:rPr>
            </w:pPr>
            <w:r>
              <w:rPr>
                <w:rFonts w:hint="default" w:ascii="Times New Roman" w:hAnsi="Times New Roman" w:eastAsia="宋体" w:cs="Times New Roman"/>
                <w:color w:val="auto"/>
                <w:sz w:val="24"/>
                <w:lang w:eastAsia="zh-CN"/>
              </w:rPr>
              <w:t>（</w:t>
            </w:r>
            <w:r>
              <w:rPr>
                <w:rFonts w:hint="default" w:ascii="Times New Roman" w:hAnsi="Times New Roman" w:eastAsia="宋体" w:cs="Times New Roman"/>
                <w:color w:val="auto"/>
                <w:sz w:val="24"/>
                <w:lang w:val="en-US" w:eastAsia="zh-CN"/>
              </w:rPr>
              <w:t>2</w:t>
            </w:r>
            <w:r>
              <w:rPr>
                <w:rFonts w:hint="default" w:ascii="Times New Roman" w:hAnsi="Times New Roman" w:eastAsia="宋体" w:cs="Times New Roman"/>
                <w:color w:val="auto"/>
                <w:sz w:val="24"/>
                <w:lang w:eastAsia="zh-CN"/>
              </w:rPr>
              <w:t>）</w:t>
            </w:r>
            <w:r>
              <w:rPr>
                <w:rFonts w:hint="eastAsia" w:cs="Times New Roman"/>
                <w:color w:val="auto"/>
                <w:sz w:val="24"/>
                <w:lang w:val="en-US" w:eastAsia="zh-CN"/>
              </w:rPr>
              <w:t>平切</w:t>
            </w:r>
            <w:r>
              <w:rPr>
                <w:rFonts w:hint="default" w:ascii="Times New Roman" w:hAnsi="Times New Roman" w:eastAsia="宋体" w:cs="Times New Roman"/>
                <w:color w:val="auto"/>
                <w:sz w:val="24"/>
                <w:lang w:val="en-US" w:eastAsia="zh-CN"/>
              </w:rPr>
              <w:t>、</w:t>
            </w:r>
            <w:r>
              <w:rPr>
                <w:rFonts w:hint="eastAsia" w:cs="Times New Roman"/>
                <w:color w:val="auto"/>
                <w:sz w:val="24"/>
                <w:lang w:val="en-US" w:eastAsia="zh-CN"/>
              </w:rPr>
              <w:t>立切</w:t>
            </w:r>
            <w:r>
              <w:rPr>
                <w:rFonts w:hint="default" w:ascii="Times New Roman" w:hAnsi="Times New Roman" w:eastAsia="宋体" w:cs="Times New Roman"/>
                <w:color w:val="auto"/>
                <w:sz w:val="24"/>
                <w:lang w:val="en-US" w:eastAsia="zh-CN"/>
              </w:rPr>
              <w:t>、</w:t>
            </w:r>
            <w:r>
              <w:rPr>
                <w:rFonts w:hint="eastAsia" w:cs="Times New Roman"/>
                <w:color w:val="auto"/>
                <w:sz w:val="24"/>
                <w:lang w:val="en-US" w:eastAsia="zh-CN"/>
              </w:rPr>
              <w:t>切槽</w:t>
            </w:r>
            <w:r>
              <w:rPr>
                <w:rFonts w:hint="default" w:ascii="Times New Roman" w:hAnsi="Times New Roman" w:eastAsia="宋体" w:cs="Times New Roman"/>
                <w:color w:val="auto"/>
                <w:sz w:val="24"/>
                <w:lang w:val="en-US" w:eastAsia="zh-CN"/>
              </w:rPr>
              <w:t>颗粒物（G</w:t>
            </w:r>
            <w:r>
              <w:rPr>
                <w:rFonts w:hint="eastAsia" w:cs="Times New Roman"/>
                <w:color w:val="auto"/>
                <w:sz w:val="24"/>
                <w:lang w:val="en-US" w:eastAsia="zh-CN"/>
              </w:rPr>
              <w:t>2-1</w:t>
            </w:r>
            <w:r>
              <w:rPr>
                <w:rFonts w:hint="default" w:ascii="Times New Roman" w:hAnsi="Times New Roman" w:eastAsia="宋体" w:cs="Times New Roman"/>
                <w:color w:val="auto"/>
                <w:sz w:val="24"/>
                <w:lang w:val="en-US" w:eastAsia="zh-CN"/>
              </w:rPr>
              <w:t>、G2</w:t>
            </w:r>
            <w:r>
              <w:rPr>
                <w:rFonts w:hint="eastAsia" w:cs="Times New Roman"/>
                <w:color w:val="auto"/>
                <w:sz w:val="24"/>
                <w:lang w:val="en-US" w:eastAsia="zh-CN"/>
              </w:rPr>
              <w:t>-2</w:t>
            </w:r>
            <w:r>
              <w:rPr>
                <w:rFonts w:hint="default" w:ascii="Times New Roman" w:hAnsi="Times New Roman" w:eastAsia="宋体" w:cs="Times New Roman"/>
                <w:color w:val="auto"/>
                <w:sz w:val="24"/>
                <w:lang w:val="en-US" w:eastAsia="zh-CN"/>
              </w:rPr>
              <w:t>、G</w:t>
            </w:r>
            <w:r>
              <w:rPr>
                <w:rFonts w:hint="eastAsia" w:cs="Times New Roman"/>
                <w:color w:val="auto"/>
                <w:sz w:val="24"/>
                <w:lang w:val="en-US" w:eastAsia="zh-CN"/>
              </w:rPr>
              <w:t>2-</w:t>
            </w:r>
            <w:r>
              <w:rPr>
                <w:rFonts w:hint="default" w:ascii="Times New Roman" w:hAnsi="Times New Roman" w:eastAsia="宋体" w:cs="Times New Roman"/>
                <w:color w:val="auto"/>
                <w:sz w:val="24"/>
                <w:lang w:val="en-US" w:eastAsia="zh-CN"/>
              </w:rPr>
              <w:t>3）</w:t>
            </w:r>
          </w:p>
          <w:p w14:paraId="1589170C">
            <w:pPr>
              <w:keepNext w:val="0"/>
              <w:keepLines w:val="0"/>
              <w:suppressLineNumbers w:val="0"/>
              <w:autoSpaceDE w:val="0"/>
              <w:autoSpaceDN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sz w:val="24"/>
                <w:lang w:val="en-US" w:eastAsia="zh-CN"/>
              </w:rPr>
            </w:pPr>
            <w:r>
              <w:rPr>
                <w:rFonts w:hint="eastAsia" w:cs="Times New Roman"/>
                <w:b w:val="0"/>
                <w:bCs/>
                <w:color w:val="auto"/>
                <w:sz w:val="24"/>
                <w:lang w:val="en-US" w:eastAsia="zh-CN"/>
              </w:rPr>
              <w:t>根据“</w:t>
            </w:r>
            <w:r>
              <w:rPr>
                <w:rFonts w:hint="default" w:ascii="Times New Roman" w:hAnsi="Times New Roman" w:eastAsia="宋体" w:cs="Times New Roman"/>
                <w:b w:val="0"/>
                <w:bCs/>
                <w:color w:val="auto"/>
                <w:lang w:val="en-US" w:eastAsia="zh-CN"/>
              </w:rPr>
              <w:t>表2.1-</w:t>
            </w:r>
            <w:r>
              <w:rPr>
                <w:rFonts w:hint="eastAsia" w:cs="Times New Roman"/>
                <w:b w:val="0"/>
                <w:bCs/>
                <w:color w:val="auto"/>
                <w:lang w:val="en-US" w:eastAsia="zh-CN"/>
              </w:rPr>
              <w:t>11 KP800型膨胀堵料膨胀条生产物料平衡表</w:t>
            </w:r>
            <w:r>
              <w:rPr>
                <w:rFonts w:hint="eastAsia" w:cs="Times New Roman"/>
                <w:b w:val="0"/>
                <w:bCs/>
                <w:color w:val="auto"/>
                <w:sz w:val="24"/>
                <w:lang w:val="en-US" w:eastAsia="zh-CN"/>
              </w:rPr>
              <w:t>”中相关物料衡算，</w:t>
            </w:r>
            <w:r>
              <w:rPr>
                <w:rFonts w:hint="eastAsia" w:cs="Times New Roman"/>
                <w:color w:val="auto"/>
                <w:sz w:val="24"/>
                <w:lang w:val="en-US" w:eastAsia="zh-CN"/>
              </w:rPr>
              <w:t>平切</w:t>
            </w:r>
            <w:r>
              <w:rPr>
                <w:rFonts w:hint="default" w:ascii="Times New Roman" w:hAnsi="Times New Roman" w:eastAsia="宋体" w:cs="Times New Roman"/>
                <w:color w:val="auto"/>
                <w:sz w:val="24"/>
                <w:lang w:val="en-US" w:eastAsia="zh-CN"/>
              </w:rPr>
              <w:t>、</w:t>
            </w:r>
            <w:r>
              <w:rPr>
                <w:rFonts w:hint="eastAsia" w:cs="Times New Roman"/>
                <w:color w:val="auto"/>
                <w:sz w:val="24"/>
                <w:lang w:val="en-US" w:eastAsia="zh-CN"/>
              </w:rPr>
              <w:t>立切</w:t>
            </w:r>
            <w:r>
              <w:rPr>
                <w:rFonts w:hint="default" w:ascii="Times New Roman" w:hAnsi="Times New Roman" w:eastAsia="宋体" w:cs="Times New Roman"/>
                <w:color w:val="auto"/>
                <w:sz w:val="24"/>
                <w:lang w:val="en-US" w:eastAsia="zh-CN"/>
              </w:rPr>
              <w:t>、</w:t>
            </w:r>
            <w:r>
              <w:rPr>
                <w:rFonts w:hint="eastAsia" w:cs="Times New Roman"/>
                <w:color w:val="auto"/>
                <w:sz w:val="24"/>
                <w:lang w:val="en-US" w:eastAsia="zh-CN"/>
              </w:rPr>
              <w:t>切槽</w:t>
            </w:r>
            <w:r>
              <w:rPr>
                <w:rFonts w:hint="eastAsia" w:cs="Times New Roman"/>
                <w:b w:val="0"/>
                <w:bCs/>
                <w:color w:val="auto"/>
                <w:sz w:val="24"/>
                <w:lang w:val="en-US" w:eastAsia="zh-CN"/>
              </w:rPr>
              <w:t>过程中产生颗粒物</w:t>
            </w:r>
            <w:r>
              <w:rPr>
                <w:rFonts w:hint="eastAsia" w:cs="Times New Roman"/>
                <w:b w:val="0"/>
                <w:bCs/>
                <w:color w:val="auto"/>
                <w:sz w:val="24"/>
                <w:szCs w:val="24"/>
                <w:lang w:val="en-US" w:eastAsia="zh-CN"/>
              </w:rPr>
              <w:t>0.8</w:t>
            </w:r>
            <w:r>
              <w:rPr>
                <w:rFonts w:hint="default" w:ascii="Times New Roman" w:hAnsi="Times New Roman" w:eastAsia="宋体" w:cs="Times New Roman"/>
                <w:b w:val="0"/>
                <w:bCs/>
                <w:color w:val="auto"/>
                <w:sz w:val="24"/>
                <w:szCs w:val="24"/>
                <w:lang w:val="en-US" w:eastAsia="zh-CN"/>
              </w:rPr>
              <w:t>t/a</w:t>
            </w:r>
            <w:r>
              <w:rPr>
                <w:rFonts w:hint="default" w:ascii="Times New Roman" w:hAnsi="Times New Roman" w:eastAsia="宋体" w:cs="Times New Roman"/>
                <w:color w:val="auto"/>
                <w:sz w:val="24"/>
                <w:lang w:val="en-US" w:eastAsia="zh-CN"/>
              </w:rPr>
              <w:t>。</w:t>
            </w:r>
          </w:p>
          <w:p w14:paraId="1B1B00C3">
            <w:pPr>
              <w:keepNext w:val="0"/>
              <w:keepLines w:val="0"/>
              <w:suppressLineNumbers w:val="0"/>
              <w:autoSpaceDE w:val="0"/>
              <w:autoSpaceDN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lang w:val="en-US" w:eastAsia="zh-CN"/>
              </w:rPr>
            </w:pPr>
            <w:r>
              <w:rPr>
                <w:rFonts w:hint="eastAsia" w:cs="Times New Roman"/>
                <w:bCs/>
                <w:color w:val="auto"/>
                <w:lang w:eastAsia="zh-CN"/>
              </w:rPr>
              <w:t>考虑</w:t>
            </w:r>
            <w:r>
              <w:rPr>
                <w:rFonts w:hint="eastAsia" w:cs="Times New Roman"/>
                <w:bCs/>
                <w:color w:val="auto"/>
                <w:lang w:val="en-US" w:eastAsia="zh-CN"/>
              </w:rPr>
              <w:t>TL990及KP800生产线在同一座生产厂房布设，相应的废气</w:t>
            </w:r>
            <w:r>
              <w:rPr>
                <w:rFonts w:hint="default" w:ascii="Times New Roman" w:hAnsi="Times New Roman" w:eastAsia="宋体" w:cs="Times New Roman"/>
                <w:color w:val="auto"/>
                <w:sz w:val="24"/>
                <w:lang w:val="en-US" w:eastAsia="zh-CN"/>
              </w:rPr>
              <w:t>经</w:t>
            </w:r>
            <w:r>
              <w:rPr>
                <w:rFonts w:hint="eastAsia" w:cs="Times New Roman"/>
                <w:color w:val="auto"/>
                <w:sz w:val="24"/>
                <w:lang w:val="en-US" w:eastAsia="zh-CN"/>
              </w:rPr>
              <w:t>各个产污设备上方设置的集气罩收集，通过加强车间密闭，并在集气罩四周加装软帘以减少无组织废气的逸散，（</w:t>
            </w:r>
            <w:r>
              <w:rPr>
                <w:rFonts w:hint="default" w:ascii="Times New Roman" w:hAnsi="Times New Roman" w:eastAsia="宋体" w:cs="Times New Roman"/>
                <w:bCs/>
                <w:color w:val="auto"/>
                <w:lang w:eastAsia="zh-CN"/>
              </w:rPr>
              <w:t>收集效率以</w:t>
            </w:r>
            <w:r>
              <w:rPr>
                <w:rFonts w:hint="default" w:ascii="Times New Roman" w:hAnsi="Times New Roman" w:eastAsia="宋体" w:cs="Times New Roman"/>
                <w:bCs/>
                <w:color w:val="auto"/>
                <w:lang w:val="en-US" w:eastAsia="zh-CN"/>
              </w:rPr>
              <w:t>9</w:t>
            </w:r>
            <w:r>
              <w:rPr>
                <w:rFonts w:hint="eastAsia" w:cs="Times New Roman"/>
                <w:bCs/>
                <w:color w:val="auto"/>
                <w:lang w:val="en-US" w:eastAsia="zh-CN"/>
              </w:rPr>
              <w:t>5</w:t>
            </w:r>
            <w:r>
              <w:rPr>
                <w:rFonts w:hint="default" w:ascii="Times New Roman" w:hAnsi="Times New Roman" w:eastAsia="宋体" w:cs="Times New Roman"/>
                <w:bCs/>
                <w:color w:val="auto"/>
                <w:lang w:val="en-US" w:eastAsia="zh-CN"/>
              </w:rPr>
              <w:t>%计</w:t>
            </w:r>
            <w:r>
              <w:rPr>
                <w:rFonts w:hint="eastAsia" w:cs="Times New Roman"/>
                <w:color w:val="auto"/>
                <w:sz w:val="24"/>
                <w:lang w:val="en-US" w:eastAsia="zh-CN"/>
              </w:rPr>
              <w:t>）</w:t>
            </w:r>
            <w:r>
              <w:rPr>
                <w:rFonts w:hint="default" w:ascii="Times New Roman" w:hAnsi="Times New Roman" w:eastAsia="宋体" w:cs="Times New Roman"/>
                <w:bCs/>
                <w:color w:val="auto"/>
                <w:lang w:eastAsia="zh-CN"/>
              </w:rPr>
              <w:t>进入</w:t>
            </w:r>
            <w:r>
              <w:rPr>
                <w:rFonts w:hint="default" w:ascii="Times New Roman" w:hAnsi="Times New Roman" w:eastAsia="宋体" w:cs="Times New Roman"/>
                <w:bCs/>
                <w:color w:val="auto"/>
                <w:lang w:val="en-US" w:eastAsia="zh-CN"/>
              </w:rPr>
              <w:t>1套袋式除尘器</w:t>
            </w:r>
            <w:r>
              <w:rPr>
                <w:rFonts w:hint="default" w:ascii="Times New Roman" w:hAnsi="Times New Roman" w:eastAsia="宋体" w:cs="Times New Roman"/>
                <w:color w:val="auto"/>
                <w:lang w:eastAsia="zh-CN"/>
              </w:rPr>
              <w:t>处理后经</w:t>
            </w:r>
            <w:r>
              <w:rPr>
                <w:rFonts w:hint="default" w:ascii="Times New Roman" w:hAnsi="Times New Roman" w:eastAsia="宋体" w:cs="Times New Roman"/>
                <w:color w:val="auto"/>
                <w:lang w:val="en-US" w:eastAsia="zh-CN"/>
              </w:rPr>
              <w:t>15</w:t>
            </w:r>
            <w:r>
              <w:rPr>
                <w:rFonts w:hint="default" w:ascii="Times New Roman" w:hAnsi="Times New Roman" w:eastAsia="宋体" w:cs="Times New Roman"/>
                <w:color w:val="auto"/>
                <w:lang w:eastAsia="zh-CN"/>
              </w:rPr>
              <w:t>m高排气筒（DA00</w:t>
            </w:r>
            <w:r>
              <w:rPr>
                <w:rFonts w:hint="default" w:ascii="Times New Roman" w:hAnsi="Times New Roman" w:eastAsia="宋体" w:cs="Times New Roman"/>
                <w:color w:val="auto"/>
                <w:lang w:val="en-US" w:eastAsia="zh-CN"/>
              </w:rPr>
              <w:t>1</w:t>
            </w:r>
            <w:r>
              <w:rPr>
                <w:rFonts w:hint="default" w:ascii="Times New Roman" w:hAnsi="Times New Roman" w:eastAsia="宋体" w:cs="Times New Roman"/>
                <w:color w:val="auto"/>
                <w:lang w:eastAsia="zh-CN"/>
              </w:rPr>
              <w:t>）高空排放，</w:t>
            </w:r>
            <w:r>
              <w:rPr>
                <w:rFonts w:hint="eastAsia" w:cs="Times New Roman"/>
                <w:color w:val="auto"/>
                <w:lang w:eastAsia="zh-CN"/>
              </w:rPr>
              <w:t>袋式除尘器的除尘效率约为</w:t>
            </w:r>
            <w:r>
              <w:rPr>
                <w:rFonts w:hint="eastAsia" w:cs="Times New Roman"/>
                <w:color w:val="auto"/>
                <w:lang w:val="en-US" w:eastAsia="zh-CN"/>
              </w:rPr>
              <w:t>95%，颗粒物废气产生量</w:t>
            </w:r>
            <w:r>
              <w:rPr>
                <w:rFonts w:hint="eastAsia" w:cs="Times New Roman"/>
                <w:color w:val="auto"/>
                <w:lang w:val="en-US" w:eastAsia="zh-CN"/>
              </w:rPr>
              <w:t>0.825t/a</w:t>
            </w:r>
            <w:r>
              <w:rPr>
                <w:rFonts w:hint="eastAsia" w:cs="Times New Roman"/>
                <w:color w:val="auto"/>
                <w:lang w:val="en-US" w:eastAsia="zh-CN"/>
              </w:rPr>
              <w:t>，有组织产生量</w:t>
            </w:r>
            <w:r>
              <w:rPr>
                <w:rFonts w:hint="eastAsia" w:cs="Times New Roman"/>
                <w:color w:val="auto"/>
                <w:lang w:val="en-US" w:eastAsia="zh-CN"/>
              </w:rPr>
              <w:t>0.784t/a</w:t>
            </w:r>
            <w:r>
              <w:rPr>
                <w:rFonts w:hint="eastAsia" w:cs="Times New Roman"/>
                <w:color w:val="auto"/>
                <w:lang w:val="en-US" w:eastAsia="zh-CN"/>
              </w:rPr>
              <w:t>、则颗粒物</w:t>
            </w:r>
            <w:r>
              <w:rPr>
                <w:rFonts w:hint="default" w:ascii="Times New Roman" w:hAnsi="Times New Roman" w:eastAsia="宋体" w:cs="Times New Roman"/>
                <w:color w:val="auto"/>
                <w:lang w:eastAsia="zh-CN"/>
              </w:rPr>
              <w:t>有组织排放量</w:t>
            </w:r>
            <w:r>
              <w:rPr>
                <w:rFonts w:hint="default" w:ascii="Times New Roman" w:hAnsi="Times New Roman" w:eastAsia="宋体" w:cs="Times New Roman"/>
                <w:color w:val="auto"/>
                <w:lang w:val="en-US" w:eastAsia="zh-CN"/>
              </w:rPr>
              <w:t>0.</w:t>
            </w:r>
            <w:r>
              <w:rPr>
                <w:rFonts w:hint="eastAsia" w:cs="Times New Roman"/>
                <w:color w:val="auto"/>
                <w:lang w:val="en-US" w:eastAsia="zh-CN"/>
              </w:rPr>
              <w:t>039</w:t>
            </w:r>
            <w:r>
              <w:rPr>
                <w:rFonts w:hint="default" w:ascii="Times New Roman" w:hAnsi="Times New Roman" w:eastAsia="宋体" w:cs="Times New Roman"/>
                <w:color w:val="auto"/>
                <w:lang w:val="en-US" w:eastAsia="zh-CN"/>
              </w:rPr>
              <w:t>t/a</w:t>
            </w:r>
            <w:r>
              <w:rPr>
                <w:rFonts w:hint="default" w:ascii="Times New Roman" w:hAnsi="Times New Roman" w:eastAsia="宋体" w:cs="Times New Roman"/>
                <w:color w:val="auto"/>
                <w:lang w:val="en-US" w:eastAsia="zh-CN"/>
              </w:rPr>
              <w:t>、</w:t>
            </w:r>
            <w:r>
              <w:rPr>
                <w:rFonts w:hint="default" w:ascii="Times New Roman" w:hAnsi="Times New Roman" w:eastAsia="宋体" w:cs="Times New Roman"/>
                <w:color w:val="auto"/>
                <w:lang w:eastAsia="zh-CN"/>
              </w:rPr>
              <w:t>无组织排放量</w:t>
            </w:r>
            <w:r>
              <w:rPr>
                <w:rFonts w:hint="eastAsia" w:cs="Times New Roman"/>
                <w:color w:val="auto"/>
                <w:lang w:val="en-US" w:eastAsia="zh-CN"/>
              </w:rPr>
              <w:t>0.041</w:t>
            </w:r>
            <w:r>
              <w:rPr>
                <w:rFonts w:hint="default" w:ascii="Times New Roman" w:hAnsi="Times New Roman" w:eastAsia="宋体" w:cs="Times New Roman"/>
                <w:color w:val="auto"/>
                <w:lang w:val="en-US" w:eastAsia="zh-CN"/>
              </w:rPr>
              <w:t>t</w:t>
            </w:r>
            <w:r>
              <w:rPr>
                <w:rFonts w:hint="default" w:ascii="Times New Roman" w:hAnsi="Times New Roman" w:eastAsia="宋体" w:cs="Times New Roman"/>
                <w:color w:val="auto"/>
                <w:lang w:val="en-US" w:eastAsia="zh-CN"/>
              </w:rPr>
              <w:t>/a</w:t>
            </w:r>
            <w:r>
              <w:rPr>
                <w:rFonts w:hint="eastAsia" w:cs="Times New Roman"/>
                <w:color w:val="auto"/>
                <w:lang w:val="en-US" w:eastAsia="zh-CN"/>
              </w:rPr>
              <w:t>，合计排放</w:t>
            </w:r>
            <w:r>
              <w:rPr>
                <w:rFonts w:hint="eastAsia" w:cs="Times New Roman"/>
                <w:color w:val="auto"/>
                <w:lang w:val="en-US" w:eastAsia="zh-CN"/>
              </w:rPr>
              <w:t>0.08t/a</w:t>
            </w:r>
            <w:r>
              <w:rPr>
                <w:rFonts w:hint="default" w:ascii="Times New Roman" w:hAnsi="Times New Roman" w:eastAsia="宋体" w:cs="Times New Roman"/>
                <w:color w:val="auto"/>
                <w:lang w:val="en-US" w:eastAsia="zh-CN"/>
              </w:rPr>
              <w:t>。</w:t>
            </w:r>
          </w:p>
          <w:p w14:paraId="68BD77C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480" w:leftChars="200" w:right="0" w:rightChars="0"/>
              <w:textAlignment w:val="auto"/>
              <w:rPr>
                <w:rFonts w:hint="default" w:ascii="Times New Roman" w:hAnsi="Times New Roman" w:eastAsia="宋体" w:cs="Times New Roman"/>
                <w:b/>
                <w:bCs/>
                <w:color w:val="auto"/>
                <w:lang w:val="en-US" w:eastAsia="zh-CN"/>
              </w:rPr>
            </w:pPr>
            <w:r>
              <w:rPr>
                <w:rFonts w:hint="default" w:ascii="Times New Roman" w:hAnsi="Times New Roman" w:eastAsia="宋体" w:cs="Times New Roman"/>
                <w:b/>
                <w:bCs/>
                <w:color w:val="auto"/>
                <w:lang w:val="en-US" w:eastAsia="zh-CN"/>
              </w:rPr>
              <w:t>1.3废气污染防治技术可行性</w:t>
            </w:r>
          </w:p>
          <w:p w14:paraId="558495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firstLine="480" w:firstLineChars="200"/>
              <w:textAlignment w:val="auto"/>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本项目属于耐火材料</w:t>
            </w:r>
            <w:r>
              <w:rPr>
                <w:rFonts w:hint="eastAsia" w:cs="Times New Roman"/>
                <w:color w:val="auto"/>
                <w:lang w:val="en-US" w:eastAsia="zh-CN"/>
              </w:rPr>
              <w:t>制造</w:t>
            </w:r>
            <w:r>
              <w:rPr>
                <w:rFonts w:hint="default" w:ascii="Times New Roman" w:hAnsi="Times New Roman" w:eastAsia="宋体" w:cs="Times New Roman"/>
                <w:color w:val="auto"/>
                <w:lang w:val="en-US" w:eastAsia="zh-CN"/>
              </w:rPr>
              <w:t>行业，目前无相应的排污许可证申请与核发技术规范，评价参</w:t>
            </w:r>
            <w:r>
              <w:rPr>
                <w:rFonts w:hint="eastAsia" w:cs="Times New Roman"/>
                <w:color w:val="auto"/>
                <w:lang w:val="en-US" w:eastAsia="zh-CN"/>
              </w:rPr>
              <w:t>照</w:t>
            </w:r>
            <w:r>
              <w:rPr>
                <w:rFonts w:hint="default" w:ascii="Times New Roman" w:hAnsi="Times New Roman" w:eastAsia="宋体" w:cs="Times New Roman"/>
                <w:color w:val="auto"/>
                <w:lang w:val="en-US" w:eastAsia="zh-CN"/>
              </w:rPr>
              <w:t>《排污许可证申请与核发技术规范 石墨及其他非金属矿物制品制造》（HJ1119—2020）附录A可知，项目</w:t>
            </w:r>
            <w:r>
              <w:rPr>
                <w:rFonts w:hint="eastAsia" w:cs="Times New Roman"/>
                <w:color w:val="auto"/>
                <w:lang w:val="en-US" w:eastAsia="zh-CN"/>
              </w:rPr>
              <w:t>生产过程中</w:t>
            </w:r>
            <w:r>
              <w:rPr>
                <w:rFonts w:hint="default" w:ascii="Times New Roman" w:hAnsi="Times New Roman" w:eastAsia="宋体" w:cs="Times New Roman"/>
                <w:color w:val="auto"/>
                <w:lang w:val="en-US" w:eastAsia="zh-CN"/>
              </w:rPr>
              <w:t>产生的颗粒物使用</w:t>
            </w:r>
            <w:r>
              <w:rPr>
                <w:rFonts w:hint="eastAsia" w:cs="Times New Roman"/>
                <w:color w:val="auto"/>
                <w:lang w:val="en-US" w:eastAsia="zh-CN"/>
              </w:rPr>
              <w:t>袋式</w:t>
            </w:r>
            <w:r>
              <w:rPr>
                <w:rFonts w:hint="default" w:ascii="Times New Roman" w:hAnsi="Times New Roman" w:eastAsia="宋体" w:cs="Times New Roman"/>
                <w:color w:val="auto"/>
                <w:lang w:val="en-US" w:eastAsia="zh-CN"/>
              </w:rPr>
              <w:t>除尘器处理为可行</w:t>
            </w:r>
            <w:r>
              <w:rPr>
                <w:rFonts w:hint="eastAsia" w:cs="Times New Roman"/>
                <w:color w:val="auto"/>
                <w:lang w:val="en-US" w:eastAsia="zh-CN"/>
              </w:rPr>
              <w:t>的治理</w:t>
            </w:r>
            <w:r>
              <w:rPr>
                <w:rFonts w:hint="default" w:ascii="Times New Roman" w:hAnsi="Times New Roman" w:eastAsia="宋体" w:cs="Times New Roman"/>
                <w:color w:val="auto"/>
                <w:lang w:val="en-US" w:eastAsia="zh-CN"/>
              </w:rPr>
              <w:t>技术。</w:t>
            </w:r>
          </w:p>
          <w:p w14:paraId="314E2792">
            <w:pPr>
              <w:keepNext w:val="0"/>
              <w:keepLines w:val="0"/>
              <w:numPr>
                <w:ilvl w:val="0"/>
                <w:numId w:val="0"/>
              </w:numPr>
              <w:suppressLineNumbers w:val="0"/>
              <w:bidi w:val="0"/>
              <w:spacing w:before="0" w:beforeAutospacing="0" w:after="0" w:afterAutospacing="0"/>
              <w:ind w:left="480" w:leftChars="200" w:right="0" w:rightChars="0"/>
              <w:rPr>
                <w:rFonts w:hint="default" w:ascii="Times New Roman" w:hAnsi="Times New Roman" w:eastAsia="宋体" w:cs="Times New Roman"/>
                <w:b/>
                <w:bCs/>
                <w:color w:val="auto"/>
                <w:lang w:val="en-US" w:eastAsia="zh-CN"/>
              </w:rPr>
            </w:pPr>
            <w:r>
              <w:rPr>
                <w:rFonts w:hint="default" w:ascii="Times New Roman" w:hAnsi="Times New Roman" w:eastAsia="宋体" w:cs="Times New Roman"/>
                <w:b/>
                <w:bCs/>
                <w:color w:val="auto"/>
                <w:lang w:val="en-US" w:eastAsia="zh-CN"/>
              </w:rPr>
              <w:t>1.4非正常工况废气排放量核算</w:t>
            </w:r>
          </w:p>
          <w:p w14:paraId="0A1E6CC8">
            <w:pPr>
              <w:keepNext w:val="0"/>
              <w:keepLines w:val="0"/>
              <w:suppressLineNumbers w:val="0"/>
              <w:spacing w:before="0" w:beforeAutospacing="0" w:after="0" w:afterAutospacing="0"/>
              <w:ind w:left="0" w:right="0"/>
              <w:rPr>
                <w:rFonts w:hint="default" w:ascii="Times New Roman" w:hAnsi="Times New Roman" w:eastAsia="宋体" w:cs="Times New Roman"/>
                <w:color w:val="auto"/>
                <w:lang w:eastAsia="zh-CN"/>
              </w:rPr>
            </w:pPr>
            <w:r>
              <w:rPr>
                <w:rFonts w:hint="default" w:ascii="Times New Roman" w:hAnsi="Times New Roman" w:eastAsia="宋体" w:cs="Times New Roman"/>
                <w:color w:val="auto"/>
                <w:lang w:eastAsia="zh-CN"/>
              </w:rPr>
              <w:t>根据</w:t>
            </w:r>
            <w:r>
              <w:rPr>
                <w:rFonts w:hint="eastAsia" w:cs="Times New Roman"/>
                <w:color w:val="auto"/>
                <w:lang w:eastAsia="zh-CN"/>
              </w:rPr>
              <w:t>拟建</w:t>
            </w:r>
            <w:r>
              <w:rPr>
                <w:rFonts w:hint="default" w:ascii="Times New Roman" w:hAnsi="Times New Roman" w:eastAsia="宋体" w:cs="Times New Roman"/>
                <w:color w:val="auto"/>
                <w:lang w:eastAsia="zh-CN"/>
              </w:rPr>
              <w:t>项目污染物源强及治理措施情况，结合项目特点，</w:t>
            </w:r>
            <w:r>
              <w:rPr>
                <w:rFonts w:hint="default" w:ascii="Times New Roman" w:hAnsi="Times New Roman" w:eastAsia="宋体" w:cs="Times New Roman"/>
                <w:color w:val="auto"/>
                <w:lang w:val="en-US" w:eastAsia="zh-CN"/>
              </w:rPr>
              <w:t>本次评价</w:t>
            </w:r>
            <w:r>
              <w:rPr>
                <w:rFonts w:hint="eastAsia" w:cs="Times New Roman"/>
                <w:color w:val="auto"/>
                <w:lang w:val="en-US" w:eastAsia="zh-CN"/>
              </w:rPr>
              <w:t>拟建</w:t>
            </w:r>
            <w:r>
              <w:rPr>
                <w:rFonts w:hint="default" w:ascii="Times New Roman" w:hAnsi="Times New Roman" w:eastAsia="宋体" w:cs="Times New Roman"/>
                <w:color w:val="auto"/>
                <w:lang w:val="en-US" w:eastAsia="zh-CN"/>
              </w:rPr>
              <w:t>工程</w:t>
            </w:r>
            <w:r>
              <w:rPr>
                <w:rFonts w:hint="default" w:ascii="Times New Roman" w:hAnsi="Times New Roman" w:eastAsia="宋体" w:cs="Times New Roman"/>
                <w:color w:val="auto"/>
                <w:lang w:eastAsia="zh-CN"/>
              </w:rPr>
              <w:t>非正常工况考虑袋式除尘装置</w:t>
            </w:r>
            <w:r>
              <w:rPr>
                <w:rFonts w:hint="eastAsia" w:cs="Times New Roman"/>
                <w:color w:val="auto"/>
                <w:lang w:eastAsia="zh-CN"/>
              </w:rPr>
              <w:t>故障</w:t>
            </w:r>
            <w:r>
              <w:rPr>
                <w:rFonts w:hint="default" w:ascii="Times New Roman" w:hAnsi="Times New Roman" w:eastAsia="宋体" w:cs="Times New Roman"/>
                <w:color w:val="auto"/>
                <w:lang w:eastAsia="zh-CN"/>
              </w:rPr>
              <w:t>，导致</w:t>
            </w:r>
            <w:r>
              <w:rPr>
                <w:rFonts w:hint="default" w:ascii="Times New Roman" w:hAnsi="Times New Roman" w:eastAsia="宋体" w:cs="Times New Roman"/>
                <w:color w:val="auto"/>
                <w:lang w:val="en-US" w:eastAsia="zh-CN"/>
              </w:rPr>
              <w:t>废气</w:t>
            </w:r>
            <w:r>
              <w:rPr>
                <w:rFonts w:hint="default" w:ascii="Times New Roman" w:hAnsi="Times New Roman" w:eastAsia="宋体" w:cs="Times New Roman"/>
                <w:color w:val="auto"/>
                <w:lang w:eastAsia="zh-CN"/>
              </w:rPr>
              <w:t>处理效率下降</w:t>
            </w:r>
            <w:r>
              <w:rPr>
                <w:rFonts w:hint="default" w:ascii="Times New Roman" w:hAnsi="Times New Roman" w:eastAsia="宋体" w:cs="Times New Roman"/>
                <w:color w:val="auto"/>
                <w:lang w:val="en-US" w:eastAsia="zh-CN"/>
              </w:rPr>
              <w:t>至50%</w:t>
            </w:r>
            <w:r>
              <w:rPr>
                <w:rFonts w:hint="default" w:ascii="Times New Roman" w:hAnsi="Times New Roman" w:eastAsia="宋体" w:cs="Times New Roman"/>
                <w:color w:val="auto"/>
                <w:lang w:eastAsia="zh-CN"/>
              </w:rPr>
              <w:t>，类比同类项目发生频次1次/年，单次持续时间以1小时计，非正常排放量核算见下表</w:t>
            </w:r>
            <w:r>
              <w:rPr>
                <w:rFonts w:hint="eastAsia" w:cs="Times New Roman"/>
                <w:color w:val="auto"/>
                <w:lang w:val="en-US" w:eastAsia="zh-CN"/>
              </w:rPr>
              <w:t>4.1-6</w:t>
            </w:r>
            <w:r>
              <w:rPr>
                <w:rFonts w:hint="default" w:ascii="Times New Roman" w:hAnsi="Times New Roman" w:eastAsia="宋体" w:cs="Times New Roman"/>
                <w:color w:val="auto"/>
                <w:lang w:eastAsia="zh-CN"/>
              </w:rPr>
              <w:t>。</w:t>
            </w:r>
          </w:p>
          <w:p w14:paraId="4AAFBCD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lang w:val="en-US" w:eastAsia="zh-CN"/>
              </w:rPr>
            </w:pPr>
            <w:r>
              <w:rPr>
                <w:rFonts w:hint="default" w:ascii="Times New Roman" w:hAnsi="Times New Roman" w:eastAsia="宋体" w:cs="Times New Roman"/>
                <w:b/>
                <w:bCs/>
                <w:color w:val="auto"/>
                <w:lang w:val="en-US" w:eastAsia="zh-CN"/>
              </w:rPr>
              <w:t>表4.1-</w:t>
            </w:r>
            <w:r>
              <w:rPr>
                <w:rFonts w:hint="eastAsia" w:ascii="Times New Roman" w:hAnsi="Times New Roman" w:eastAsia="宋体" w:cs="Times New Roman"/>
                <w:b/>
                <w:bCs/>
                <w:color w:val="auto"/>
                <w:lang w:val="en-US" w:eastAsia="zh-CN"/>
              </w:rPr>
              <w:t>6</w:t>
            </w:r>
            <w:r>
              <w:rPr>
                <w:rFonts w:hint="default" w:ascii="Times New Roman" w:hAnsi="Times New Roman" w:eastAsia="宋体" w:cs="Times New Roman"/>
                <w:b/>
                <w:bCs/>
                <w:color w:val="auto"/>
                <w:lang w:val="en-US" w:eastAsia="zh-CN"/>
              </w:rPr>
              <w:t xml:space="preserve">  污染源非正常排放量核算表</w:t>
            </w:r>
          </w:p>
          <w:tbl>
            <w:tblPr>
              <w:tblStyle w:val="27"/>
              <w:tblW w:w="5000" w:type="pct"/>
              <w:jc w:val="center"/>
              <w:tblBorders>
                <w:top w:val="single" w:color="000000" w:sz="12" w:space="0"/>
                <w:left w:val="none" w:color="auto" w:sz="0" w:space="0"/>
                <w:bottom w:val="single" w:color="000000" w:sz="12" w:space="0"/>
                <w:right w:val="none" w:color="auto" w:sz="0" w:space="0"/>
                <w:insideH w:val="single" w:color="000000" w:sz="4" w:space="0"/>
                <w:insideV w:val="single" w:color="000000" w:sz="6" w:space="0"/>
              </w:tblBorders>
              <w:tblLayout w:type="autofit"/>
              <w:tblCellMar>
                <w:top w:w="0" w:type="dxa"/>
                <w:left w:w="28" w:type="dxa"/>
                <w:bottom w:w="0" w:type="dxa"/>
                <w:right w:w="28" w:type="dxa"/>
              </w:tblCellMar>
            </w:tblPr>
            <w:tblGrid>
              <w:gridCol w:w="586"/>
              <w:gridCol w:w="742"/>
              <w:gridCol w:w="862"/>
              <w:gridCol w:w="775"/>
              <w:gridCol w:w="1101"/>
              <w:gridCol w:w="1125"/>
              <w:gridCol w:w="649"/>
              <w:gridCol w:w="688"/>
              <w:gridCol w:w="727"/>
              <w:gridCol w:w="829"/>
            </w:tblGrid>
            <w:tr w14:paraId="38B30A29">
              <w:tblPrEx>
                <w:tblBorders>
                  <w:top w:val="single" w:color="000000" w:sz="12" w:space="0"/>
                  <w:left w:val="none" w:color="auto" w:sz="0" w:space="0"/>
                  <w:bottom w:val="single" w:color="000000" w:sz="12" w:space="0"/>
                  <w:right w:val="none" w:color="auto" w:sz="0" w:space="0"/>
                  <w:insideH w:val="single" w:color="000000" w:sz="4" w:space="0"/>
                  <w:insideV w:val="single" w:color="000000" w:sz="6" w:space="0"/>
                </w:tblBorders>
                <w:tblCellMar>
                  <w:top w:w="0" w:type="dxa"/>
                  <w:left w:w="28" w:type="dxa"/>
                  <w:bottom w:w="0" w:type="dxa"/>
                  <w:right w:w="28" w:type="dxa"/>
                </w:tblCellMar>
              </w:tblPrEx>
              <w:trPr>
                <w:trHeight w:val="340" w:hRule="atLeast"/>
                <w:jc w:val="center"/>
              </w:trPr>
              <w:tc>
                <w:tcPr>
                  <w:tcW w:w="362" w:type="pct"/>
                  <w:vAlign w:val="center"/>
                </w:tcPr>
                <w:p w14:paraId="7F4AE282">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污染源</w:t>
                  </w:r>
                </w:p>
              </w:tc>
              <w:tc>
                <w:tcPr>
                  <w:tcW w:w="459" w:type="pct"/>
                  <w:vAlign w:val="center"/>
                </w:tcPr>
                <w:p w14:paraId="3C03912A">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非正常排放原因</w:t>
                  </w:r>
                </w:p>
              </w:tc>
              <w:tc>
                <w:tcPr>
                  <w:tcW w:w="533" w:type="pct"/>
                  <w:vAlign w:val="center"/>
                </w:tcPr>
                <w:p w14:paraId="36A59923">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非正常工况废气处理效率</w:t>
                  </w:r>
                </w:p>
              </w:tc>
              <w:tc>
                <w:tcPr>
                  <w:tcW w:w="479" w:type="pct"/>
                  <w:vAlign w:val="center"/>
                </w:tcPr>
                <w:p w14:paraId="4D48D02D">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污染物</w:t>
                  </w:r>
                </w:p>
              </w:tc>
              <w:tc>
                <w:tcPr>
                  <w:tcW w:w="680" w:type="pct"/>
                  <w:vAlign w:val="center"/>
                </w:tcPr>
                <w:p w14:paraId="6B211D00">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18"/>
                      <w:szCs w:val="18"/>
                      <w:lang w:eastAsia="zh-CN"/>
                    </w:rPr>
                  </w:pPr>
                  <w:r>
                    <w:rPr>
                      <w:rFonts w:hint="default" w:ascii="Times New Roman" w:hAnsi="Times New Roman" w:eastAsia="宋体" w:cs="Times New Roman"/>
                      <w:b/>
                      <w:bCs/>
                      <w:color w:val="auto"/>
                      <w:sz w:val="18"/>
                      <w:szCs w:val="18"/>
                    </w:rPr>
                    <w:t>非正常排放浓度</w:t>
                  </w:r>
                  <w:r>
                    <w:rPr>
                      <w:rFonts w:hint="default" w:ascii="Times New Roman" w:hAnsi="Times New Roman" w:eastAsia="宋体" w:cs="Times New Roman"/>
                      <w:b/>
                      <w:bCs/>
                      <w:color w:val="auto"/>
                      <w:sz w:val="18"/>
                      <w:szCs w:val="18"/>
                      <w:lang w:val="en-US" w:eastAsia="zh-CN"/>
                    </w:rPr>
                    <w:t>(</w:t>
                  </w:r>
                  <w:r>
                    <w:rPr>
                      <w:rFonts w:hint="default" w:ascii="Times New Roman" w:hAnsi="Times New Roman" w:eastAsia="宋体" w:cs="Times New Roman"/>
                      <w:b/>
                      <w:bCs/>
                      <w:color w:val="auto"/>
                      <w:sz w:val="18"/>
                      <w:szCs w:val="18"/>
                    </w:rPr>
                    <w:t>mg/m</w:t>
                  </w:r>
                  <w:r>
                    <w:rPr>
                      <w:rFonts w:hint="default" w:ascii="Times New Roman" w:hAnsi="Times New Roman" w:eastAsia="宋体" w:cs="Times New Roman"/>
                      <w:b/>
                      <w:bCs/>
                      <w:color w:val="auto"/>
                      <w:sz w:val="18"/>
                      <w:szCs w:val="18"/>
                      <w:vertAlign w:val="superscript"/>
                    </w:rPr>
                    <w:t>3</w:t>
                  </w:r>
                  <w:r>
                    <w:rPr>
                      <w:rFonts w:hint="default" w:ascii="Times New Roman" w:hAnsi="Times New Roman" w:eastAsia="宋体" w:cs="Times New Roman"/>
                      <w:b/>
                      <w:bCs/>
                      <w:color w:val="auto"/>
                      <w:sz w:val="18"/>
                      <w:szCs w:val="18"/>
                      <w:lang w:val="en-US" w:eastAsia="zh-CN"/>
                    </w:rPr>
                    <w:t>)</w:t>
                  </w:r>
                </w:p>
              </w:tc>
              <w:tc>
                <w:tcPr>
                  <w:tcW w:w="695" w:type="pct"/>
                  <w:vAlign w:val="center"/>
                </w:tcPr>
                <w:p w14:paraId="7D1CAC03">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18"/>
                      <w:szCs w:val="18"/>
                      <w:lang w:val="en-US" w:eastAsia="zh-CN"/>
                    </w:rPr>
                  </w:pPr>
                  <w:r>
                    <w:rPr>
                      <w:rFonts w:hint="default" w:ascii="Times New Roman" w:hAnsi="Times New Roman" w:eastAsia="宋体" w:cs="Times New Roman"/>
                      <w:b/>
                      <w:bCs/>
                      <w:color w:val="auto"/>
                      <w:sz w:val="18"/>
                      <w:szCs w:val="18"/>
                    </w:rPr>
                    <w:t>非正常排放速率</w:t>
                  </w:r>
                  <w:r>
                    <w:rPr>
                      <w:rFonts w:hint="default" w:ascii="Times New Roman" w:hAnsi="Times New Roman" w:eastAsia="宋体" w:cs="Times New Roman"/>
                      <w:b/>
                      <w:bCs/>
                      <w:color w:val="auto"/>
                      <w:sz w:val="18"/>
                      <w:szCs w:val="18"/>
                      <w:lang w:val="en-US" w:eastAsia="zh-CN"/>
                    </w:rPr>
                    <w:t>(</w:t>
                  </w:r>
                  <w:r>
                    <w:rPr>
                      <w:rFonts w:hint="default" w:ascii="Times New Roman" w:hAnsi="Times New Roman" w:eastAsia="宋体" w:cs="Times New Roman"/>
                      <w:b/>
                      <w:bCs/>
                      <w:color w:val="auto"/>
                      <w:sz w:val="18"/>
                      <w:szCs w:val="18"/>
                    </w:rPr>
                    <w:t>kg/h</w:t>
                  </w:r>
                  <w:r>
                    <w:rPr>
                      <w:rFonts w:hint="default" w:ascii="Times New Roman" w:hAnsi="Times New Roman" w:eastAsia="宋体" w:cs="Times New Roman"/>
                      <w:b/>
                      <w:bCs/>
                      <w:color w:val="auto"/>
                      <w:sz w:val="18"/>
                      <w:szCs w:val="18"/>
                      <w:lang w:val="en-US" w:eastAsia="zh-CN"/>
                    </w:rPr>
                    <w:t>)</w:t>
                  </w:r>
                </w:p>
              </w:tc>
              <w:tc>
                <w:tcPr>
                  <w:tcW w:w="401" w:type="pct"/>
                  <w:vAlign w:val="center"/>
                </w:tcPr>
                <w:p w14:paraId="4429963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非正常排放量(</w:t>
                  </w:r>
                  <w:r>
                    <w:rPr>
                      <w:rFonts w:hint="default" w:ascii="Times New Roman" w:hAnsi="Times New Roman" w:eastAsia="宋体" w:cs="Times New Roman"/>
                      <w:b/>
                      <w:bCs/>
                      <w:color w:val="auto"/>
                      <w:sz w:val="18"/>
                      <w:szCs w:val="18"/>
                      <w:lang w:val="en-US" w:eastAsia="zh-CN"/>
                    </w:rPr>
                    <w:t>t</w:t>
                  </w:r>
                  <w:r>
                    <w:rPr>
                      <w:rFonts w:hint="default" w:ascii="Times New Roman" w:hAnsi="Times New Roman" w:eastAsia="宋体" w:cs="Times New Roman"/>
                      <w:b/>
                      <w:bCs/>
                      <w:color w:val="auto"/>
                      <w:sz w:val="18"/>
                      <w:szCs w:val="18"/>
                    </w:rPr>
                    <w:t>/a)</w:t>
                  </w:r>
                </w:p>
              </w:tc>
              <w:tc>
                <w:tcPr>
                  <w:tcW w:w="425" w:type="pct"/>
                  <w:vAlign w:val="center"/>
                </w:tcPr>
                <w:p w14:paraId="704768B5">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18"/>
                      <w:szCs w:val="18"/>
                      <w:lang w:val="en-US" w:eastAsia="zh-CN"/>
                    </w:rPr>
                  </w:pPr>
                  <w:r>
                    <w:rPr>
                      <w:rFonts w:hint="default" w:ascii="Times New Roman" w:hAnsi="Times New Roman" w:eastAsia="宋体" w:cs="Times New Roman"/>
                      <w:b/>
                      <w:bCs/>
                      <w:color w:val="auto"/>
                      <w:sz w:val="18"/>
                      <w:szCs w:val="18"/>
                    </w:rPr>
                    <w:t>单次持续时间</w:t>
                  </w:r>
                  <w:r>
                    <w:rPr>
                      <w:rFonts w:hint="default" w:ascii="Times New Roman" w:hAnsi="Times New Roman" w:eastAsia="宋体" w:cs="Times New Roman"/>
                      <w:b/>
                      <w:bCs/>
                      <w:color w:val="auto"/>
                      <w:sz w:val="18"/>
                      <w:szCs w:val="18"/>
                      <w:lang w:val="en-US" w:eastAsia="zh-CN"/>
                    </w:rPr>
                    <w:t>(</w:t>
                  </w:r>
                  <w:r>
                    <w:rPr>
                      <w:rFonts w:hint="default" w:ascii="Times New Roman" w:hAnsi="Times New Roman" w:eastAsia="宋体" w:cs="Times New Roman"/>
                      <w:b/>
                      <w:bCs/>
                      <w:color w:val="auto"/>
                      <w:sz w:val="18"/>
                      <w:szCs w:val="18"/>
                    </w:rPr>
                    <w:t>h</w:t>
                  </w:r>
                  <w:r>
                    <w:rPr>
                      <w:rFonts w:hint="default" w:ascii="Times New Roman" w:hAnsi="Times New Roman" w:eastAsia="宋体" w:cs="Times New Roman"/>
                      <w:b/>
                      <w:bCs/>
                      <w:color w:val="auto"/>
                      <w:sz w:val="18"/>
                      <w:szCs w:val="18"/>
                      <w:lang w:val="en-US" w:eastAsia="zh-CN"/>
                    </w:rPr>
                    <w:t>)</w:t>
                  </w:r>
                </w:p>
              </w:tc>
              <w:tc>
                <w:tcPr>
                  <w:tcW w:w="449" w:type="pct"/>
                  <w:vAlign w:val="center"/>
                </w:tcPr>
                <w:p w14:paraId="630283AB">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18"/>
                      <w:szCs w:val="18"/>
                      <w:lang w:val="en-US" w:eastAsia="zh-CN"/>
                    </w:rPr>
                  </w:pPr>
                  <w:r>
                    <w:rPr>
                      <w:rFonts w:hint="default" w:ascii="Times New Roman" w:hAnsi="Times New Roman" w:eastAsia="宋体" w:cs="Times New Roman"/>
                      <w:b/>
                      <w:bCs/>
                      <w:color w:val="auto"/>
                      <w:sz w:val="18"/>
                      <w:szCs w:val="18"/>
                    </w:rPr>
                    <w:t>发生频次</w:t>
                  </w:r>
                  <w:r>
                    <w:rPr>
                      <w:rFonts w:hint="default" w:ascii="Times New Roman" w:hAnsi="Times New Roman" w:eastAsia="宋体" w:cs="Times New Roman"/>
                      <w:b/>
                      <w:bCs/>
                      <w:color w:val="auto"/>
                      <w:sz w:val="18"/>
                      <w:szCs w:val="18"/>
                      <w:lang w:val="en-US" w:eastAsia="zh-CN"/>
                    </w:rPr>
                    <w:t>(</w:t>
                  </w:r>
                  <w:r>
                    <w:rPr>
                      <w:rFonts w:hint="default" w:ascii="Times New Roman" w:hAnsi="Times New Roman" w:eastAsia="宋体" w:cs="Times New Roman"/>
                      <w:b/>
                      <w:bCs/>
                      <w:color w:val="auto"/>
                      <w:sz w:val="18"/>
                      <w:szCs w:val="18"/>
                    </w:rPr>
                    <w:t>次/年</w:t>
                  </w:r>
                  <w:r>
                    <w:rPr>
                      <w:rFonts w:hint="default" w:ascii="Times New Roman" w:hAnsi="Times New Roman" w:eastAsia="宋体" w:cs="Times New Roman"/>
                      <w:b/>
                      <w:bCs/>
                      <w:color w:val="auto"/>
                      <w:sz w:val="18"/>
                      <w:szCs w:val="18"/>
                      <w:lang w:val="en-US" w:eastAsia="zh-CN"/>
                    </w:rPr>
                    <w:t>)</w:t>
                  </w:r>
                </w:p>
              </w:tc>
              <w:tc>
                <w:tcPr>
                  <w:tcW w:w="512" w:type="pct"/>
                  <w:vAlign w:val="center"/>
                </w:tcPr>
                <w:p w14:paraId="5584DD87">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应对措施</w:t>
                  </w:r>
                </w:p>
              </w:tc>
            </w:tr>
            <w:tr w14:paraId="298D2F8D">
              <w:tblPrEx>
                <w:tblBorders>
                  <w:top w:val="single" w:color="000000" w:sz="12" w:space="0"/>
                  <w:left w:val="none" w:color="auto" w:sz="0" w:space="0"/>
                  <w:bottom w:val="single" w:color="000000" w:sz="12" w:space="0"/>
                  <w:right w:val="none" w:color="auto" w:sz="0" w:space="0"/>
                  <w:insideH w:val="single" w:color="000000" w:sz="4" w:space="0"/>
                  <w:insideV w:val="single" w:color="000000" w:sz="6" w:space="0"/>
                </w:tblBorders>
                <w:tblCellMar>
                  <w:top w:w="0" w:type="dxa"/>
                  <w:left w:w="28" w:type="dxa"/>
                  <w:bottom w:w="0" w:type="dxa"/>
                  <w:right w:w="28" w:type="dxa"/>
                </w:tblCellMar>
              </w:tblPrEx>
              <w:trPr>
                <w:trHeight w:val="340" w:hRule="atLeast"/>
                <w:jc w:val="center"/>
              </w:trPr>
              <w:tc>
                <w:tcPr>
                  <w:tcW w:w="362" w:type="pct"/>
                  <w:vAlign w:val="center"/>
                </w:tcPr>
                <w:p w14:paraId="516CC804">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DA001</w:t>
                  </w:r>
                </w:p>
              </w:tc>
              <w:tc>
                <w:tcPr>
                  <w:tcW w:w="459" w:type="pct"/>
                  <w:vAlign w:val="center"/>
                </w:tcPr>
                <w:p w14:paraId="28CCC58C">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kern w:val="0"/>
                      <w:sz w:val="18"/>
                      <w:szCs w:val="18"/>
                      <w:lang w:val="en-US" w:eastAsia="zh-CN"/>
                    </w:rPr>
                    <w:t>袋式除尘装置</w:t>
                  </w:r>
                  <w:r>
                    <w:rPr>
                      <w:rFonts w:hint="default" w:ascii="Times New Roman" w:hAnsi="Times New Roman" w:eastAsia="宋体" w:cs="Times New Roman"/>
                      <w:color w:val="auto"/>
                      <w:sz w:val="18"/>
                      <w:szCs w:val="18"/>
                      <w:lang w:val="en-US" w:eastAsia="zh-CN"/>
                    </w:rPr>
                    <w:t>故障</w:t>
                  </w:r>
                </w:p>
              </w:tc>
              <w:tc>
                <w:tcPr>
                  <w:tcW w:w="533" w:type="pct"/>
                  <w:vAlign w:val="center"/>
                </w:tcPr>
                <w:p w14:paraId="76231F58">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50%</w:t>
                  </w:r>
                </w:p>
              </w:tc>
              <w:tc>
                <w:tcPr>
                  <w:tcW w:w="479" w:type="pct"/>
                  <w:vAlign w:val="center"/>
                </w:tcPr>
                <w:p w14:paraId="5B440044">
                  <w:pPr>
                    <w:pStyle w:val="42"/>
                    <w:keepNext w:val="0"/>
                    <w:keepLines w:val="0"/>
                    <w:pageBreakBefore w:val="0"/>
                    <w:suppressLineNumbers w:val="0"/>
                    <w:topLinePunct w:val="0"/>
                    <w:autoSpaceDE/>
                    <w:autoSpaceDN/>
                    <w:bidi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eastAsia="zh-CN"/>
                    </w:rPr>
                    <w:t>颗粒物</w:t>
                  </w:r>
                </w:p>
              </w:tc>
              <w:tc>
                <w:tcPr>
                  <w:tcW w:w="1101" w:type="dxa"/>
                  <w:vAlign w:val="center"/>
                </w:tcPr>
                <w:p w14:paraId="1AD000A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center"/>
                    <w:rPr>
                      <w:rFonts w:hint="default" w:ascii="Times New Roman" w:hAnsi="Times New Roman" w:eastAsia="宋体" w:cs="Times New Roman"/>
                      <w:snapToGrid w:val="0"/>
                      <w:color w:val="auto"/>
                      <w:kern w:val="0"/>
                      <w:sz w:val="18"/>
                      <w:szCs w:val="18"/>
                      <w:lang w:val="en-US" w:eastAsia="zh-CN" w:bidi="ar-SA"/>
                    </w:rPr>
                  </w:pPr>
                  <w:r>
                    <w:rPr>
                      <w:rFonts w:hint="eastAsia" w:cs="Times New Roman"/>
                      <w:snapToGrid w:val="0"/>
                      <w:color w:val="auto"/>
                      <w:kern w:val="0"/>
                      <w:sz w:val="18"/>
                      <w:szCs w:val="18"/>
                      <w:lang w:val="en-US" w:eastAsia="zh-CN" w:bidi="ar-SA"/>
                    </w:rPr>
                    <w:t>65.3</w:t>
                  </w:r>
                </w:p>
              </w:tc>
              <w:tc>
                <w:tcPr>
                  <w:tcW w:w="1125" w:type="dxa"/>
                  <w:vAlign w:val="center"/>
                </w:tcPr>
                <w:p w14:paraId="2C5EBDD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center"/>
                    <w:rPr>
                      <w:rFonts w:hint="default" w:ascii="Times New Roman" w:hAnsi="Times New Roman" w:eastAsia="宋体" w:cs="Times New Roman"/>
                      <w:snapToGrid w:val="0"/>
                      <w:color w:val="auto"/>
                      <w:kern w:val="0"/>
                      <w:sz w:val="18"/>
                      <w:szCs w:val="18"/>
                      <w:lang w:val="en-US" w:eastAsia="zh-CN" w:bidi="ar-SA"/>
                    </w:rPr>
                  </w:pPr>
                  <w:r>
                    <w:rPr>
                      <w:rFonts w:hint="eastAsia" w:ascii="Times New Roman" w:hAnsi="Times New Roman" w:eastAsia="宋体" w:cs="Times New Roman"/>
                      <w:snapToGrid w:val="0"/>
                      <w:color w:val="auto"/>
                      <w:kern w:val="0"/>
                      <w:sz w:val="18"/>
                      <w:szCs w:val="18"/>
                      <w:lang w:val="en-US" w:eastAsia="zh-CN" w:bidi="ar-SA"/>
                    </w:rPr>
                    <w:t>0.1</w:t>
                  </w:r>
                  <w:r>
                    <w:rPr>
                      <w:rFonts w:hint="eastAsia" w:cs="Times New Roman"/>
                      <w:snapToGrid w:val="0"/>
                      <w:color w:val="auto"/>
                      <w:kern w:val="0"/>
                      <w:sz w:val="18"/>
                      <w:szCs w:val="18"/>
                      <w:lang w:val="en-US" w:eastAsia="zh-CN" w:bidi="ar-SA"/>
                    </w:rPr>
                    <w:t>63</w:t>
                  </w:r>
                </w:p>
              </w:tc>
              <w:tc>
                <w:tcPr>
                  <w:tcW w:w="649" w:type="dxa"/>
                  <w:vAlign w:val="center"/>
                </w:tcPr>
                <w:p w14:paraId="0E07E74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center"/>
                    <w:rPr>
                      <w:rFonts w:hint="default" w:ascii="Times New Roman" w:hAnsi="Times New Roman" w:eastAsia="宋体" w:cs="Times New Roman"/>
                      <w:snapToGrid w:val="0"/>
                      <w:color w:val="auto"/>
                      <w:kern w:val="0"/>
                      <w:sz w:val="18"/>
                      <w:szCs w:val="18"/>
                      <w:lang w:val="en-US" w:eastAsia="zh-CN" w:bidi="ar-SA"/>
                    </w:rPr>
                  </w:pPr>
                  <w:r>
                    <w:rPr>
                      <w:rFonts w:hint="eastAsia" w:ascii="Times New Roman" w:hAnsi="Times New Roman" w:eastAsia="宋体" w:cs="Times New Roman"/>
                      <w:snapToGrid w:val="0"/>
                      <w:color w:val="auto"/>
                      <w:kern w:val="0"/>
                      <w:sz w:val="18"/>
                      <w:szCs w:val="18"/>
                      <w:lang w:val="en-US" w:eastAsia="zh-CN" w:bidi="ar-SA"/>
                    </w:rPr>
                    <w:t>0.3</w:t>
                  </w:r>
                  <w:r>
                    <w:rPr>
                      <w:rFonts w:hint="eastAsia" w:cs="Times New Roman"/>
                      <w:snapToGrid w:val="0"/>
                      <w:color w:val="auto"/>
                      <w:kern w:val="0"/>
                      <w:sz w:val="18"/>
                      <w:szCs w:val="18"/>
                      <w:lang w:val="en-US" w:eastAsia="zh-CN" w:bidi="ar-SA"/>
                    </w:rPr>
                    <w:t>9</w:t>
                  </w:r>
                  <w:r>
                    <w:rPr>
                      <w:rFonts w:hint="eastAsia" w:ascii="Times New Roman" w:hAnsi="Times New Roman" w:eastAsia="宋体" w:cs="Times New Roman"/>
                      <w:snapToGrid w:val="0"/>
                      <w:color w:val="auto"/>
                      <w:kern w:val="0"/>
                      <w:sz w:val="18"/>
                      <w:szCs w:val="18"/>
                      <w:lang w:val="en-US" w:eastAsia="zh-CN" w:bidi="ar-SA"/>
                    </w:rPr>
                    <w:t>2</w:t>
                  </w:r>
                </w:p>
              </w:tc>
              <w:tc>
                <w:tcPr>
                  <w:tcW w:w="425" w:type="pct"/>
                  <w:vAlign w:val="center"/>
                </w:tcPr>
                <w:p w14:paraId="50D5E2A9">
                  <w:pPr>
                    <w:pStyle w:val="48"/>
                    <w:keepNext w:val="0"/>
                    <w:keepLines w:val="0"/>
                    <w:pageBreakBefore w:val="0"/>
                    <w:suppressLineNumbers w:val="0"/>
                    <w:kinsoku/>
                    <w:wordWrap/>
                    <w:overflowPunct/>
                    <w:topLinePunct w:val="0"/>
                    <w:autoSpaceDE/>
                    <w:autoSpaceDN/>
                    <w:bidi w:val="0"/>
                    <w:adjustRightInd w:val="0"/>
                    <w:snapToGrid w:val="0"/>
                    <w:spacing w:beforeLines="0" w:beforeAutospacing="0" w:afterLines="0" w:afterAutospacing="0" w:line="240" w:lineRule="auto"/>
                    <w:ind w:left="0" w:right="0" w:firstLine="0" w:firstLineChars="0"/>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snapToGrid w:val="0"/>
                      <w:color w:val="auto"/>
                      <w:sz w:val="18"/>
                      <w:szCs w:val="18"/>
                      <w:lang w:val="en-US" w:eastAsia="zh-CN"/>
                    </w:rPr>
                    <w:t>1h</w:t>
                  </w:r>
                </w:p>
              </w:tc>
              <w:tc>
                <w:tcPr>
                  <w:tcW w:w="449" w:type="pct"/>
                  <w:vAlign w:val="center"/>
                </w:tcPr>
                <w:p w14:paraId="3FDCDFEC">
                  <w:pPr>
                    <w:pStyle w:val="48"/>
                    <w:keepNext w:val="0"/>
                    <w:keepLines w:val="0"/>
                    <w:pageBreakBefore w:val="0"/>
                    <w:suppressLineNumbers w:val="0"/>
                    <w:kinsoku/>
                    <w:wordWrap/>
                    <w:overflowPunct/>
                    <w:topLinePunct w:val="0"/>
                    <w:autoSpaceDE/>
                    <w:autoSpaceDN/>
                    <w:bidi w:val="0"/>
                    <w:adjustRightInd w:val="0"/>
                    <w:snapToGrid w:val="0"/>
                    <w:spacing w:beforeLines="0" w:beforeAutospacing="0" w:afterLines="0" w:afterAutospacing="0" w:line="240" w:lineRule="auto"/>
                    <w:ind w:left="0" w:right="0" w:firstLine="0" w:firstLineChars="0"/>
                    <w:rPr>
                      <w:rFonts w:hint="default" w:ascii="Times New Roman" w:hAnsi="Times New Roman" w:eastAsia="宋体" w:cs="Times New Roman"/>
                      <w:color w:val="auto"/>
                      <w:sz w:val="18"/>
                      <w:szCs w:val="18"/>
                    </w:rPr>
                  </w:pPr>
                  <w:r>
                    <w:rPr>
                      <w:rFonts w:hint="default" w:ascii="Times New Roman" w:hAnsi="Times New Roman" w:eastAsia="宋体" w:cs="Times New Roman"/>
                      <w:snapToGrid w:val="0"/>
                      <w:color w:val="auto"/>
                      <w:sz w:val="18"/>
                      <w:szCs w:val="18"/>
                    </w:rPr>
                    <w:t>≤1</w:t>
                  </w:r>
                </w:p>
              </w:tc>
              <w:tc>
                <w:tcPr>
                  <w:tcW w:w="512" w:type="pct"/>
                  <w:vAlign w:val="center"/>
                </w:tcPr>
                <w:p w14:paraId="036A659B">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lang w:val="en-US" w:eastAsia="zh-CN"/>
                    </w:rPr>
                    <w:t>定</w:t>
                  </w:r>
                  <w:r>
                    <w:rPr>
                      <w:rFonts w:hint="default" w:ascii="Times New Roman" w:hAnsi="Times New Roman" w:eastAsia="宋体" w:cs="Times New Roman"/>
                      <w:color w:val="auto"/>
                      <w:sz w:val="18"/>
                      <w:szCs w:val="18"/>
                    </w:rPr>
                    <w:t>期进行设备维护检修，当</w:t>
                  </w:r>
                  <w:r>
                    <w:rPr>
                      <w:rFonts w:hint="default" w:ascii="Times New Roman" w:hAnsi="Times New Roman" w:eastAsia="宋体" w:cs="Times New Roman"/>
                      <w:color w:val="auto"/>
                      <w:sz w:val="18"/>
                      <w:szCs w:val="18"/>
                      <w:lang w:eastAsia="zh-CN"/>
                    </w:rPr>
                    <w:t>袋式除尘</w:t>
                  </w:r>
                  <w:r>
                    <w:rPr>
                      <w:rFonts w:hint="default" w:ascii="Times New Roman" w:hAnsi="Times New Roman" w:eastAsia="宋体" w:cs="Times New Roman"/>
                      <w:color w:val="auto"/>
                      <w:sz w:val="18"/>
                      <w:szCs w:val="18"/>
                    </w:rPr>
                    <w:t>装置出现故障不能短时间恢复时停止生产</w:t>
                  </w:r>
                </w:p>
              </w:tc>
            </w:tr>
          </w:tbl>
          <w:p w14:paraId="36EC5328">
            <w:pPr>
              <w:keepNext w:val="0"/>
              <w:keepLines w:val="0"/>
              <w:numPr>
                <w:ilvl w:val="0"/>
                <w:numId w:val="0"/>
              </w:numPr>
              <w:suppressLineNumbers w:val="0"/>
              <w:bidi w:val="0"/>
              <w:spacing w:before="0" w:beforeAutospacing="0" w:after="0" w:afterAutospacing="0"/>
              <w:ind w:left="480" w:leftChars="200" w:right="0" w:rightChars="0"/>
              <w:rPr>
                <w:rFonts w:hint="default" w:ascii="Times New Roman" w:hAnsi="Times New Roman" w:eastAsia="宋体" w:cs="Times New Roman"/>
                <w:b/>
                <w:bCs/>
                <w:color w:val="auto"/>
                <w:lang w:val="en-US" w:eastAsia="zh-CN"/>
              </w:rPr>
            </w:pPr>
            <w:r>
              <w:rPr>
                <w:rFonts w:hint="default" w:ascii="Times New Roman" w:hAnsi="Times New Roman" w:eastAsia="宋体" w:cs="Times New Roman"/>
                <w:b/>
                <w:bCs/>
                <w:color w:val="auto"/>
                <w:lang w:val="en-US" w:eastAsia="zh-CN"/>
              </w:rPr>
              <w:t>1.5环境监测计划</w:t>
            </w:r>
          </w:p>
          <w:p w14:paraId="4B8C4926">
            <w:pPr>
              <w:keepNext w:val="0"/>
              <w:keepLines w:val="0"/>
              <w:widowControl/>
              <w:suppressLineNumbers w:val="0"/>
              <w:adjustRightInd w:val="0"/>
              <w:snapToGrid w:val="0"/>
              <w:spacing w:before="0" w:beforeAutospacing="0" w:after="0" w:afterAutospacing="0" w:line="360" w:lineRule="auto"/>
              <w:ind w:left="19" w:right="0" w:firstLine="472" w:firstLineChars="197"/>
              <w:jc w:val="both"/>
              <w:rPr>
                <w:rFonts w:hint="default" w:ascii="Times New Roman" w:hAnsi="Times New Roman" w:eastAsia="宋体" w:cs="Times New Roman"/>
                <w:color w:val="auto"/>
                <w:kern w:val="0"/>
                <w:sz w:val="24"/>
              </w:rPr>
            </w:pPr>
            <w:r>
              <w:rPr>
                <w:rFonts w:hint="default" w:ascii="Times New Roman" w:hAnsi="Times New Roman" w:eastAsia="宋体" w:cs="Times New Roman"/>
                <w:color w:val="auto"/>
                <w:kern w:val="0"/>
                <w:sz w:val="24"/>
              </w:rPr>
              <w:t>根据《排污单位自行监测技术指南</w:t>
            </w:r>
            <w:r>
              <w:rPr>
                <w:rFonts w:hint="default" w:ascii="Times New Roman" w:hAnsi="Times New Roman" w:eastAsia="宋体" w:cs="Times New Roman"/>
                <w:color w:val="auto"/>
                <w:kern w:val="0"/>
                <w:sz w:val="24"/>
                <w:lang w:val="en-US" w:eastAsia="zh-CN"/>
              </w:rPr>
              <w:t xml:space="preserve"> </w:t>
            </w:r>
            <w:r>
              <w:rPr>
                <w:rFonts w:hint="default" w:ascii="Times New Roman" w:hAnsi="Times New Roman" w:eastAsia="宋体" w:cs="Times New Roman"/>
                <w:color w:val="auto"/>
                <w:kern w:val="0"/>
                <w:sz w:val="24"/>
              </w:rPr>
              <w:t>总则》（HJ819-2017）</w:t>
            </w:r>
            <w:r>
              <w:rPr>
                <w:rFonts w:hint="default" w:ascii="Times New Roman" w:hAnsi="Times New Roman" w:eastAsia="宋体" w:cs="Times New Roman"/>
                <w:color w:val="auto"/>
                <w:sz w:val="24"/>
                <w:lang w:val="en-US" w:eastAsia="zh-CN"/>
              </w:rPr>
              <w:t>相关</w:t>
            </w:r>
            <w:r>
              <w:rPr>
                <w:rFonts w:hint="default" w:ascii="Times New Roman" w:hAnsi="Times New Roman" w:eastAsia="宋体" w:cs="Times New Roman"/>
                <w:color w:val="auto"/>
                <w:kern w:val="0"/>
                <w:sz w:val="24"/>
              </w:rPr>
              <w:t>要求对废气进行例行监测</w:t>
            </w:r>
            <w:r>
              <w:rPr>
                <w:rFonts w:hint="eastAsia" w:cs="Times New Roman"/>
                <w:color w:val="auto"/>
                <w:kern w:val="0"/>
                <w:sz w:val="24"/>
                <w:lang w:eastAsia="zh-CN"/>
              </w:rPr>
              <w:t>，监测计划见下表</w:t>
            </w:r>
            <w:r>
              <w:rPr>
                <w:rFonts w:hint="eastAsia" w:cs="Times New Roman"/>
                <w:color w:val="auto"/>
                <w:kern w:val="0"/>
                <w:sz w:val="24"/>
                <w:lang w:val="en-US" w:eastAsia="zh-CN"/>
              </w:rPr>
              <w:t>4.1-7、4.1-8</w:t>
            </w:r>
            <w:r>
              <w:rPr>
                <w:rFonts w:hint="default" w:ascii="Times New Roman" w:hAnsi="Times New Roman" w:eastAsia="宋体" w:cs="Times New Roman"/>
                <w:color w:val="auto"/>
                <w:kern w:val="0"/>
                <w:sz w:val="24"/>
              </w:rPr>
              <w:t>。</w:t>
            </w:r>
          </w:p>
          <w:p w14:paraId="330E6D26">
            <w:pPr>
              <w:keepNext w:val="0"/>
              <w:keepLines w:val="0"/>
              <w:widowControl/>
              <w:suppressLineNumbers w:val="0"/>
              <w:adjustRightInd w:val="0"/>
              <w:snapToGrid w:val="0"/>
              <w:spacing w:before="0" w:beforeAutospacing="0" w:after="0" w:afterAutospacing="0" w:line="360" w:lineRule="auto"/>
              <w:ind w:left="0" w:right="0" w:firstLine="480" w:firstLineChars="200"/>
              <w:jc w:val="left"/>
              <w:rPr>
                <w:rFonts w:hint="default" w:ascii="Times New Roman" w:hAnsi="Times New Roman" w:eastAsia="宋体" w:cs="Times New Roman"/>
                <w:color w:val="auto"/>
                <w:kern w:val="0"/>
                <w:sz w:val="24"/>
              </w:rPr>
            </w:pPr>
            <w:r>
              <w:rPr>
                <w:rFonts w:hint="default" w:ascii="Times New Roman" w:hAnsi="Times New Roman" w:eastAsia="宋体" w:cs="Times New Roman"/>
                <w:color w:val="auto"/>
                <w:kern w:val="0"/>
                <w:sz w:val="24"/>
              </w:rPr>
              <w:t>（1）有组织</w:t>
            </w:r>
          </w:p>
          <w:p w14:paraId="7A7BE5B4">
            <w:pPr>
              <w:keepNext w:val="0"/>
              <w:keepLines w:val="0"/>
              <w:widowControl/>
              <w:suppressLineNumbers w:val="0"/>
              <w:adjustRightInd w:val="0"/>
              <w:snapToGrid w:val="0"/>
              <w:spacing w:before="0" w:beforeAutospacing="0" w:after="0" w:afterAutospacing="0" w:line="240" w:lineRule="auto"/>
              <w:ind w:left="0" w:right="0" w:firstLine="482" w:firstLineChars="200"/>
              <w:jc w:val="center"/>
              <w:rPr>
                <w:rFonts w:hint="default" w:ascii="Times New Roman" w:hAnsi="Times New Roman" w:eastAsia="宋体" w:cs="Times New Roman"/>
                <w:b/>
                <w:bCs/>
                <w:color w:val="auto"/>
                <w:kern w:val="0"/>
                <w:sz w:val="24"/>
              </w:rPr>
            </w:pPr>
            <w:r>
              <w:rPr>
                <w:rFonts w:hint="default" w:ascii="Times New Roman" w:hAnsi="Times New Roman" w:eastAsia="宋体" w:cs="Times New Roman"/>
                <w:b/>
                <w:bCs/>
                <w:color w:val="auto"/>
                <w:kern w:val="0"/>
                <w:sz w:val="24"/>
              </w:rPr>
              <w:t>表4.1-</w:t>
            </w:r>
            <w:r>
              <w:rPr>
                <w:rFonts w:hint="eastAsia" w:ascii="Times New Roman" w:hAnsi="Times New Roman" w:eastAsia="宋体" w:cs="Times New Roman"/>
                <w:b/>
                <w:bCs/>
                <w:color w:val="auto"/>
                <w:kern w:val="0"/>
                <w:sz w:val="24"/>
                <w:lang w:val="en-US" w:eastAsia="zh-CN"/>
              </w:rPr>
              <w:t>7</w:t>
            </w:r>
            <w:r>
              <w:rPr>
                <w:rFonts w:hint="default" w:ascii="Times New Roman" w:hAnsi="Times New Roman" w:eastAsia="宋体" w:cs="Times New Roman"/>
                <w:b/>
                <w:bCs/>
                <w:color w:val="auto"/>
                <w:kern w:val="0"/>
                <w:sz w:val="24"/>
              </w:rPr>
              <w:t xml:space="preserve">  </w:t>
            </w:r>
            <w:r>
              <w:rPr>
                <w:rFonts w:hint="eastAsia" w:cs="Times New Roman"/>
                <w:b/>
                <w:bCs/>
                <w:color w:val="auto"/>
                <w:kern w:val="0"/>
                <w:sz w:val="24"/>
                <w:lang w:val="en-US" w:eastAsia="zh-CN"/>
              </w:rPr>
              <w:t>拟建</w:t>
            </w:r>
            <w:r>
              <w:rPr>
                <w:rFonts w:hint="default" w:ascii="Times New Roman" w:hAnsi="Times New Roman" w:eastAsia="宋体" w:cs="Times New Roman"/>
                <w:b/>
                <w:bCs/>
                <w:color w:val="auto"/>
                <w:kern w:val="0"/>
                <w:sz w:val="24"/>
                <w:lang w:val="en-US" w:eastAsia="zh-CN"/>
              </w:rPr>
              <w:t>项目</w:t>
            </w:r>
            <w:r>
              <w:rPr>
                <w:rFonts w:hint="default" w:ascii="Times New Roman" w:hAnsi="Times New Roman" w:eastAsia="宋体" w:cs="Times New Roman"/>
                <w:b/>
                <w:bCs/>
                <w:color w:val="auto"/>
                <w:kern w:val="0"/>
                <w:sz w:val="24"/>
              </w:rPr>
              <w:t>有组织废气监测方案</w:t>
            </w:r>
          </w:p>
          <w:tbl>
            <w:tblPr>
              <w:tblStyle w:val="28"/>
              <w:tblW w:w="8154"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28" w:type="dxa"/>
                <w:bottom w:w="0" w:type="dxa"/>
                <w:right w:w="28" w:type="dxa"/>
              </w:tblCellMar>
            </w:tblPr>
            <w:tblGrid>
              <w:gridCol w:w="937"/>
              <w:gridCol w:w="1494"/>
              <w:gridCol w:w="1313"/>
              <w:gridCol w:w="4410"/>
            </w:tblGrid>
            <w:tr w14:paraId="77D3500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169" w:hRule="atLeast"/>
              </w:trPr>
              <w:tc>
                <w:tcPr>
                  <w:tcW w:w="937" w:type="dxa"/>
                  <w:vAlign w:val="center"/>
                </w:tcPr>
                <w:p w14:paraId="0CD3E5E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kern w:val="0"/>
                      <w:sz w:val="18"/>
                      <w:szCs w:val="18"/>
                    </w:rPr>
                  </w:pPr>
                  <w:r>
                    <w:rPr>
                      <w:rFonts w:hint="default" w:ascii="Times New Roman" w:hAnsi="Times New Roman" w:eastAsia="宋体" w:cs="Times New Roman"/>
                      <w:b/>
                      <w:bCs/>
                      <w:color w:val="auto"/>
                      <w:kern w:val="0"/>
                      <w:sz w:val="18"/>
                      <w:szCs w:val="18"/>
                    </w:rPr>
                    <w:t>监测点位</w:t>
                  </w:r>
                </w:p>
              </w:tc>
              <w:tc>
                <w:tcPr>
                  <w:tcW w:w="1494" w:type="dxa"/>
                  <w:vAlign w:val="center"/>
                </w:tcPr>
                <w:p w14:paraId="38FE271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kern w:val="0"/>
                      <w:sz w:val="18"/>
                      <w:szCs w:val="18"/>
                    </w:rPr>
                  </w:pPr>
                  <w:r>
                    <w:rPr>
                      <w:rFonts w:hint="default" w:ascii="Times New Roman" w:hAnsi="Times New Roman" w:eastAsia="宋体" w:cs="Times New Roman"/>
                      <w:b/>
                      <w:bCs/>
                      <w:color w:val="auto"/>
                      <w:kern w:val="0"/>
                      <w:sz w:val="18"/>
                      <w:szCs w:val="18"/>
                    </w:rPr>
                    <w:t>监测指标</w:t>
                  </w:r>
                </w:p>
              </w:tc>
              <w:tc>
                <w:tcPr>
                  <w:tcW w:w="1313" w:type="dxa"/>
                  <w:vAlign w:val="center"/>
                </w:tcPr>
                <w:p w14:paraId="6112C1D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kern w:val="0"/>
                      <w:sz w:val="18"/>
                      <w:szCs w:val="18"/>
                    </w:rPr>
                  </w:pPr>
                  <w:r>
                    <w:rPr>
                      <w:rFonts w:hint="default" w:ascii="Times New Roman" w:hAnsi="Times New Roman" w:eastAsia="宋体" w:cs="Times New Roman"/>
                      <w:b/>
                      <w:bCs/>
                      <w:color w:val="auto"/>
                      <w:kern w:val="0"/>
                      <w:sz w:val="18"/>
                      <w:szCs w:val="18"/>
                    </w:rPr>
                    <w:t>监测频次</w:t>
                  </w:r>
                </w:p>
              </w:tc>
              <w:tc>
                <w:tcPr>
                  <w:tcW w:w="4410" w:type="dxa"/>
                  <w:vAlign w:val="center"/>
                </w:tcPr>
                <w:p w14:paraId="2C492CD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kern w:val="0"/>
                      <w:sz w:val="18"/>
                      <w:szCs w:val="18"/>
                    </w:rPr>
                  </w:pPr>
                  <w:r>
                    <w:rPr>
                      <w:rFonts w:hint="default" w:ascii="Times New Roman" w:hAnsi="Times New Roman" w:eastAsia="宋体" w:cs="Times New Roman"/>
                      <w:b/>
                      <w:bCs/>
                      <w:color w:val="auto"/>
                      <w:kern w:val="0"/>
                      <w:sz w:val="18"/>
                      <w:szCs w:val="18"/>
                    </w:rPr>
                    <w:t>执行排放标准</w:t>
                  </w:r>
                </w:p>
              </w:tc>
            </w:tr>
            <w:tr w14:paraId="1DED166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255" w:hRule="atLeast"/>
              </w:trPr>
              <w:tc>
                <w:tcPr>
                  <w:tcW w:w="937" w:type="dxa"/>
                  <w:vAlign w:val="center"/>
                </w:tcPr>
                <w:p w14:paraId="5D65C20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0"/>
                      <w:sz w:val="18"/>
                      <w:szCs w:val="18"/>
                      <w:lang w:val="en-US" w:eastAsia="zh-CN"/>
                    </w:rPr>
                  </w:pPr>
                  <w:r>
                    <w:rPr>
                      <w:rFonts w:hint="default" w:ascii="Times New Roman" w:hAnsi="Times New Roman" w:eastAsia="宋体" w:cs="Times New Roman"/>
                      <w:color w:val="auto"/>
                      <w:kern w:val="0"/>
                      <w:sz w:val="18"/>
                      <w:szCs w:val="18"/>
                      <w:lang w:val="en-US" w:eastAsia="zh-CN"/>
                    </w:rPr>
                    <w:t>DA001</w:t>
                  </w:r>
                </w:p>
              </w:tc>
              <w:tc>
                <w:tcPr>
                  <w:tcW w:w="1494" w:type="dxa"/>
                  <w:vAlign w:val="center"/>
                </w:tcPr>
                <w:p w14:paraId="1F49F75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0"/>
                      <w:sz w:val="18"/>
                      <w:szCs w:val="18"/>
                      <w:lang w:val="en-US"/>
                    </w:rPr>
                  </w:pPr>
                  <w:r>
                    <w:rPr>
                      <w:rFonts w:hint="default" w:ascii="Times New Roman" w:hAnsi="Times New Roman" w:eastAsia="宋体" w:cs="Times New Roman"/>
                      <w:color w:val="auto"/>
                      <w:sz w:val="18"/>
                      <w:szCs w:val="18"/>
                      <w:lang w:eastAsia="zh-CN"/>
                    </w:rPr>
                    <w:t>颗粒物</w:t>
                  </w:r>
                </w:p>
              </w:tc>
              <w:tc>
                <w:tcPr>
                  <w:tcW w:w="1313" w:type="dxa"/>
                  <w:vAlign w:val="center"/>
                </w:tcPr>
                <w:p w14:paraId="7BD44C5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0"/>
                      <w:sz w:val="18"/>
                      <w:szCs w:val="18"/>
                    </w:rPr>
                  </w:pPr>
                  <w:r>
                    <w:rPr>
                      <w:rFonts w:hint="default" w:ascii="Times New Roman" w:hAnsi="Times New Roman" w:eastAsia="宋体" w:cs="Times New Roman"/>
                      <w:color w:val="auto"/>
                      <w:kern w:val="0"/>
                      <w:sz w:val="18"/>
                      <w:szCs w:val="18"/>
                    </w:rPr>
                    <w:t>1次/年</w:t>
                  </w:r>
                </w:p>
              </w:tc>
              <w:tc>
                <w:tcPr>
                  <w:tcW w:w="4410" w:type="dxa"/>
                  <w:vAlign w:val="center"/>
                </w:tcPr>
                <w:p w14:paraId="5FAFEBE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0"/>
                      <w:sz w:val="18"/>
                      <w:szCs w:val="18"/>
                      <w:lang w:val="en-US" w:eastAsia="zh-CN"/>
                    </w:rPr>
                  </w:pPr>
                  <w:r>
                    <w:rPr>
                      <w:rFonts w:hint="default" w:ascii="Times New Roman" w:hAnsi="Times New Roman" w:eastAsia="宋体" w:cs="Times New Roman"/>
                      <w:color w:val="auto"/>
                      <w:kern w:val="0"/>
                      <w:sz w:val="18"/>
                      <w:szCs w:val="18"/>
                      <w:lang w:val="en-US" w:eastAsia="zh-CN"/>
                    </w:rPr>
                    <w:t>《大气污染物综合排放标准》（DB32/4041-2021）表1</w:t>
                  </w:r>
                </w:p>
              </w:tc>
            </w:tr>
          </w:tbl>
          <w:p w14:paraId="1EBB0396">
            <w:pPr>
              <w:keepNext w:val="0"/>
              <w:keepLines w:val="0"/>
              <w:suppressLineNumbers w:val="0"/>
              <w:spacing w:before="0" w:beforeAutospacing="0" w:after="0" w:afterAutospacing="0"/>
              <w:ind w:left="0" w:right="0"/>
              <w:rPr>
                <w:rFonts w:hint="default" w:ascii="Times New Roman" w:hAnsi="Times New Roman" w:eastAsia="宋体" w:cs="Times New Roman"/>
                <w:color w:val="auto"/>
              </w:rPr>
            </w:pPr>
            <w:r>
              <w:rPr>
                <w:rFonts w:hint="default" w:ascii="Times New Roman" w:hAnsi="Times New Roman" w:eastAsia="宋体" w:cs="Times New Roman"/>
                <w:color w:val="auto"/>
              </w:rPr>
              <w:t>（2）无组织</w:t>
            </w:r>
          </w:p>
          <w:p w14:paraId="479987C2">
            <w:pPr>
              <w:keepNext w:val="0"/>
              <w:keepLines w:val="0"/>
              <w:widowControl/>
              <w:suppressLineNumbers w:val="0"/>
              <w:adjustRightInd w:val="0"/>
              <w:snapToGrid w:val="0"/>
              <w:spacing w:before="0" w:beforeAutospacing="0" w:after="0" w:afterAutospacing="0" w:line="240" w:lineRule="auto"/>
              <w:ind w:left="0" w:right="0" w:firstLine="482" w:firstLineChars="200"/>
              <w:jc w:val="center"/>
              <w:rPr>
                <w:rFonts w:hint="default" w:ascii="Times New Roman" w:hAnsi="Times New Roman" w:eastAsia="宋体" w:cs="Times New Roman"/>
                <w:b/>
                <w:bCs/>
                <w:color w:val="auto"/>
                <w:kern w:val="0"/>
                <w:sz w:val="24"/>
              </w:rPr>
            </w:pPr>
            <w:r>
              <w:rPr>
                <w:rFonts w:hint="default" w:ascii="Times New Roman" w:hAnsi="Times New Roman" w:eastAsia="宋体" w:cs="Times New Roman"/>
                <w:b/>
                <w:bCs/>
                <w:color w:val="auto"/>
                <w:kern w:val="0"/>
                <w:sz w:val="24"/>
              </w:rPr>
              <w:t>表4.1-</w:t>
            </w:r>
            <w:r>
              <w:rPr>
                <w:rFonts w:hint="eastAsia" w:ascii="Times New Roman" w:hAnsi="Times New Roman" w:eastAsia="宋体" w:cs="Times New Roman"/>
                <w:b/>
                <w:bCs/>
                <w:color w:val="auto"/>
                <w:kern w:val="0"/>
                <w:sz w:val="24"/>
                <w:lang w:val="en-US" w:eastAsia="zh-CN"/>
              </w:rPr>
              <w:t>8</w:t>
            </w:r>
            <w:r>
              <w:rPr>
                <w:rFonts w:hint="default" w:ascii="Times New Roman" w:hAnsi="Times New Roman" w:eastAsia="宋体" w:cs="Times New Roman"/>
                <w:b/>
                <w:bCs/>
                <w:color w:val="auto"/>
                <w:kern w:val="0"/>
                <w:sz w:val="24"/>
              </w:rPr>
              <w:t xml:space="preserve">  </w:t>
            </w:r>
            <w:r>
              <w:rPr>
                <w:rFonts w:hint="eastAsia" w:cs="Times New Roman"/>
                <w:b/>
                <w:bCs/>
                <w:color w:val="auto"/>
                <w:kern w:val="0"/>
                <w:sz w:val="24"/>
                <w:lang w:val="en-US" w:eastAsia="zh-CN"/>
              </w:rPr>
              <w:t>拟建</w:t>
            </w:r>
            <w:r>
              <w:rPr>
                <w:rFonts w:hint="default" w:ascii="Times New Roman" w:hAnsi="Times New Roman" w:eastAsia="宋体" w:cs="Times New Roman"/>
                <w:b/>
                <w:bCs/>
                <w:color w:val="auto"/>
                <w:kern w:val="0"/>
                <w:sz w:val="24"/>
                <w:lang w:val="en-US" w:eastAsia="zh-CN"/>
              </w:rPr>
              <w:t>项目</w:t>
            </w:r>
            <w:r>
              <w:rPr>
                <w:rFonts w:hint="default" w:ascii="Times New Roman" w:hAnsi="Times New Roman" w:eastAsia="宋体" w:cs="Times New Roman"/>
                <w:b/>
                <w:bCs/>
                <w:color w:val="auto"/>
                <w:kern w:val="0"/>
                <w:sz w:val="24"/>
              </w:rPr>
              <w:t>无组织废气监测计划表</w:t>
            </w:r>
          </w:p>
          <w:tbl>
            <w:tblPr>
              <w:tblStyle w:val="27"/>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1" w:type="dxa"/>
                <w:bottom w:w="0" w:type="dxa"/>
                <w:right w:w="11" w:type="dxa"/>
              </w:tblCellMar>
            </w:tblPr>
            <w:tblGrid>
              <w:gridCol w:w="2131"/>
              <w:gridCol w:w="1336"/>
              <w:gridCol w:w="1114"/>
              <w:gridCol w:w="3503"/>
            </w:tblGrid>
            <w:tr w14:paraId="6B73BE2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1" w:type="dxa"/>
                  <w:bottom w:w="0" w:type="dxa"/>
                  <w:right w:w="11" w:type="dxa"/>
                </w:tblCellMar>
              </w:tblPrEx>
              <w:trPr>
                <w:trHeight w:val="90" w:hRule="atLeast"/>
              </w:trPr>
              <w:tc>
                <w:tcPr>
                  <w:tcW w:w="1318" w:type="pct"/>
                  <w:tcBorders>
                    <w:tl2br w:val="nil"/>
                    <w:tr2bl w:val="nil"/>
                  </w:tcBorders>
                  <w:vAlign w:val="center"/>
                </w:tcPr>
                <w:p w14:paraId="094E1C7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kern w:val="0"/>
                      <w:sz w:val="18"/>
                      <w:szCs w:val="18"/>
                    </w:rPr>
                  </w:pPr>
                  <w:r>
                    <w:rPr>
                      <w:rFonts w:hint="default" w:ascii="Times New Roman" w:hAnsi="Times New Roman" w:eastAsia="宋体" w:cs="Times New Roman"/>
                      <w:b/>
                      <w:bCs/>
                      <w:color w:val="auto"/>
                      <w:kern w:val="0"/>
                      <w:sz w:val="18"/>
                      <w:szCs w:val="18"/>
                    </w:rPr>
                    <w:t>监测点位</w:t>
                  </w:r>
                </w:p>
              </w:tc>
              <w:tc>
                <w:tcPr>
                  <w:tcW w:w="826" w:type="pct"/>
                  <w:tcBorders>
                    <w:tl2br w:val="nil"/>
                    <w:tr2bl w:val="nil"/>
                  </w:tcBorders>
                  <w:vAlign w:val="center"/>
                </w:tcPr>
                <w:p w14:paraId="34E0ECC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kern w:val="0"/>
                      <w:sz w:val="18"/>
                      <w:szCs w:val="18"/>
                    </w:rPr>
                  </w:pPr>
                  <w:r>
                    <w:rPr>
                      <w:rFonts w:hint="default" w:ascii="Times New Roman" w:hAnsi="Times New Roman" w:eastAsia="宋体" w:cs="Times New Roman"/>
                      <w:b/>
                      <w:bCs/>
                      <w:color w:val="auto"/>
                      <w:kern w:val="0"/>
                      <w:sz w:val="18"/>
                      <w:szCs w:val="18"/>
                    </w:rPr>
                    <w:t>监测指标</w:t>
                  </w:r>
                </w:p>
              </w:tc>
              <w:tc>
                <w:tcPr>
                  <w:tcW w:w="689" w:type="pct"/>
                  <w:tcBorders>
                    <w:tl2br w:val="nil"/>
                    <w:tr2bl w:val="nil"/>
                  </w:tcBorders>
                  <w:vAlign w:val="center"/>
                </w:tcPr>
                <w:p w14:paraId="05DB7C8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kern w:val="0"/>
                      <w:sz w:val="18"/>
                      <w:szCs w:val="18"/>
                    </w:rPr>
                  </w:pPr>
                  <w:r>
                    <w:rPr>
                      <w:rFonts w:hint="default" w:ascii="Times New Roman" w:hAnsi="Times New Roman" w:eastAsia="宋体" w:cs="Times New Roman"/>
                      <w:b/>
                      <w:bCs/>
                      <w:color w:val="auto"/>
                      <w:kern w:val="0"/>
                      <w:sz w:val="18"/>
                      <w:szCs w:val="18"/>
                    </w:rPr>
                    <w:t>监测频次</w:t>
                  </w:r>
                </w:p>
              </w:tc>
              <w:tc>
                <w:tcPr>
                  <w:tcW w:w="2166" w:type="pct"/>
                  <w:tcBorders>
                    <w:tl2br w:val="nil"/>
                    <w:tr2bl w:val="nil"/>
                  </w:tcBorders>
                  <w:vAlign w:val="center"/>
                </w:tcPr>
                <w:p w14:paraId="2229B1F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kern w:val="0"/>
                      <w:sz w:val="18"/>
                      <w:szCs w:val="18"/>
                    </w:rPr>
                  </w:pPr>
                  <w:r>
                    <w:rPr>
                      <w:rFonts w:hint="default" w:ascii="Times New Roman" w:hAnsi="Times New Roman" w:eastAsia="宋体" w:cs="Times New Roman"/>
                      <w:b/>
                      <w:bCs/>
                      <w:color w:val="auto"/>
                      <w:kern w:val="0"/>
                      <w:sz w:val="18"/>
                      <w:szCs w:val="18"/>
                    </w:rPr>
                    <w:t>执行排放标准</w:t>
                  </w:r>
                </w:p>
              </w:tc>
            </w:tr>
            <w:tr w14:paraId="457AD52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1318" w:type="pct"/>
                  <w:tcBorders>
                    <w:tl2br w:val="nil"/>
                    <w:tr2bl w:val="nil"/>
                  </w:tcBorders>
                  <w:vAlign w:val="center"/>
                </w:tcPr>
                <w:p w14:paraId="578EF1B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0"/>
                      <w:sz w:val="18"/>
                      <w:szCs w:val="18"/>
                    </w:rPr>
                  </w:pPr>
                  <w:r>
                    <w:rPr>
                      <w:rFonts w:hint="default" w:ascii="Times New Roman" w:hAnsi="Times New Roman" w:eastAsia="宋体" w:cs="Times New Roman"/>
                      <w:color w:val="auto"/>
                      <w:kern w:val="0"/>
                      <w:sz w:val="18"/>
                      <w:szCs w:val="18"/>
                    </w:rPr>
                    <w:t>厂界四周，上风向1个点位，下风向3个点位</w:t>
                  </w:r>
                </w:p>
              </w:tc>
              <w:tc>
                <w:tcPr>
                  <w:tcW w:w="826" w:type="pct"/>
                  <w:tcBorders>
                    <w:tl2br w:val="nil"/>
                    <w:tr2bl w:val="nil"/>
                  </w:tcBorders>
                  <w:vAlign w:val="center"/>
                </w:tcPr>
                <w:p w14:paraId="1F84793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0"/>
                      <w:sz w:val="18"/>
                      <w:szCs w:val="18"/>
                      <w:lang w:val="en-US" w:eastAsia="zh-CN"/>
                    </w:rPr>
                  </w:pPr>
                  <w:r>
                    <w:rPr>
                      <w:rFonts w:hint="default" w:ascii="Times New Roman" w:hAnsi="Times New Roman" w:eastAsia="宋体" w:cs="Times New Roman"/>
                      <w:color w:val="auto"/>
                      <w:kern w:val="0"/>
                      <w:sz w:val="18"/>
                      <w:szCs w:val="18"/>
                      <w:lang w:val="en-US" w:eastAsia="zh-CN"/>
                    </w:rPr>
                    <w:t>颗粒物</w:t>
                  </w:r>
                </w:p>
              </w:tc>
              <w:tc>
                <w:tcPr>
                  <w:tcW w:w="689" w:type="pct"/>
                  <w:tcBorders>
                    <w:tl2br w:val="nil"/>
                    <w:tr2bl w:val="nil"/>
                  </w:tcBorders>
                  <w:vAlign w:val="center"/>
                </w:tcPr>
                <w:p w14:paraId="6820256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0"/>
                      <w:sz w:val="18"/>
                      <w:szCs w:val="18"/>
                    </w:rPr>
                  </w:pPr>
                  <w:r>
                    <w:rPr>
                      <w:rFonts w:hint="default" w:ascii="Times New Roman" w:hAnsi="Times New Roman" w:eastAsia="宋体" w:cs="Times New Roman"/>
                      <w:color w:val="auto"/>
                      <w:kern w:val="0"/>
                      <w:sz w:val="18"/>
                      <w:szCs w:val="18"/>
                    </w:rPr>
                    <w:t>1次/</w:t>
                  </w:r>
                  <w:r>
                    <w:rPr>
                      <w:rFonts w:hint="eastAsia" w:cs="Times New Roman"/>
                      <w:color w:val="auto"/>
                      <w:kern w:val="0"/>
                      <w:sz w:val="18"/>
                      <w:szCs w:val="18"/>
                      <w:lang w:eastAsia="zh-CN"/>
                    </w:rPr>
                    <w:t>年</w:t>
                  </w:r>
                </w:p>
              </w:tc>
              <w:tc>
                <w:tcPr>
                  <w:tcW w:w="2166" w:type="pct"/>
                  <w:tcBorders>
                    <w:tl2br w:val="nil"/>
                    <w:tr2bl w:val="nil"/>
                  </w:tcBorders>
                  <w:vAlign w:val="center"/>
                </w:tcPr>
                <w:p w14:paraId="1DCF018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0"/>
                      <w:sz w:val="18"/>
                      <w:szCs w:val="18"/>
                      <w:lang w:val="en-US" w:eastAsia="zh-CN"/>
                    </w:rPr>
                  </w:pPr>
                  <w:r>
                    <w:rPr>
                      <w:rFonts w:hint="default" w:ascii="Times New Roman" w:hAnsi="Times New Roman" w:eastAsia="宋体" w:cs="Times New Roman"/>
                      <w:color w:val="auto"/>
                      <w:kern w:val="0"/>
                      <w:sz w:val="18"/>
                      <w:szCs w:val="18"/>
                      <w:lang w:val="en-US" w:eastAsia="zh-CN"/>
                    </w:rPr>
                    <w:t>《大气污染物综合排放标准》（DB32/4041-2021）表3</w:t>
                  </w:r>
                </w:p>
              </w:tc>
            </w:tr>
          </w:tbl>
          <w:p w14:paraId="7F6B588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480" w:leftChars="200" w:right="0" w:rightChars="0"/>
              <w:textAlignment w:val="auto"/>
              <w:rPr>
                <w:rFonts w:hint="default" w:ascii="Times New Roman" w:hAnsi="Times New Roman" w:eastAsia="宋体" w:cs="Times New Roman"/>
                <w:b/>
                <w:bCs/>
                <w:color w:val="auto"/>
                <w:lang w:val="en-US" w:eastAsia="zh-CN"/>
              </w:rPr>
            </w:pPr>
            <w:r>
              <w:rPr>
                <w:rFonts w:hint="default" w:ascii="Times New Roman" w:hAnsi="Times New Roman" w:eastAsia="宋体" w:cs="Times New Roman"/>
                <w:b/>
                <w:bCs/>
                <w:color w:val="auto"/>
                <w:lang w:val="en-US" w:eastAsia="zh-CN"/>
              </w:rPr>
              <w:t>1.6废气排放环境影响分析</w:t>
            </w:r>
          </w:p>
          <w:p w14:paraId="0C6AA981">
            <w:pPr>
              <w:keepNext w:val="0"/>
              <w:keepLines w:val="0"/>
              <w:numPr>
                <w:ilvl w:val="0"/>
                <w:numId w:val="11"/>
              </w:numPr>
              <w:suppressLineNumbers w:val="0"/>
              <w:spacing w:before="0" w:beforeAutospacing="0" w:after="0" w:afterAutospacing="0"/>
              <w:ind w:left="0" w:right="0" w:firstLine="480"/>
              <w:rPr>
                <w:rFonts w:hint="default" w:ascii="Times New Roman" w:hAnsi="Times New Roman" w:eastAsia="宋体" w:cs="Times New Roman"/>
                <w:color w:val="auto"/>
              </w:rPr>
            </w:pPr>
            <w:r>
              <w:rPr>
                <w:rFonts w:hint="default" w:ascii="Times New Roman" w:hAnsi="Times New Roman" w:eastAsia="宋体" w:cs="Times New Roman"/>
                <w:color w:val="auto"/>
              </w:rPr>
              <w:t>大气有害物质无组织排放卫生防护距离的设定</w:t>
            </w:r>
          </w:p>
          <w:p w14:paraId="3B8EC12C">
            <w:pPr>
              <w:keepNext w:val="0"/>
              <w:keepLines w:val="0"/>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bCs/>
                <w:color w:val="auto"/>
                <w:sz w:val="24"/>
              </w:rPr>
            </w:pPr>
            <w:r>
              <w:rPr>
                <w:rFonts w:hint="default" w:ascii="Times New Roman" w:hAnsi="Times New Roman" w:eastAsia="宋体" w:cs="Times New Roman"/>
                <w:bCs/>
                <w:color w:val="auto"/>
                <w:sz w:val="24"/>
              </w:rPr>
              <w:t>按照“工程分析”核算的有害气体无组织排放量，根据《大气有害物质无组织排放卫生防护距离推导技术导则》</w:t>
            </w:r>
            <w:r>
              <w:rPr>
                <w:rFonts w:hint="default" w:ascii="Times New Roman" w:hAnsi="Times New Roman" w:eastAsia="宋体" w:cs="Times New Roman"/>
                <w:bCs/>
                <w:color w:val="auto"/>
                <w:sz w:val="24"/>
                <w:lang w:eastAsia="zh-CN"/>
              </w:rPr>
              <w:t>（</w:t>
            </w:r>
            <w:r>
              <w:rPr>
                <w:rFonts w:hint="default" w:ascii="Times New Roman" w:hAnsi="Times New Roman" w:eastAsia="宋体" w:cs="Times New Roman"/>
                <w:bCs/>
                <w:color w:val="auto"/>
                <w:sz w:val="24"/>
              </w:rPr>
              <w:t>GB/T39499-2020</w:t>
            </w:r>
            <w:r>
              <w:rPr>
                <w:rFonts w:hint="default" w:ascii="Times New Roman" w:hAnsi="Times New Roman" w:eastAsia="宋体" w:cs="Times New Roman"/>
                <w:bCs/>
                <w:color w:val="auto"/>
                <w:sz w:val="24"/>
                <w:lang w:eastAsia="zh-CN"/>
              </w:rPr>
              <w:t>）</w:t>
            </w:r>
            <w:r>
              <w:rPr>
                <w:rFonts w:hint="default" w:ascii="Times New Roman" w:hAnsi="Times New Roman" w:eastAsia="宋体" w:cs="Times New Roman"/>
                <w:bCs/>
                <w:color w:val="auto"/>
                <w:sz w:val="24"/>
              </w:rPr>
              <w:t>的有关规定，当目标企业无组织排放存在多种有毒有害污染物时，基于单个污染物的等标排放量（Q</w:t>
            </w:r>
            <w:r>
              <w:rPr>
                <w:rFonts w:hint="default" w:ascii="Times New Roman" w:hAnsi="Times New Roman" w:eastAsia="宋体" w:cs="Times New Roman"/>
                <w:bCs/>
                <w:color w:val="auto"/>
                <w:sz w:val="24"/>
                <w:vertAlign w:val="subscript"/>
                <w:lang w:val="en-US" w:eastAsia="zh-CN"/>
              </w:rPr>
              <w:t>C</w:t>
            </w:r>
            <w:r>
              <w:rPr>
                <w:rFonts w:hint="default" w:ascii="Times New Roman" w:hAnsi="Times New Roman" w:eastAsia="宋体" w:cs="Times New Roman"/>
                <w:bCs/>
                <w:color w:val="auto"/>
                <w:sz w:val="24"/>
              </w:rPr>
              <w:t>/Cm）计算结果，优先选择等标排放量最大的污染物1～2种为企业无组织排放的主要特征大气有害物质。</w:t>
            </w:r>
            <w:r>
              <w:rPr>
                <w:rFonts w:hint="eastAsia" w:cs="Times New Roman"/>
                <w:bCs/>
                <w:color w:val="auto"/>
                <w:sz w:val="24"/>
                <w:lang w:eastAsia="zh-CN"/>
              </w:rPr>
              <w:t>拟建</w:t>
            </w:r>
            <w:r>
              <w:rPr>
                <w:rFonts w:hint="default" w:ascii="Times New Roman" w:hAnsi="Times New Roman" w:eastAsia="宋体" w:cs="Times New Roman"/>
                <w:bCs/>
                <w:color w:val="auto"/>
                <w:sz w:val="24"/>
              </w:rPr>
              <w:t>项目无组织污染物排放量详见表4.1-</w:t>
            </w:r>
            <w:r>
              <w:rPr>
                <w:rFonts w:hint="eastAsia" w:ascii="Times New Roman" w:hAnsi="Times New Roman" w:eastAsia="宋体" w:cs="Times New Roman"/>
                <w:bCs/>
                <w:color w:val="auto"/>
                <w:sz w:val="24"/>
                <w:lang w:val="en-US" w:eastAsia="zh-CN"/>
              </w:rPr>
              <w:t>9</w:t>
            </w:r>
            <w:r>
              <w:rPr>
                <w:rFonts w:hint="default" w:ascii="Times New Roman" w:hAnsi="Times New Roman" w:eastAsia="宋体" w:cs="Times New Roman"/>
                <w:bCs/>
                <w:color w:val="auto"/>
                <w:sz w:val="24"/>
              </w:rPr>
              <w:t>。</w:t>
            </w:r>
          </w:p>
          <w:p w14:paraId="4187D90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kern w:val="0"/>
                <w:sz w:val="24"/>
              </w:rPr>
            </w:pPr>
          </w:p>
          <w:p w14:paraId="243C769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kern w:val="0"/>
                <w:sz w:val="24"/>
              </w:rPr>
            </w:pPr>
          </w:p>
          <w:p w14:paraId="195692F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kern w:val="0"/>
                <w:sz w:val="24"/>
              </w:rPr>
            </w:pPr>
            <w:r>
              <w:rPr>
                <w:rFonts w:hint="default" w:ascii="Times New Roman" w:hAnsi="Times New Roman" w:eastAsia="宋体" w:cs="Times New Roman"/>
                <w:b/>
                <w:bCs/>
                <w:color w:val="auto"/>
                <w:kern w:val="0"/>
                <w:sz w:val="24"/>
              </w:rPr>
              <w:t>表4.1-</w:t>
            </w:r>
            <w:r>
              <w:rPr>
                <w:rFonts w:hint="eastAsia" w:ascii="Times New Roman" w:hAnsi="Times New Roman" w:eastAsia="宋体" w:cs="Times New Roman"/>
                <w:b/>
                <w:bCs/>
                <w:color w:val="auto"/>
                <w:kern w:val="0"/>
                <w:sz w:val="24"/>
                <w:lang w:val="en-US" w:eastAsia="zh-CN"/>
              </w:rPr>
              <w:t>9</w:t>
            </w:r>
            <w:r>
              <w:rPr>
                <w:rFonts w:hint="default" w:ascii="Times New Roman" w:hAnsi="Times New Roman" w:eastAsia="宋体" w:cs="Times New Roman"/>
                <w:b/>
                <w:bCs/>
                <w:color w:val="auto"/>
                <w:kern w:val="0"/>
                <w:sz w:val="24"/>
                <w:lang w:val="en-US" w:eastAsia="zh-CN"/>
              </w:rPr>
              <w:t xml:space="preserve"> </w:t>
            </w:r>
            <w:r>
              <w:rPr>
                <w:rFonts w:hint="eastAsia" w:cs="Times New Roman"/>
                <w:b/>
                <w:bCs/>
                <w:color w:val="auto"/>
                <w:kern w:val="0"/>
                <w:sz w:val="24"/>
                <w:lang w:eastAsia="zh-CN"/>
              </w:rPr>
              <w:t>拟建</w:t>
            </w:r>
            <w:r>
              <w:rPr>
                <w:rFonts w:hint="default" w:ascii="Times New Roman" w:hAnsi="Times New Roman" w:eastAsia="宋体" w:cs="Times New Roman"/>
                <w:b/>
                <w:bCs/>
                <w:color w:val="auto"/>
                <w:kern w:val="0"/>
                <w:sz w:val="24"/>
              </w:rPr>
              <w:t>项目无组织废气等标排放量计算结果一览表</w:t>
            </w:r>
          </w:p>
          <w:tbl>
            <w:tblPr>
              <w:tblStyle w:val="28"/>
              <w:tblW w:w="4998" w:type="pct"/>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108" w:type="dxa"/>
                <w:bottom w:w="0" w:type="dxa"/>
                <w:right w:w="108" w:type="dxa"/>
              </w:tblCellMar>
            </w:tblPr>
            <w:tblGrid>
              <w:gridCol w:w="1417"/>
              <w:gridCol w:w="1009"/>
              <w:gridCol w:w="1798"/>
              <w:gridCol w:w="2343"/>
              <w:gridCol w:w="1514"/>
            </w:tblGrid>
            <w:tr w14:paraId="69500541">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87" w:hRule="atLeast"/>
                <w:jc w:val="center"/>
              </w:trPr>
              <w:tc>
                <w:tcPr>
                  <w:tcW w:w="876" w:type="pct"/>
                  <w:tcBorders>
                    <w:tl2br w:val="nil"/>
                    <w:tr2bl w:val="nil"/>
                  </w:tcBorders>
                  <w:vAlign w:val="center"/>
                </w:tcPr>
                <w:p w14:paraId="6207DCC0">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面源</w:t>
                  </w:r>
                </w:p>
              </w:tc>
              <w:tc>
                <w:tcPr>
                  <w:tcW w:w="624" w:type="pct"/>
                  <w:tcBorders>
                    <w:tl2br w:val="nil"/>
                    <w:tr2bl w:val="nil"/>
                  </w:tcBorders>
                  <w:vAlign w:val="center"/>
                </w:tcPr>
                <w:p w14:paraId="71AFF98B">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污染物</w:t>
                  </w:r>
                </w:p>
              </w:tc>
              <w:tc>
                <w:tcPr>
                  <w:tcW w:w="1112" w:type="pct"/>
                  <w:tcBorders>
                    <w:tl2br w:val="nil"/>
                    <w:tr2bl w:val="nil"/>
                  </w:tcBorders>
                  <w:vAlign w:val="center"/>
                </w:tcPr>
                <w:p w14:paraId="1B6335CA">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源强Q</w:t>
                  </w:r>
                  <w:r>
                    <w:rPr>
                      <w:rFonts w:hint="default" w:ascii="Times New Roman" w:hAnsi="Times New Roman" w:eastAsia="宋体" w:cs="Times New Roman"/>
                      <w:b/>
                      <w:bCs/>
                      <w:color w:val="auto"/>
                      <w:sz w:val="18"/>
                      <w:szCs w:val="18"/>
                      <w:vertAlign w:val="baseline"/>
                    </w:rPr>
                    <w:t>c</w:t>
                  </w:r>
                  <w:r>
                    <w:rPr>
                      <w:rFonts w:hint="default" w:ascii="Times New Roman" w:hAnsi="Times New Roman" w:eastAsia="宋体" w:cs="Times New Roman"/>
                      <w:b/>
                      <w:bCs/>
                      <w:color w:val="auto"/>
                      <w:sz w:val="18"/>
                      <w:szCs w:val="18"/>
                    </w:rPr>
                    <w:t>（kg/h）</w:t>
                  </w:r>
                </w:p>
              </w:tc>
              <w:tc>
                <w:tcPr>
                  <w:tcW w:w="1449" w:type="pct"/>
                  <w:tcBorders>
                    <w:tl2br w:val="nil"/>
                    <w:tr2bl w:val="nil"/>
                  </w:tcBorders>
                  <w:vAlign w:val="center"/>
                </w:tcPr>
                <w:p w14:paraId="17012249">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标准限值C</w:t>
                  </w:r>
                  <w:r>
                    <w:rPr>
                      <w:rFonts w:hint="default" w:ascii="Times New Roman" w:hAnsi="Times New Roman" w:eastAsia="宋体" w:cs="Times New Roman"/>
                      <w:b/>
                      <w:bCs/>
                      <w:color w:val="auto"/>
                      <w:sz w:val="18"/>
                      <w:szCs w:val="18"/>
                      <w:vertAlign w:val="baseline"/>
                    </w:rPr>
                    <w:t>m</w:t>
                  </w:r>
                  <w:r>
                    <w:rPr>
                      <w:rFonts w:hint="default" w:ascii="Times New Roman" w:hAnsi="Times New Roman" w:eastAsia="宋体" w:cs="Times New Roman"/>
                      <w:b/>
                      <w:bCs/>
                      <w:color w:val="auto"/>
                      <w:sz w:val="18"/>
                      <w:szCs w:val="18"/>
                    </w:rPr>
                    <w:t>（mg/Nm</w:t>
                  </w:r>
                  <w:r>
                    <w:rPr>
                      <w:rFonts w:hint="default" w:ascii="Times New Roman" w:hAnsi="Times New Roman" w:eastAsia="宋体" w:cs="Times New Roman"/>
                      <w:b/>
                      <w:bCs/>
                      <w:color w:val="auto"/>
                      <w:sz w:val="18"/>
                      <w:szCs w:val="18"/>
                      <w:vertAlign w:val="superscript"/>
                    </w:rPr>
                    <w:t>3</w:t>
                  </w:r>
                  <w:r>
                    <w:rPr>
                      <w:rFonts w:hint="default" w:ascii="Times New Roman" w:hAnsi="Times New Roman" w:eastAsia="宋体" w:cs="Times New Roman"/>
                      <w:b/>
                      <w:bCs/>
                      <w:color w:val="auto"/>
                      <w:sz w:val="18"/>
                      <w:szCs w:val="18"/>
                    </w:rPr>
                    <w:t>）</w:t>
                  </w:r>
                </w:p>
              </w:tc>
              <w:tc>
                <w:tcPr>
                  <w:tcW w:w="936" w:type="pct"/>
                  <w:tcBorders>
                    <w:tl2br w:val="nil"/>
                    <w:tr2bl w:val="nil"/>
                  </w:tcBorders>
                  <w:vAlign w:val="center"/>
                </w:tcPr>
                <w:p w14:paraId="45D7A612">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Q</w:t>
                  </w:r>
                  <w:r>
                    <w:rPr>
                      <w:rFonts w:hint="default" w:ascii="Times New Roman" w:hAnsi="Times New Roman" w:eastAsia="宋体" w:cs="Times New Roman"/>
                      <w:b/>
                      <w:bCs/>
                      <w:color w:val="auto"/>
                      <w:sz w:val="18"/>
                      <w:szCs w:val="18"/>
                      <w:vertAlign w:val="baseline"/>
                    </w:rPr>
                    <w:t>c</w:t>
                  </w:r>
                  <w:r>
                    <w:rPr>
                      <w:rFonts w:hint="default" w:ascii="Times New Roman" w:hAnsi="Times New Roman" w:eastAsia="宋体" w:cs="Times New Roman"/>
                      <w:b/>
                      <w:bCs/>
                      <w:color w:val="auto"/>
                      <w:sz w:val="18"/>
                      <w:szCs w:val="18"/>
                    </w:rPr>
                    <w:t xml:space="preserve"> /C</w:t>
                  </w:r>
                  <w:r>
                    <w:rPr>
                      <w:rFonts w:hint="default" w:ascii="Times New Roman" w:hAnsi="Times New Roman" w:eastAsia="宋体" w:cs="Times New Roman"/>
                      <w:b/>
                      <w:bCs/>
                      <w:color w:val="auto"/>
                      <w:sz w:val="18"/>
                      <w:szCs w:val="18"/>
                      <w:vertAlign w:val="baseline"/>
                    </w:rPr>
                    <w:t>m</w:t>
                  </w:r>
                </w:p>
              </w:tc>
            </w:tr>
            <w:tr w14:paraId="56611BE4">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876" w:type="pct"/>
                  <w:tcBorders>
                    <w:tl2br w:val="nil"/>
                    <w:tr2bl w:val="nil"/>
                  </w:tcBorders>
                  <w:vAlign w:val="center"/>
                </w:tcPr>
                <w:p w14:paraId="45B2E5A1">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eastAsia" w:cs="Times New Roman"/>
                      <w:color w:val="auto"/>
                      <w:kern w:val="0"/>
                      <w:sz w:val="18"/>
                      <w:szCs w:val="18"/>
                      <w:lang w:val="en-US" w:eastAsia="zh-CN"/>
                    </w:rPr>
                    <w:t>生产</w:t>
                  </w:r>
                  <w:r>
                    <w:rPr>
                      <w:rFonts w:hint="default" w:ascii="Times New Roman" w:hAnsi="Times New Roman" w:eastAsia="宋体" w:cs="Times New Roman"/>
                      <w:color w:val="auto"/>
                      <w:kern w:val="0"/>
                      <w:sz w:val="18"/>
                      <w:szCs w:val="18"/>
                      <w:lang w:val="en-US" w:eastAsia="zh-CN"/>
                    </w:rPr>
                    <w:t>厂房</w:t>
                  </w:r>
                </w:p>
              </w:tc>
              <w:tc>
                <w:tcPr>
                  <w:tcW w:w="624" w:type="pct"/>
                  <w:tcBorders>
                    <w:tl2br w:val="nil"/>
                    <w:tr2bl w:val="nil"/>
                  </w:tcBorders>
                  <w:vAlign w:val="center"/>
                </w:tcPr>
                <w:p w14:paraId="3C1C4A23">
                  <w:pPr>
                    <w:pStyle w:val="42"/>
                    <w:keepNext w:val="0"/>
                    <w:keepLines w:val="0"/>
                    <w:pageBreakBefore w:val="0"/>
                    <w:suppressLineNumbers w:val="0"/>
                    <w:topLinePunct w:val="0"/>
                    <w:autoSpaceDE/>
                    <w:autoSpaceDN/>
                    <w:bidi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olor w:val="auto"/>
                      <w:sz w:val="18"/>
                      <w:szCs w:val="18"/>
                      <w:lang w:eastAsia="zh-CN"/>
                    </w:rPr>
                  </w:pPr>
                  <w:r>
                    <w:rPr>
                      <w:rFonts w:hint="default" w:ascii="Times New Roman" w:hAnsi="Times New Roman" w:eastAsia="宋体" w:cs="Times New Roman"/>
                      <w:color w:val="auto"/>
                      <w:sz w:val="18"/>
                      <w:szCs w:val="18"/>
                      <w:lang w:val="en-US" w:eastAsia="zh-CN"/>
                    </w:rPr>
                    <w:t>颗粒物</w:t>
                  </w:r>
                </w:p>
              </w:tc>
              <w:tc>
                <w:tcPr>
                  <w:tcW w:w="1112" w:type="pct"/>
                  <w:tcBorders>
                    <w:tl2br w:val="nil"/>
                    <w:tr2bl w:val="nil"/>
                  </w:tcBorders>
                  <w:vAlign w:val="center"/>
                </w:tcPr>
                <w:p w14:paraId="123BDDC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Cs w:val="0"/>
                      <w:color w:val="auto"/>
                      <w:sz w:val="18"/>
                      <w:szCs w:val="18"/>
                      <w:lang w:val="en-US"/>
                    </w:rPr>
                  </w:pPr>
                  <w:r>
                    <w:rPr>
                      <w:rFonts w:hint="default" w:ascii="Times New Roman" w:hAnsi="Times New Roman" w:eastAsia="宋体" w:cs="Times New Roman"/>
                      <w:i w:val="0"/>
                      <w:iCs w:val="0"/>
                      <w:color w:val="auto"/>
                      <w:kern w:val="0"/>
                      <w:sz w:val="18"/>
                      <w:szCs w:val="18"/>
                      <w:u w:val="none"/>
                      <w:lang w:val="en-US" w:eastAsia="zh-CN" w:bidi="ar"/>
                    </w:rPr>
                    <w:t>0.</w:t>
                  </w:r>
                  <w:r>
                    <w:rPr>
                      <w:rFonts w:hint="eastAsia" w:cs="Times New Roman"/>
                      <w:i w:val="0"/>
                      <w:iCs w:val="0"/>
                      <w:color w:val="auto"/>
                      <w:kern w:val="0"/>
                      <w:sz w:val="18"/>
                      <w:szCs w:val="18"/>
                      <w:u w:val="none"/>
                      <w:lang w:val="en-US" w:eastAsia="zh-CN" w:bidi="ar"/>
                    </w:rPr>
                    <w:t>017</w:t>
                  </w:r>
                </w:p>
              </w:tc>
              <w:tc>
                <w:tcPr>
                  <w:tcW w:w="1449" w:type="pct"/>
                  <w:tcBorders>
                    <w:tl2br w:val="nil"/>
                    <w:tr2bl w:val="nil"/>
                  </w:tcBorders>
                  <w:vAlign w:val="center"/>
                </w:tcPr>
                <w:p w14:paraId="3E6FA313">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Cs w:val="0"/>
                      <w:color w:val="auto"/>
                      <w:sz w:val="18"/>
                      <w:szCs w:val="18"/>
                      <w:lang w:val="en-US" w:eastAsia="zh-CN"/>
                    </w:rPr>
                  </w:pPr>
                  <w:r>
                    <w:rPr>
                      <w:rFonts w:hint="default" w:ascii="Times New Roman" w:hAnsi="Times New Roman" w:eastAsia="宋体" w:cs="Times New Roman"/>
                      <w:bCs w:val="0"/>
                      <w:color w:val="auto"/>
                      <w:sz w:val="18"/>
                      <w:szCs w:val="18"/>
                      <w:lang w:val="en-US" w:eastAsia="zh-CN"/>
                    </w:rPr>
                    <w:t>0.9</w:t>
                  </w:r>
                </w:p>
              </w:tc>
              <w:tc>
                <w:tcPr>
                  <w:tcW w:w="936" w:type="pct"/>
                  <w:tcBorders>
                    <w:tl2br w:val="nil"/>
                    <w:tr2bl w:val="nil"/>
                  </w:tcBorders>
                  <w:vAlign w:val="center"/>
                </w:tcPr>
                <w:p w14:paraId="2909CC2B">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Cs w:val="0"/>
                      <w:color w:val="auto"/>
                      <w:sz w:val="18"/>
                      <w:szCs w:val="18"/>
                      <w:lang w:val="en-US" w:eastAsia="zh-CN"/>
                    </w:rPr>
                  </w:pPr>
                  <w:r>
                    <w:rPr>
                      <w:rFonts w:hint="default" w:ascii="Times New Roman" w:hAnsi="Times New Roman" w:eastAsia="宋体" w:cs="Times New Roman"/>
                      <w:bCs w:val="0"/>
                      <w:color w:val="auto"/>
                      <w:sz w:val="18"/>
                      <w:szCs w:val="18"/>
                      <w:lang w:val="en-US" w:eastAsia="zh-CN"/>
                    </w:rPr>
                    <w:t>0.</w:t>
                  </w:r>
                  <w:r>
                    <w:rPr>
                      <w:rFonts w:hint="eastAsia" w:cs="Times New Roman"/>
                      <w:bCs w:val="0"/>
                      <w:color w:val="auto"/>
                      <w:sz w:val="18"/>
                      <w:szCs w:val="18"/>
                      <w:lang w:val="en-US" w:eastAsia="zh-CN"/>
                    </w:rPr>
                    <w:t>019</w:t>
                  </w:r>
                </w:p>
              </w:tc>
            </w:tr>
          </w:tbl>
          <w:p w14:paraId="28458538">
            <w:pPr>
              <w:keepNext w:val="0"/>
              <w:keepLines w:val="0"/>
              <w:widowControl/>
              <w:suppressLineNumbers w:val="0"/>
              <w:adjustRightInd w:val="0"/>
              <w:snapToGrid w:val="0"/>
              <w:spacing w:before="0" w:beforeAutospacing="0" w:after="0" w:afterAutospacing="0"/>
              <w:ind w:left="0" w:right="0"/>
              <w:jc w:val="left"/>
              <w:rPr>
                <w:rFonts w:hint="default" w:ascii="Times New Roman" w:hAnsi="Times New Roman" w:eastAsia="宋体" w:cs="Times New Roman"/>
                <w:color w:val="auto"/>
                <w:kern w:val="2"/>
                <w:sz w:val="24"/>
              </w:rPr>
            </w:pPr>
            <w:r>
              <w:rPr>
                <w:rFonts w:hint="default" w:ascii="Times New Roman" w:hAnsi="Times New Roman" w:eastAsia="宋体" w:cs="Times New Roman"/>
                <w:bCs w:val="0"/>
                <w:color w:val="auto"/>
                <w:sz w:val="18"/>
                <w:szCs w:val="18"/>
              </w:rPr>
              <w:t>注：根据《大气有害物质无组织排放卫生防护距离推导技术导则》（GB/T39499-2020）中的规定，颗粒物标准限值取《环境空气质量标准》（GB3095-2012）中规定的二级标准日均值的三倍</w:t>
            </w:r>
            <w:r>
              <w:rPr>
                <w:rFonts w:hint="default" w:ascii="Times New Roman" w:hAnsi="Times New Roman" w:eastAsia="宋体" w:cs="Times New Roman"/>
                <w:bCs w:val="0"/>
                <w:color w:val="auto"/>
                <w:sz w:val="18"/>
                <w:szCs w:val="18"/>
                <w:lang w:eastAsia="zh-CN"/>
              </w:rPr>
              <w:t>，</w:t>
            </w:r>
            <w:r>
              <w:rPr>
                <w:rFonts w:hint="default" w:ascii="Times New Roman" w:hAnsi="Times New Roman" w:eastAsia="宋体" w:cs="Times New Roman"/>
                <w:bCs w:val="0"/>
                <w:color w:val="auto"/>
                <w:sz w:val="18"/>
                <w:szCs w:val="18"/>
              </w:rPr>
              <w:t>则颗粒物的C</w:t>
            </w:r>
            <w:r>
              <w:rPr>
                <w:rFonts w:hint="default" w:ascii="Times New Roman" w:hAnsi="Times New Roman" w:eastAsia="宋体" w:cs="Times New Roman"/>
                <w:bCs w:val="0"/>
                <w:color w:val="auto"/>
                <w:sz w:val="18"/>
                <w:szCs w:val="18"/>
                <w:vertAlign w:val="baseline"/>
              </w:rPr>
              <w:t>m</w:t>
            </w:r>
            <w:r>
              <w:rPr>
                <w:rFonts w:hint="default" w:ascii="Times New Roman" w:hAnsi="Times New Roman" w:eastAsia="宋体" w:cs="Times New Roman"/>
                <w:bCs w:val="0"/>
                <w:color w:val="auto"/>
                <w:sz w:val="18"/>
                <w:szCs w:val="18"/>
              </w:rPr>
              <w:t>为0.9mg/Nm</w:t>
            </w:r>
            <w:r>
              <w:rPr>
                <w:rFonts w:hint="default" w:ascii="Times New Roman" w:hAnsi="Times New Roman" w:eastAsia="宋体" w:cs="Times New Roman"/>
                <w:bCs w:val="0"/>
                <w:color w:val="auto"/>
                <w:sz w:val="18"/>
                <w:szCs w:val="18"/>
                <w:vertAlign w:val="superscript"/>
              </w:rPr>
              <w:t>3</w:t>
            </w:r>
            <w:r>
              <w:rPr>
                <w:rFonts w:hint="default" w:ascii="Times New Roman" w:hAnsi="Times New Roman" w:eastAsia="宋体" w:cs="Times New Roman"/>
                <w:bCs w:val="0"/>
                <w:color w:val="auto"/>
                <w:sz w:val="18"/>
                <w:szCs w:val="18"/>
              </w:rPr>
              <w:t>。</w:t>
            </w:r>
          </w:p>
          <w:p w14:paraId="57CB527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80"/>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rPr>
              <w:t>根据《大气有害物质无组织排放卫生防护距离推导技术导则》(GB/T39499-2020)的有关规定，无组织排放有害气体的生产单元（生产区、车间或工段）与敏感区之间应设置卫生防护距离，计算公式如下：</w:t>
            </w:r>
          </w:p>
          <w:p w14:paraId="326281C8">
            <w:pPr>
              <w:keepNext w:val="0"/>
              <w:keepLines w:val="0"/>
              <w:suppressLineNumbers w:val="0"/>
              <w:spacing w:before="156" w:beforeAutospacing="0" w:after="0" w:afterAutospacing="0"/>
              <w:ind w:left="0" w:right="0" w:firstLine="480"/>
              <w:jc w:val="center"/>
              <w:rPr>
                <w:rFonts w:hint="default" w:ascii="Times New Roman" w:hAnsi="Times New Roman" w:eastAsia="宋体" w:cs="Times New Roman"/>
                <w:color w:val="auto"/>
              </w:rPr>
            </w:pPr>
            <w:r>
              <w:rPr>
                <w:rFonts w:hint="default" w:ascii="Times New Roman" w:hAnsi="Times New Roman" w:eastAsia="宋体" w:cs="Times New Roman"/>
                <w:color w:val="auto"/>
              </w:rPr>
              <w:object>
                <v:shape id="_x0000_i1028" o:spt="75" type="#_x0000_t75" style="height:36.4pt;width:144pt;" o:ole="t" fillcolor="#6D6D6D"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p>
          <w:p w14:paraId="758DB3CA">
            <w:pPr>
              <w:keepNext w:val="0"/>
              <w:keepLines w:val="0"/>
              <w:suppressLineNumbers w:val="0"/>
              <w:spacing w:before="0" w:beforeAutospacing="0" w:after="0" w:afterAutospacing="0"/>
              <w:ind w:left="0" w:right="0" w:firstLine="480"/>
              <w:rPr>
                <w:rFonts w:hint="default" w:ascii="Times New Roman" w:hAnsi="Times New Roman" w:eastAsia="宋体" w:cs="Times New Roman"/>
                <w:color w:val="auto"/>
              </w:rPr>
            </w:pPr>
            <w:r>
              <w:rPr>
                <w:rFonts w:hint="default" w:ascii="Times New Roman" w:hAnsi="Times New Roman" w:eastAsia="宋体" w:cs="Times New Roman"/>
                <w:color w:val="auto"/>
              </w:rPr>
              <w:t>式中：Qc——大气有害物质的无组织排放量，单位为千克每小时（kg/h）；</w:t>
            </w:r>
          </w:p>
          <w:p w14:paraId="0E7D2AD0">
            <w:pPr>
              <w:keepNext w:val="0"/>
              <w:keepLines w:val="0"/>
              <w:suppressLineNumbers w:val="0"/>
              <w:spacing w:before="0" w:beforeAutospacing="0" w:after="0" w:afterAutospacing="0"/>
              <w:ind w:left="0" w:right="0" w:firstLine="480"/>
              <w:rPr>
                <w:rFonts w:hint="default" w:ascii="Times New Roman" w:hAnsi="Times New Roman" w:eastAsia="宋体" w:cs="Times New Roman"/>
                <w:color w:val="auto"/>
              </w:rPr>
            </w:pPr>
            <w:r>
              <w:rPr>
                <w:rFonts w:hint="default" w:ascii="Times New Roman" w:hAnsi="Times New Roman" w:eastAsia="宋体" w:cs="Times New Roman"/>
                <w:color w:val="auto"/>
              </w:rPr>
              <w:tab/>
            </w:r>
            <w:r>
              <w:rPr>
                <w:rFonts w:hint="default" w:ascii="Times New Roman" w:hAnsi="Times New Roman" w:eastAsia="宋体" w:cs="Times New Roman"/>
                <w:color w:val="auto"/>
              </w:rPr>
              <w:t>Cm——大气有害物质环境空气质量的标准限值，单位为毫克每立方米（mg/m</w:t>
            </w:r>
            <w:r>
              <w:rPr>
                <w:rFonts w:hint="default" w:ascii="Times New Roman" w:hAnsi="Times New Roman" w:eastAsia="宋体" w:cs="Times New Roman"/>
                <w:color w:val="auto"/>
                <w:vertAlign w:val="superscript"/>
              </w:rPr>
              <w:t>3</w:t>
            </w:r>
            <w:r>
              <w:rPr>
                <w:rFonts w:hint="default" w:ascii="Times New Roman" w:hAnsi="Times New Roman" w:eastAsia="宋体" w:cs="Times New Roman"/>
                <w:color w:val="auto"/>
              </w:rPr>
              <w:t>）；</w:t>
            </w:r>
          </w:p>
          <w:p w14:paraId="737F241F">
            <w:pPr>
              <w:keepNext w:val="0"/>
              <w:keepLines w:val="0"/>
              <w:suppressLineNumbers w:val="0"/>
              <w:spacing w:before="0" w:beforeAutospacing="0" w:after="0" w:afterAutospacing="0"/>
              <w:ind w:left="0" w:right="0" w:firstLine="480"/>
              <w:rPr>
                <w:rFonts w:hint="default" w:ascii="Times New Roman" w:hAnsi="Times New Roman" w:eastAsia="宋体" w:cs="Times New Roman"/>
                <w:color w:val="auto"/>
              </w:rPr>
            </w:pPr>
            <w:r>
              <w:rPr>
                <w:rFonts w:hint="default" w:ascii="Times New Roman" w:hAnsi="Times New Roman" w:eastAsia="宋体" w:cs="Times New Roman"/>
                <w:color w:val="auto"/>
              </w:rPr>
              <w:tab/>
            </w:r>
            <w:r>
              <w:rPr>
                <w:rFonts w:hint="default" w:ascii="Times New Roman" w:hAnsi="Times New Roman" w:eastAsia="宋体" w:cs="Times New Roman"/>
                <w:color w:val="auto"/>
              </w:rPr>
              <w:t>L——大气有害物质卫生防护距离初值，单位为米（m）；</w:t>
            </w:r>
          </w:p>
          <w:p w14:paraId="105CC292">
            <w:pPr>
              <w:keepNext w:val="0"/>
              <w:keepLines w:val="0"/>
              <w:suppressLineNumbers w:val="0"/>
              <w:spacing w:before="0" w:beforeAutospacing="0" w:after="0" w:afterAutospacing="0"/>
              <w:ind w:left="0" w:right="0" w:firstLine="480"/>
              <w:rPr>
                <w:rFonts w:hint="default" w:ascii="Times New Roman" w:hAnsi="Times New Roman" w:eastAsia="宋体" w:cs="Times New Roman"/>
                <w:color w:val="auto"/>
              </w:rPr>
            </w:pPr>
            <w:r>
              <w:rPr>
                <w:rFonts w:hint="default" w:ascii="Times New Roman" w:hAnsi="Times New Roman" w:eastAsia="宋体" w:cs="Times New Roman"/>
                <w:color w:val="auto"/>
              </w:rPr>
              <w:tab/>
            </w:r>
            <w:r>
              <w:rPr>
                <w:rFonts w:hint="default" w:ascii="Times New Roman" w:hAnsi="Times New Roman" w:eastAsia="宋体" w:cs="Times New Roman"/>
                <w:color w:val="auto"/>
              </w:rPr>
              <w:sym w:font="Symbol" w:char="F067"/>
            </w:r>
            <w:r>
              <w:rPr>
                <w:rFonts w:hint="default" w:ascii="Times New Roman" w:hAnsi="Times New Roman" w:eastAsia="宋体" w:cs="Times New Roman"/>
                <w:color w:val="auto"/>
              </w:rPr>
              <w:t>——大气有害物质无组织排放源所在生产单元的等效半径，单位为米（m），</w:t>
            </w:r>
            <w:r>
              <w:rPr>
                <w:rFonts w:hint="default" w:ascii="Times New Roman" w:hAnsi="Times New Roman" w:eastAsia="宋体" w:cs="Times New Roman"/>
                <w:color w:val="auto"/>
              </w:rPr>
              <w:sym w:font="Symbol" w:char="F067"/>
            </w:r>
            <w:r>
              <w:rPr>
                <w:rFonts w:hint="default" w:ascii="Times New Roman" w:hAnsi="Times New Roman" w:eastAsia="宋体" w:cs="Times New Roman"/>
                <w:color w:val="auto"/>
              </w:rPr>
              <w:t xml:space="preserve"> = (S/</w:t>
            </w:r>
            <w:r>
              <w:rPr>
                <w:rFonts w:hint="default" w:ascii="Times New Roman" w:hAnsi="Times New Roman" w:eastAsia="宋体" w:cs="Times New Roman"/>
                <w:color w:val="auto"/>
              </w:rPr>
              <w:sym w:font="Symbol" w:char="F070"/>
            </w:r>
            <w:r>
              <w:rPr>
                <w:rFonts w:hint="default" w:ascii="Times New Roman" w:hAnsi="Times New Roman" w:eastAsia="宋体" w:cs="Times New Roman"/>
                <w:color w:val="auto"/>
              </w:rPr>
              <w:t>)0.5m；</w:t>
            </w:r>
          </w:p>
          <w:p w14:paraId="69ABBDC9">
            <w:pPr>
              <w:keepNext w:val="0"/>
              <w:keepLines w:val="0"/>
              <w:suppressLineNumbers w:val="0"/>
              <w:spacing w:before="0" w:beforeAutospacing="0" w:after="0" w:afterAutospacing="0"/>
              <w:ind w:left="0" w:right="0" w:firstLine="720" w:firstLineChars="300"/>
              <w:rPr>
                <w:rFonts w:hint="default" w:ascii="Times New Roman" w:hAnsi="Times New Roman" w:eastAsia="宋体" w:cs="Times New Roman"/>
                <w:color w:val="auto"/>
              </w:rPr>
            </w:pPr>
            <w:r>
              <w:rPr>
                <w:rFonts w:hint="default" w:ascii="Times New Roman" w:hAnsi="Times New Roman" w:eastAsia="宋体" w:cs="Times New Roman"/>
                <w:color w:val="auto"/>
              </w:rPr>
              <w:t>A、B、C、D——卫生防护距离初值计算系数，无因次，根据工业企业所在地区近5年平均风速及大气污染源构成类别从下表查取。</w:t>
            </w:r>
          </w:p>
          <w:p w14:paraId="1AAB48E6">
            <w:pPr>
              <w:keepNext w:val="0"/>
              <w:keepLines w:val="0"/>
              <w:suppressLineNumbers w:val="0"/>
              <w:spacing w:before="0" w:beforeAutospacing="0" w:after="0" w:afterAutospacing="0"/>
              <w:ind w:left="0" w:right="0" w:firstLine="480"/>
              <w:rPr>
                <w:rFonts w:hint="default" w:ascii="Times New Roman" w:hAnsi="Times New Roman" w:eastAsia="宋体" w:cs="Times New Roman"/>
                <w:color w:val="auto"/>
              </w:rPr>
            </w:pPr>
            <w:r>
              <w:rPr>
                <w:rFonts w:hint="default" w:ascii="Times New Roman" w:hAnsi="Times New Roman" w:eastAsia="宋体" w:cs="Times New Roman"/>
                <w:color w:val="auto"/>
              </w:rPr>
              <w:t>淮安</w:t>
            </w:r>
            <w:r>
              <w:rPr>
                <w:rFonts w:hint="eastAsia" w:cs="Times New Roman"/>
                <w:color w:val="auto"/>
                <w:lang w:eastAsia="zh-CN"/>
              </w:rPr>
              <w:t>市</w:t>
            </w:r>
            <w:r>
              <w:rPr>
                <w:rFonts w:hint="default" w:ascii="Times New Roman" w:hAnsi="Times New Roman" w:eastAsia="宋体" w:cs="Times New Roman"/>
                <w:color w:val="auto"/>
              </w:rPr>
              <w:t>近5年平均风速为2.56m/s，</w:t>
            </w:r>
            <w:r>
              <w:rPr>
                <w:rFonts w:hint="default" w:ascii="Times New Roman" w:hAnsi="Times New Roman" w:eastAsia="宋体" w:cs="Times New Roman"/>
                <w:color w:val="auto"/>
                <w:lang w:eastAsia="zh-CN"/>
              </w:rPr>
              <w:t>建设项目</w:t>
            </w:r>
            <w:r>
              <w:rPr>
                <w:rFonts w:hint="default" w:ascii="Times New Roman" w:hAnsi="Times New Roman" w:eastAsia="宋体" w:cs="Times New Roman"/>
                <w:color w:val="auto"/>
              </w:rPr>
              <w:t>卫生防护距离计算系数取值见下</w:t>
            </w:r>
            <w:r>
              <w:rPr>
                <w:rFonts w:hint="eastAsia" w:cs="Times New Roman"/>
                <w:color w:val="auto"/>
                <w:lang w:eastAsia="zh-CN"/>
              </w:rPr>
              <w:t>表</w:t>
            </w:r>
            <w:r>
              <w:rPr>
                <w:rFonts w:hint="eastAsia" w:cs="Times New Roman"/>
                <w:color w:val="auto"/>
                <w:lang w:val="en-US" w:eastAsia="zh-CN"/>
              </w:rPr>
              <w:t>4.1-10</w:t>
            </w:r>
            <w:r>
              <w:rPr>
                <w:rFonts w:hint="default" w:ascii="Times New Roman" w:hAnsi="Times New Roman" w:eastAsia="宋体" w:cs="Times New Roman"/>
                <w:color w:val="auto"/>
              </w:rPr>
              <w:t>。</w:t>
            </w:r>
          </w:p>
          <w:p w14:paraId="7E1558AA">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rPr>
            </w:pPr>
            <w:r>
              <w:rPr>
                <w:rFonts w:hint="default" w:ascii="Times New Roman" w:hAnsi="Times New Roman" w:eastAsia="宋体" w:cs="Times New Roman"/>
                <w:b/>
                <w:bCs/>
                <w:color w:val="auto"/>
              </w:rPr>
              <w:t>表4.1-</w:t>
            </w:r>
            <w:r>
              <w:rPr>
                <w:rFonts w:hint="eastAsia" w:ascii="Times New Roman" w:hAnsi="Times New Roman" w:eastAsia="宋体" w:cs="Times New Roman"/>
                <w:b/>
                <w:bCs/>
                <w:color w:val="auto"/>
                <w:lang w:val="en-US" w:eastAsia="zh-CN"/>
              </w:rPr>
              <w:t>10</w:t>
            </w:r>
            <w:r>
              <w:rPr>
                <w:rFonts w:hint="default" w:ascii="Times New Roman" w:hAnsi="Times New Roman" w:eastAsia="宋体" w:cs="Times New Roman"/>
                <w:b/>
                <w:bCs/>
                <w:color w:val="auto"/>
                <w:lang w:val="en-US" w:eastAsia="zh-CN"/>
              </w:rPr>
              <w:t xml:space="preserve"> </w:t>
            </w:r>
            <w:r>
              <w:rPr>
                <w:rFonts w:hint="default" w:ascii="Times New Roman" w:hAnsi="Times New Roman" w:eastAsia="宋体" w:cs="Times New Roman"/>
                <w:b/>
                <w:bCs/>
                <w:color w:val="auto"/>
              </w:rPr>
              <w:t>卫生防护距离计算系数</w:t>
            </w:r>
          </w:p>
          <w:tbl>
            <w:tblPr>
              <w:tblStyle w:val="27"/>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28" w:type="dxa"/>
                <w:bottom w:w="0" w:type="dxa"/>
                <w:right w:w="28" w:type="dxa"/>
              </w:tblCellMar>
            </w:tblPr>
            <w:tblGrid>
              <w:gridCol w:w="882"/>
              <w:gridCol w:w="903"/>
              <w:gridCol w:w="702"/>
              <w:gridCol w:w="705"/>
              <w:gridCol w:w="702"/>
              <w:gridCol w:w="702"/>
              <w:gridCol w:w="702"/>
              <w:gridCol w:w="703"/>
              <w:gridCol w:w="702"/>
              <w:gridCol w:w="702"/>
              <w:gridCol w:w="679"/>
            </w:tblGrid>
            <w:tr w14:paraId="108859A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46" w:type="pct"/>
                  <w:vMerge w:val="restart"/>
                  <w:vAlign w:val="center"/>
                </w:tcPr>
                <w:p w14:paraId="3A9E87E4">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卫生防护距离初值计算系数</w:t>
                  </w:r>
                </w:p>
              </w:tc>
              <w:tc>
                <w:tcPr>
                  <w:tcW w:w="559" w:type="pct"/>
                  <w:vMerge w:val="restart"/>
                  <w:vAlign w:val="center"/>
                </w:tcPr>
                <w:p w14:paraId="4B324CE7">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工业企业所在地区近5年平均风速(m/s)</w:t>
                  </w:r>
                </w:p>
              </w:tc>
              <w:tc>
                <w:tcPr>
                  <w:tcW w:w="3895" w:type="pct"/>
                  <w:gridSpan w:val="9"/>
                  <w:vAlign w:val="center"/>
                </w:tcPr>
                <w:p w14:paraId="2EC08363">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b/>
                      <w:bCs/>
                      <w:color w:val="auto"/>
                      <w:sz w:val="18"/>
                      <w:szCs w:val="18"/>
                    </w:rPr>
                    <w:t>卫生防护距离L/m</w:t>
                  </w:r>
                </w:p>
              </w:tc>
            </w:tr>
            <w:tr w14:paraId="076D682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46" w:type="pct"/>
                  <w:vMerge w:val="continue"/>
                  <w:vAlign w:val="center"/>
                </w:tcPr>
                <w:p w14:paraId="358FF9AB">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p>
              </w:tc>
              <w:tc>
                <w:tcPr>
                  <w:tcW w:w="559" w:type="pct"/>
                  <w:vMerge w:val="continue"/>
                  <w:vAlign w:val="center"/>
                </w:tcPr>
                <w:p w14:paraId="1E6A97A2">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p>
              </w:tc>
              <w:tc>
                <w:tcPr>
                  <w:tcW w:w="1304" w:type="pct"/>
                  <w:gridSpan w:val="3"/>
                  <w:vAlign w:val="center"/>
                </w:tcPr>
                <w:p w14:paraId="304F2576">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L≤1000</w:t>
                  </w:r>
                </w:p>
              </w:tc>
              <w:tc>
                <w:tcPr>
                  <w:tcW w:w="1303" w:type="pct"/>
                  <w:gridSpan w:val="3"/>
                  <w:vAlign w:val="center"/>
                </w:tcPr>
                <w:p w14:paraId="4A1D6DA3">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1000＜L≤2000</w:t>
                  </w:r>
                </w:p>
              </w:tc>
              <w:tc>
                <w:tcPr>
                  <w:tcW w:w="1288" w:type="pct"/>
                  <w:gridSpan w:val="3"/>
                  <w:vAlign w:val="center"/>
                </w:tcPr>
                <w:p w14:paraId="2B7D8AE5">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L＞2000</w:t>
                  </w:r>
                </w:p>
              </w:tc>
            </w:tr>
            <w:tr w14:paraId="177B21E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46" w:type="pct"/>
                  <w:vMerge w:val="continue"/>
                  <w:vAlign w:val="center"/>
                </w:tcPr>
                <w:p w14:paraId="59519E41">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p>
              </w:tc>
              <w:tc>
                <w:tcPr>
                  <w:tcW w:w="559" w:type="pct"/>
                  <w:vMerge w:val="continue"/>
                  <w:vAlign w:val="center"/>
                </w:tcPr>
                <w:p w14:paraId="05422CFE">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p>
              </w:tc>
              <w:tc>
                <w:tcPr>
                  <w:tcW w:w="3895" w:type="pct"/>
                  <w:gridSpan w:val="9"/>
                  <w:vAlign w:val="center"/>
                </w:tcPr>
                <w:p w14:paraId="55B6D63E">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b/>
                      <w:bCs/>
                      <w:color w:val="auto"/>
                      <w:sz w:val="18"/>
                      <w:szCs w:val="18"/>
                    </w:rPr>
                    <w:t>工业企业大气污染源构成类别</w:t>
                  </w:r>
                </w:p>
              </w:tc>
            </w:tr>
            <w:tr w14:paraId="0E6DFAE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46" w:type="pct"/>
                  <w:vMerge w:val="continue"/>
                  <w:vAlign w:val="center"/>
                </w:tcPr>
                <w:p w14:paraId="676F425F">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p>
              </w:tc>
              <w:tc>
                <w:tcPr>
                  <w:tcW w:w="559" w:type="pct"/>
                  <w:vMerge w:val="continue"/>
                  <w:vAlign w:val="center"/>
                </w:tcPr>
                <w:p w14:paraId="123046F6">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p>
              </w:tc>
              <w:tc>
                <w:tcPr>
                  <w:tcW w:w="434" w:type="pct"/>
                  <w:vAlign w:val="center"/>
                </w:tcPr>
                <w:p w14:paraId="30DDC17A">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Ⅰ</w:t>
                  </w:r>
                </w:p>
              </w:tc>
              <w:tc>
                <w:tcPr>
                  <w:tcW w:w="436" w:type="pct"/>
                  <w:vAlign w:val="center"/>
                </w:tcPr>
                <w:p w14:paraId="3F805A0F">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Ⅱ</w:t>
                  </w:r>
                </w:p>
              </w:tc>
              <w:tc>
                <w:tcPr>
                  <w:tcW w:w="434" w:type="pct"/>
                  <w:vAlign w:val="center"/>
                </w:tcPr>
                <w:p w14:paraId="1A75058F">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Ⅲ</w:t>
                  </w:r>
                </w:p>
              </w:tc>
              <w:tc>
                <w:tcPr>
                  <w:tcW w:w="434" w:type="pct"/>
                  <w:vAlign w:val="center"/>
                </w:tcPr>
                <w:p w14:paraId="512DC6D6">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Ⅰ</w:t>
                  </w:r>
                </w:p>
              </w:tc>
              <w:tc>
                <w:tcPr>
                  <w:tcW w:w="434" w:type="pct"/>
                  <w:vAlign w:val="center"/>
                </w:tcPr>
                <w:p w14:paraId="4E7D6B0F">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Ⅱ</w:t>
                  </w:r>
                </w:p>
              </w:tc>
              <w:tc>
                <w:tcPr>
                  <w:tcW w:w="435" w:type="pct"/>
                  <w:vAlign w:val="center"/>
                </w:tcPr>
                <w:p w14:paraId="25B94E2B">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Ⅲ</w:t>
                  </w:r>
                </w:p>
              </w:tc>
              <w:tc>
                <w:tcPr>
                  <w:tcW w:w="434" w:type="pct"/>
                  <w:vAlign w:val="center"/>
                </w:tcPr>
                <w:p w14:paraId="2F413CDE">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Ⅰ</w:t>
                  </w:r>
                </w:p>
              </w:tc>
              <w:tc>
                <w:tcPr>
                  <w:tcW w:w="434" w:type="pct"/>
                  <w:vAlign w:val="center"/>
                </w:tcPr>
                <w:p w14:paraId="1E941492">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Ⅱ</w:t>
                  </w:r>
                </w:p>
              </w:tc>
              <w:tc>
                <w:tcPr>
                  <w:tcW w:w="420" w:type="pct"/>
                  <w:vAlign w:val="center"/>
                </w:tcPr>
                <w:p w14:paraId="2F6FBAAB">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Ⅲ</w:t>
                  </w:r>
                </w:p>
              </w:tc>
            </w:tr>
            <w:tr w14:paraId="0C9E64C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218" w:hRule="atLeast"/>
                <w:jc w:val="center"/>
              </w:trPr>
              <w:tc>
                <w:tcPr>
                  <w:tcW w:w="546" w:type="pct"/>
                  <w:vMerge w:val="restart"/>
                  <w:vAlign w:val="center"/>
                </w:tcPr>
                <w:p w14:paraId="752A8D42">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A</w:t>
                  </w:r>
                </w:p>
              </w:tc>
              <w:tc>
                <w:tcPr>
                  <w:tcW w:w="559" w:type="pct"/>
                  <w:vAlign w:val="center"/>
                </w:tcPr>
                <w:p w14:paraId="38CDC0CC">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&lt;2</w:t>
                  </w:r>
                </w:p>
              </w:tc>
              <w:tc>
                <w:tcPr>
                  <w:tcW w:w="434" w:type="pct"/>
                  <w:vAlign w:val="center"/>
                </w:tcPr>
                <w:p w14:paraId="25774E54">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400</w:t>
                  </w:r>
                </w:p>
              </w:tc>
              <w:tc>
                <w:tcPr>
                  <w:tcW w:w="436" w:type="pct"/>
                  <w:vAlign w:val="center"/>
                </w:tcPr>
                <w:p w14:paraId="197CA7BE">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400</w:t>
                  </w:r>
                </w:p>
              </w:tc>
              <w:tc>
                <w:tcPr>
                  <w:tcW w:w="434" w:type="pct"/>
                  <w:vAlign w:val="center"/>
                </w:tcPr>
                <w:p w14:paraId="6BDF54FC">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400</w:t>
                  </w:r>
                </w:p>
              </w:tc>
              <w:tc>
                <w:tcPr>
                  <w:tcW w:w="434" w:type="pct"/>
                  <w:vAlign w:val="center"/>
                </w:tcPr>
                <w:p w14:paraId="646E1EB7">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400</w:t>
                  </w:r>
                </w:p>
              </w:tc>
              <w:tc>
                <w:tcPr>
                  <w:tcW w:w="434" w:type="pct"/>
                  <w:vAlign w:val="center"/>
                </w:tcPr>
                <w:p w14:paraId="5B987AB1">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400</w:t>
                  </w:r>
                </w:p>
              </w:tc>
              <w:tc>
                <w:tcPr>
                  <w:tcW w:w="435" w:type="pct"/>
                  <w:vAlign w:val="center"/>
                </w:tcPr>
                <w:p w14:paraId="5B5D2862">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400</w:t>
                  </w:r>
                </w:p>
              </w:tc>
              <w:tc>
                <w:tcPr>
                  <w:tcW w:w="434" w:type="pct"/>
                  <w:vAlign w:val="center"/>
                </w:tcPr>
                <w:p w14:paraId="317C77A7">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80</w:t>
                  </w:r>
                </w:p>
              </w:tc>
              <w:tc>
                <w:tcPr>
                  <w:tcW w:w="434" w:type="pct"/>
                  <w:vAlign w:val="center"/>
                </w:tcPr>
                <w:p w14:paraId="2379F72C">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80</w:t>
                  </w:r>
                </w:p>
              </w:tc>
              <w:tc>
                <w:tcPr>
                  <w:tcW w:w="420" w:type="pct"/>
                  <w:vAlign w:val="center"/>
                </w:tcPr>
                <w:p w14:paraId="00F3B88C">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80</w:t>
                  </w:r>
                </w:p>
              </w:tc>
            </w:tr>
            <w:tr w14:paraId="5A07FEA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46" w:type="pct"/>
                  <w:vMerge w:val="continue"/>
                  <w:vAlign w:val="center"/>
                </w:tcPr>
                <w:p w14:paraId="0B12816D">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p>
              </w:tc>
              <w:tc>
                <w:tcPr>
                  <w:tcW w:w="559" w:type="pct"/>
                  <w:vAlign w:val="center"/>
                </w:tcPr>
                <w:p w14:paraId="0E2023AE">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2~4</w:t>
                  </w:r>
                </w:p>
              </w:tc>
              <w:tc>
                <w:tcPr>
                  <w:tcW w:w="434" w:type="pct"/>
                  <w:vAlign w:val="center"/>
                </w:tcPr>
                <w:p w14:paraId="41246A11">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700</w:t>
                  </w:r>
                </w:p>
              </w:tc>
              <w:tc>
                <w:tcPr>
                  <w:tcW w:w="436" w:type="pct"/>
                  <w:vAlign w:val="center"/>
                </w:tcPr>
                <w:p w14:paraId="029C41B4">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470</w:t>
                  </w:r>
                  <w:r>
                    <w:rPr>
                      <w:rFonts w:hint="default" w:ascii="Times New Roman" w:hAnsi="Times New Roman" w:eastAsia="宋体" w:cs="Times New Roman"/>
                      <w:snapToGrid w:val="0"/>
                      <w:color w:val="auto"/>
                      <w:sz w:val="18"/>
                      <w:szCs w:val="18"/>
                    </w:rPr>
                    <w:t>*</w:t>
                  </w:r>
                </w:p>
              </w:tc>
              <w:tc>
                <w:tcPr>
                  <w:tcW w:w="434" w:type="pct"/>
                  <w:vAlign w:val="center"/>
                </w:tcPr>
                <w:p w14:paraId="5D651947">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350</w:t>
                  </w:r>
                </w:p>
              </w:tc>
              <w:tc>
                <w:tcPr>
                  <w:tcW w:w="434" w:type="pct"/>
                  <w:vAlign w:val="center"/>
                </w:tcPr>
                <w:p w14:paraId="027076C2">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700</w:t>
                  </w:r>
                </w:p>
              </w:tc>
              <w:tc>
                <w:tcPr>
                  <w:tcW w:w="434" w:type="pct"/>
                  <w:vAlign w:val="center"/>
                </w:tcPr>
                <w:p w14:paraId="26E531B7">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470</w:t>
                  </w:r>
                </w:p>
              </w:tc>
              <w:tc>
                <w:tcPr>
                  <w:tcW w:w="435" w:type="pct"/>
                  <w:vAlign w:val="center"/>
                </w:tcPr>
                <w:p w14:paraId="14F28A29">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350</w:t>
                  </w:r>
                </w:p>
              </w:tc>
              <w:tc>
                <w:tcPr>
                  <w:tcW w:w="434" w:type="pct"/>
                  <w:vAlign w:val="center"/>
                </w:tcPr>
                <w:p w14:paraId="16631504">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380</w:t>
                  </w:r>
                </w:p>
              </w:tc>
              <w:tc>
                <w:tcPr>
                  <w:tcW w:w="434" w:type="pct"/>
                  <w:vAlign w:val="center"/>
                </w:tcPr>
                <w:p w14:paraId="7AB7482F">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250</w:t>
                  </w:r>
                </w:p>
              </w:tc>
              <w:tc>
                <w:tcPr>
                  <w:tcW w:w="420" w:type="pct"/>
                  <w:vAlign w:val="center"/>
                </w:tcPr>
                <w:p w14:paraId="2CA69538">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190</w:t>
                  </w:r>
                </w:p>
              </w:tc>
            </w:tr>
            <w:tr w14:paraId="694D276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242" w:hRule="atLeast"/>
                <w:jc w:val="center"/>
              </w:trPr>
              <w:tc>
                <w:tcPr>
                  <w:tcW w:w="546" w:type="pct"/>
                  <w:vMerge w:val="continue"/>
                  <w:vAlign w:val="center"/>
                </w:tcPr>
                <w:p w14:paraId="2E0C2499">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p>
              </w:tc>
              <w:tc>
                <w:tcPr>
                  <w:tcW w:w="559" w:type="pct"/>
                  <w:vAlign w:val="center"/>
                </w:tcPr>
                <w:p w14:paraId="71B0B8A8">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&gt;4</w:t>
                  </w:r>
                </w:p>
              </w:tc>
              <w:tc>
                <w:tcPr>
                  <w:tcW w:w="434" w:type="pct"/>
                  <w:vAlign w:val="center"/>
                </w:tcPr>
                <w:p w14:paraId="437D9844">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530</w:t>
                  </w:r>
                </w:p>
              </w:tc>
              <w:tc>
                <w:tcPr>
                  <w:tcW w:w="436" w:type="pct"/>
                  <w:vAlign w:val="center"/>
                </w:tcPr>
                <w:p w14:paraId="0C5565E6">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350</w:t>
                  </w:r>
                </w:p>
              </w:tc>
              <w:tc>
                <w:tcPr>
                  <w:tcW w:w="434" w:type="pct"/>
                  <w:vAlign w:val="center"/>
                </w:tcPr>
                <w:p w14:paraId="1C30EF2E">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260</w:t>
                  </w:r>
                </w:p>
              </w:tc>
              <w:tc>
                <w:tcPr>
                  <w:tcW w:w="434" w:type="pct"/>
                  <w:vAlign w:val="center"/>
                </w:tcPr>
                <w:p w14:paraId="52FF953C">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530</w:t>
                  </w:r>
                </w:p>
              </w:tc>
              <w:tc>
                <w:tcPr>
                  <w:tcW w:w="434" w:type="pct"/>
                  <w:vAlign w:val="center"/>
                </w:tcPr>
                <w:p w14:paraId="2201B658">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350</w:t>
                  </w:r>
                </w:p>
              </w:tc>
              <w:tc>
                <w:tcPr>
                  <w:tcW w:w="435" w:type="pct"/>
                  <w:vAlign w:val="center"/>
                </w:tcPr>
                <w:p w14:paraId="173F495C">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260</w:t>
                  </w:r>
                </w:p>
              </w:tc>
              <w:tc>
                <w:tcPr>
                  <w:tcW w:w="434" w:type="pct"/>
                  <w:vAlign w:val="center"/>
                </w:tcPr>
                <w:p w14:paraId="4374E257">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290</w:t>
                  </w:r>
                </w:p>
              </w:tc>
              <w:tc>
                <w:tcPr>
                  <w:tcW w:w="434" w:type="pct"/>
                  <w:vAlign w:val="center"/>
                </w:tcPr>
                <w:p w14:paraId="40BC852D">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190</w:t>
                  </w:r>
                </w:p>
              </w:tc>
              <w:tc>
                <w:tcPr>
                  <w:tcW w:w="420" w:type="pct"/>
                  <w:vAlign w:val="center"/>
                </w:tcPr>
                <w:p w14:paraId="280C8500">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110</w:t>
                  </w:r>
                </w:p>
              </w:tc>
            </w:tr>
            <w:tr w14:paraId="163E1D1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130" w:hRule="atLeast"/>
                <w:jc w:val="center"/>
              </w:trPr>
              <w:tc>
                <w:tcPr>
                  <w:tcW w:w="546" w:type="pct"/>
                  <w:vMerge w:val="restart"/>
                  <w:vAlign w:val="center"/>
                </w:tcPr>
                <w:p w14:paraId="03D6F8F8">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B</w:t>
                  </w:r>
                </w:p>
              </w:tc>
              <w:tc>
                <w:tcPr>
                  <w:tcW w:w="559" w:type="pct"/>
                  <w:vAlign w:val="center"/>
                </w:tcPr>
                <w:p w14:paraId="59EEA7CB">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&lt;2</w:t>
                  </w:r>
                </w:p>
              </w:tc>
              <w:tc>
                <w:tcPr>
                  <w:tcW w:w="1304" w:type="pct"/>
                  <w:gridSpan w:val="3"/>
                  <w:vAlign w:val="center"/>
                </w:tcPr>
                <w:p w14:paraId="231E42BD">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0.01</w:t>
                  </w:r>
                </w:p>
              </w:tc>
              <w:tc>
                <w:tcPr>
                  <w:tcW w:w="1303" w:type="pct"/>
                  <w:gridSpan w:val="3"/>
                  <w:vAlign w:val="center"/>
                </w:tcPr>
                <w:p w14:paraId="2D0BA658">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0.015</w:t>
                  </w:r>
                </w:p>
              </w:tc>
              <w:tc>
                <w:tcPr>
                  <w:tcW w:w="1288" w:type="pct"/>
                  <w:gridSpan w:val="3"/>
                  <w:vAlign w:val="center"/>
                </w:tcPr>
                <w:p w14:paraId="5F8732F0">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0.015</w:t>
                  </w:r>
                </w:p>
              </w:tc>
            </w:tr>
            <w:tr w14:paraId="409ADF2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46" w:type="pct"/>
                  <w:vMerge w:val="continue"/>
                  <w:vAlign w:val="center"/>
                </w:tcPr>
                <w:p w14:paraId="55700505">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p>
              </w:tc>
              <w:tc>
                <w:tcPr>
                  <w:tcW w:w="559" w:type="pct"/>
                  <w:vAlign w:val="center"/>
                </w:tcPr>
                <w:p w14:paraId="52B36B1F">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&gt;2</w:t>
                  </w:r>
                </w:p>
              </w:tc>
              <w:tc>
                <w:tcPr>
                  <w:tcW w:w="1304" w:type="pct"/>
                  <w:gridSpan w:val="3"/>
                  <w:vAlign w:val="center"/>
                </w:tcPr>
                <w:p w14:paraId="1990D26E">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0.021*</w:t>
                  </w:r>
                </w:p>
              </w:tc>
              <w:tc>
                <w:tcPr>
                  <w:tcW w:w="1303" w:type="pct"/>
                  <w:gridSpan w:val="3"/>
                  <w:vAlign w:val="center"/>
                </w:tcPr>
                <w:p w14:paraId="106FC9A3">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0.036</w:t>
                  </w:r>
                </w:p>
              </w:tc>
              <w:tc>
                <w:tcPr>
                  <w:tcW w:w="1288" w:type="pct"/>
                  <w:gridSpan w:val="3"/>
                  <w:vAlign w:val="center"/>
                </w:tcPr>
                <w:p w14:paraId="7D9FA0E7">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0.036</w:t>
                  </w:r>
                </w:p>
              </w:tc>
            </w:tr>
            <w:tr w14:paraId="2AFA995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268" w:hRule="atLeast"/>
                <w:jc w:val="center"/>
              </w:trPr>
              <w:tc>
                <w:tcPr>
                  <w:tcW w:w="546" w:type="pct"/>
                  <w:vMerge w:val="restart"/>
                  <w:vAlign w:val="center"/>
                </w:tcPr>
                <w:p w14:paraId="39436E6A">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C</w:t>
                  </w:r>
                </w:p>
              </w:tc>
              <w:tc>
                <w:tcPr>
                  <w:tcW w:w="559" w:type="pct"/>
                  <w:vAlign w:val="center"/>
                </w:tcPr>
                <w:p w14:paraId="25B14FE6">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&lt;2</w:t>
                  </w:r>
                </w:p>
              </w:tc>
              <w:tc>
                <w:tcPr>
                  <w:tcW w:w="1304" w:type="pct"/>
                  <w:gridSpan w:val="3"/>
                  <w:vAlign w:val="center"/>
                </w:tcPr>
                <w:p w14:paraId="0812E8CC">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1.85</w:t>
                  </w:r>
                </w:p>
              </w:tc>
              <w:tc>
                <w:tcPr>
                  <w:tcW w:w="1303" w:type="pct"/>
                  <w:gridSpan w:val="3"/>
                  <w:vAlign w:val="center"/>
                </w:tcPr>
                <w:p w14:paraId="625CDF78">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1.79</w:t>
                  </w:r>
                </w:p>
              </w:tc>
              <w:tc>
                <w:tcPr>
                  <w:tcW w:w="1288" w:type="pct"/>
                  <w:gridSpan w:val="3"/>
                  <w:vAlign w:val="center"/>
                </w:tcPr>
                <w:p w14:paraId="5E74D031">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1.79</w:t>
                  </w:r>
                </w:p>
              </w:tc>
            </w:tr>
            <w:tr w14:paraId="0AD1402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180" w:hRule="atLeast"/>
                <w:jc w:val="center"/>
              </w:trPr>
              <w:tc>
                <w:tcPr>
                  <w:tcW w:w="546" w:type="pct"/>
                  <w:vMerge w:val="continue"/>
                  <w:vAlign w:val="center"/>
                </w:tcPr>
                <w:p w14:paraId="64069DF4">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p>
              </w:tc>
              <w:tc>
                <w:tcPr>
                  <w:tcW w:w="559" w:type="pct"/>
                  <w:vAlign w:val="center"/>
                </w:tcPr>
                <w:p w14:paraId="783936E9">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&gt;2</w:t>
                  </w:r>
                </w:p>
              </w:tc>
              <w:tc>
                <w:tcPr>
                  <w:tcW w:w="1304" w:type="pct"/>
                  <w:gridSpan w:val="3"/>
                  <w:vAlign w:val="center"/>
                </w:tcPr>
                <w:p w14:paraId="7CC57833">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1.85*</w:t>
                  </w:r>
                </w:p>
              </w:tc>
              <w:tc>
                <w:tcPr>
                  <w:tcW w:w="1303" w:type="pct"/>
                  <w:gridSpan w:val="3"/>
                  <w:vAlign w:val="center"/>
                </w:tcPr>
                <w:p w14:paraId="747BEB69">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1.77</w:t>
                  </w:r>
                </w:p>
              </w:tc>
              <w:tc>
                <w:tcPr>
                  <w:tcW w:w="1288" w:type="pct"/>
                  <w:gridSpan w:val="3"/>
                  <w:vAlign w:val="center"/>
                </w:tcPr>
                <w:p w14:paraId="5640F2B4">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1.77</w:t>
                  </w:r>
                </w:p>
              </w:tc>
            </w:tr>
            <w:tr w14:paraId="79B7C90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46" w:type="pct"/>
                  <w:vMerge w:val="restart"/>
                  <w:vAlign w:val="center"/>
                </w:tcPr>
                <w:p w14:paraId="4509BB34">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D</w:t>
                  </w:r>
                </w:p>
              </w:tc>
              <w:tc>
                <w:tcPr>
                  <w:tcW w:w="559" w:type="pct"/>
                  <w:vAlign w:val="center"/>
                </w:tcPr>
                <w:p w14:paraId="3A8FB113">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&lt;2</w:t>
                  </w:r>
                </w:p>
              </w:tc>
              <w:tc>
                <w:tcPr>
                  <w:tcW w:w="1304" w:type="pct"/>
                  <w:gridSpan w:val="3"/>
                  <w:vAlign w:val="center"/>
                </w:tcPr>
                <w:p w14:paraId="58986D12">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0.78</w:t>
                  </w:r>
                </w:p>
              </w:tc>
              <w:tc>
                <w:tcPr>
                  <w:tcW w:w="1303" w:type="pct"/>
                  <w:gridSpan w:val="3"/>
                  <w:vAlign w:val="center"/>
                </w:tcPr>
                <w:p w14:paraId="63721870">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0.78</w:t>
                  </w:r>
                </w:p>
              </w:tc>
              <w:tc>
                <w:tcPr>
                  <w:tcW w:w="1288" w:type="pct"/>
                  <w:gridSpan w:val="3"/>
                  <w:vAlign w:val="center"/>
                </w:tcPr>
                <w:p w14:paraId="12874987">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0.57</w:t>
                  </w:r>
                </w:p>
              </w:tc>
            </w:tr>
            <w:tr w14:paraId="667583D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46" w:type="pct"/>
                  <w:vMerge w:val="continue"/>
                  <w:vAlign w:val="center"/>
                </w:tcPr>
                <w:p w14:paraId="76031169">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p>
              </w:tc>
              <w:tc>
                <w:tcPr>
                  <w:tcW w:w="559" w:type="pct"/>
                  <w:vAlign w:val="center"/>
                </w:tcPr>
                <w:p w14:paraId="5010202C">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&gt;2</w:t>
                  </w:r>
                </w:p>
              </w:tc>
              <w:tc>
                <w:tcPr>
                  <w:tcW w:w="1304" w:type="pct"/>
                  <w:gridSpan w:val="3"/>
                  <w:vAlign w:val="center"/>
                </w:tcPr>
                <w:p w14:paraId="270D10CE">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0.84*</w:t>
                  </w:r>
                </w:p>
              </w:tc>
              <w:tc>
                <w:tcPr>
                  <w:tcW w:w="1303" w:type="pct"/>
                  <w:gridSpan w:val="3"/>
                  <w:vAlign w:val="center"/>
                </w:tcPr>
                <w:p w14:paraId="18B73059">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0.84</w:t>
                  </w:r>
                </w:p>
              </w:tc>
              <w:tc>
                <w:tcPr>
                  <w:tcW w:w="1288" w:type="pct"/>
                  <w:gridSpan w:val="3"/>
                  <w:vAlign w:val="center"/>
                </w:tcPr>
                <w:p w14:paraId="7183AC06">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0.76</w:t>
                  </w:r>
                </w:p>
              </w:tc>
            </w:tr>
            <w:tr w14:paraId="73E3BD9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000" w:type="pct"/>
                  <w:gridSpan w:val="11"/>
                  <w:vAlign w:val="center"/>
                </w:tcPr>
                <w:p w14:paraId="76704CFA">
                  <w:pPr>
                    <w:keepNext w:val="0"/>
                    <w:keepLines w:val="0"/>
                    <w:suppressLineNumbers w:val="0"/>
                    <w:spacing w:before="0" w:beforeAutospacing="0" w:after="0" w:afterAutospacing="0" w:line="240" w:lineRule="auto"/>
                    <w:ind w:left="0" w:right="0" w:firstLine="0" w:firstLineChars="0"/>
                    <w:jc w:val="left"/>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注：Ⅰ类：与无组织排放源共存的排放同种有害气体的排气筒的排放量，大于或等于标准规定的允许排放量的1/3者。</w:t>
                  </w:r>
                </w:p>
                <w:p w14:paraId="116606E0">
                  <w:pPr>
                    <w:keepNext w:val="0"/>
                    <w:keepLines w:val="0"/>
                    <w:suppressLineNumbers w:val="0"/>
                    <w:spacing w:before="0" w:beforeAutospacing="0" w:after="0" w:afterAutospacing="0" w:line="240" w:lineRule="auto"/>
                    <w:ind w:left="0" w:right="0" w:firstLine="0" w:firstLineChars="0"/>
                    <w:jc w:val="left"/>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Ⅱ类：与无组织排放源共存的排放同种有害气体的排气筒的排放量，小于标准规定的允许排放量的1/3，或虽无排放同种大气污染物之排气筒共存，但无组织排放的有害物质的容许浓度指标是按急性反应指标确定者。</w:t>
                  </w:r>
                </w:p>
                <w:p w14:paraId="1306CCE9">
                  <w:pPr>
                    <w:keepNext w:val="0"/>
                    <w:keepLines w:val="0"/>
                    <w:suppressLineNumbers w:val="0"/>
                    <w:spacing w:before="0" w:beforeAutospacing="0" w:after="0" w:afterAutospacing="0" w:line="240" w:lineRule="auto"/>
                    <w:ind w:left="0" w:right="0" w:firstLine="0" w:firstLineChars="0"/>
                    <w:jc w:val="left"/>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Ⅲ类：无排放同种有害物质的排气筒与无组织排放源共存，但无组织排放的有害物质的容许排放是按慢性反应指标确定者。</w:t>
                  </w:r>
                </w:p>
              </w:tc>
            </w:tr>
          </w:tbl>
          <w:p w14:paraId="2153C164">
            <w:pPr>
              <w:keepNext w:val="0"/>
              <w:keepLines w:val="0"/>
              <w:suppressLineNumbers w:val="0"/>
              <w:spacing w:before="0" w:beforeAutospacing="0" w:after="0" w:afterAutospacing="0" w:line="240" w:lineRule="auto"/>
              <w:ind w:left="0" w:right="0" w:firstLine="0" w:firstLineChars="0"/>
              <w:rPr>
                <w:rFonts w:hint="default" w:ascii="Times New Roman" w:hAnsi="Times New Roman" w:eastAsia="宋体" w:cs="Times New Roman"/>
                <w:snapToGrid w:val="0"/>
                <w:color w:val="auto"/>
                <w:sz w:val="18"/>
                <w:szCs w:val="18"/>
              </w:rPr>
            </w:pPr>
            <w:r>
              <w:rPr>
                <w:rFonts w:hint="default" w:ascii="Times New Roman" w:hAnsi="Times New Roman" w:eastAsia="宋体" w:cs="Times New Roman"/>
                <w:snapToGrid w:val="0"/>
                <w:color w:val="auto"/>
                <w:sz w:val="18"/>
                <w:szCs w:val="18"/>
              </w:rPr>
              <w:t>注：*表示</w:t>
            </w:r>
            <w:r>
              <w:rPr>
                <w:rFonts w:hint="default" w:ascii="Times New Roman" w:hAnsi="Times New Roman" w:eastAsia="宋体" w:cs="Times New Roman"/>
                <w:snapToGrid w:val="0"/>
                <w:color w:val="auto"/>
                <w:sz w:val="18"/>
                <w:szCs w:val="18"/>
                <w:lang w:eastAsia="zh-CN"/>
              </w:rPr>
              <w:t>建设项目</w:t>
            </w:r>
            <w:r>
              <w:rPr>
                <w:rFonts w:hint="default" w:ascii="Times New Roman" w:hAnsi="Times New Roman" w:eastAsia="宋体" w:cs="Times New Roman"/>
                <w:snapToGrid w:val="0"/>
                <w:color w:val="auto"/>
                <w:sz w:val="18"/>
                <w:szCs w:val="18"/>
              </w:rPr>
              <w:t>取值。</w:t>
            </w:r>
          </w:p>
          <w:p w14:paraId="2137333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eastAsia="宋体" w:cs="Times New Roman"/>
                <w:b/>
                <w:bCs/>
                <w:color w:val="auto"/>
              </w:rPr>
            </w:pPr>
            <w:r>
              <w:rPr>
                <w:rFonts w:hint="default" w:ascii="Times New Roman" w:hAnsi="Times New Roman" w:eastAsia="宋体" w:cs="Times New Roman"/>
                <w:color w:val="auto"/>
                <w:lang w:val="en-US" w:eastAsia="zh-CN"/>
              </w:rPr>
              <w:t>建设项目</w:t>
            </w:r>
            <w:r>
              <w:rPr>
                <w:rFonts w:hint="default" w:ascii="Times New Roman" w:hAnsi="Times New Roman" w:eastAsia="宋体" w:cs="Times New Roman"/>
                <w:color w:val="auto"/>
              </w:rPr>
              <w:t>卫生防护距离计算结果见下表</w:t>
            </w:r>
            <w:r>
              <w:rPr>
                <w:rFonts w:hint="eastAsia" w:cs="Times New Roman"/>
                <w:color w:val="auto"/>
                <w:lang w:val="en-US" w:eastAsia="zh-CN"/>
              </w:rPr>
              <w:t>4.1-11</w:t>
            </w:r>
            <w:r>
              <w:rPr>
                <w:rFonts w:hint="default" w:ascii="Times New Roman" w:hAnsi="Times New Roman" w:eastAsia="宋体" w:cs="Times New Roman"/>
                <w:color w:val="auto"/>
              </w:rPr>
              <w:t>。</w:t>
            </w:r>
          </w:p>
          <w:p w14:paraId="22FE3100">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rPr>
            </w:pPr>
            <w:r>
              <w:rPr>
                <w:rFonts w:hint="default" w:ascii="Times New Roman" w:hAnsi="Times New Roman" w:eastAsia="宋体" w:cs="Times New Roman"/>
                <w:b/>
                <w:bCs/>
                <w:color w:val="auto"/>
              </w:rPr>
              <w:t>表4.1-</w:t>
            </w:r>
            <w:r>
              <w:rPr>
                <w:rFonts w:hint="eastAsia" w:ascii="Times New Roman" w:hAnsi="Times New Roman" w:eastAsia="宋体" w:cs="Times New Roman"/>
                <w:b/>
                <w:bCs/>
                <w:color w:val="auto"/>
                <w:lang w:val="en-US" w:eastAsia="zh-CN"/>
              </w:rPr>
              <w:t>11</w:t>
            </w:r>
            <w:r>
              <w:rPr>
                <w:rFonts w:hint="default" w:ascii="Times New Roman" w:hAnsi="Times New Roman" w:eastAsia="宋体" w:cs="Times New Roman"/>
                <w:b/>
                <w:bCs/>
                <w:color w:val="auto"/>
                <w:lang w:val="en-US" w:eastAsia="zh-CN"/>
              </w:rPr>
              <w:t xml:space="preserve"> 建设项目</w:t>
            </w:r>
            <w:r>
              <w:rPr>
                <w:rFonts w:hint="default" w:ascii="Times New Roman" w:hAnsi="Times New Roman" w:eastAsia="宋体" w:cs="Times New Roman"/>
                <w:b/>
                <w:bCs/>
                <w:color w:val="auto"/>
              </w:rPr>
              <w:t>卫生防护距离计算结果</w:t>
            </w:r>
          </w:p>
          <w:tbl>
            <w:tblPr>
              <w:tblStyle w:val="27"/>
              <w:tblW w:w="503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28" w:type="dxa"/>
                <w:bottom w:w="0" w:type="dxa"/>
                <w:right w:w="28" w:type="dxa"/>
              </w:tblCellMar>
            </w:tblPr>
            <w:tblGrid>
              <w:gridCol w:w="886"/>
              <w:gridCol w:w="1051"/>
              <w:gridCol w:w="900"/>
              <w:gridCol w:w="1020"/>
              <w:gridCol w:w="1230"/>
              <w:gridCol w:w="1269"/>
              <w:gridCol w:w="1777"/>
            </w:tblGrid>
            <w:tr w14:paraId="3A1EE6C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47" w:hRule="atLeast"/>
              </w:trPr>
              <w:tc>
                <w:tcPr>
                  <w:tcW w:w="1191" w:type="pct"/>
                  <w:gridSpan w:val="2"/>
                  <w:vMerge w:val="restart"/>
                  <w:vAlign w:val="center"/>
                </w:tcPr>
                <w:p w14:paraId="7193942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污染物</w:t>
                  </w:r>
                </w:p>
              </w:tc>
              <w:tc>
                <w:tcPr>
                  <w:tcW w:w="553" w:type="pct"/>
                  <w:vMerge w:val="restart"/>
                  <w:vAlign w:val="center"/>
                </w:tcPr>
                <w:p w14:paraId="176ECBD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源强Q</w:t>
                  </w:r>
                  <w:r>
                    <w:rPr>
                      <w:rFonts w:hint="default" w:ascii="Times New Roman" w:hAnsi="Times New Roman" w:eastAsia="宋体" w:cs="Times New Roman"/>
                      <w:b/>
                      <w:bCs/>
                      <w:color w:val="auto"/>
                      <w:sz w:val="18"/>
                      <w:szCs w:val="18"/>
                      <w:vertAlign w:val="subscript"/>
                    </w:rPr>
                    <w:t>c</w:t>
                  </w:r>
                  <w:r>
                    <w:rPr>
                      <w:rFonts w:hint="default" w:ascii="Times New Roman" w:hAnsi="Times New Roman" w:eastAsia="宋体" w:cs="Times New Roman"/>
                      <w:b/>
                      <w:bCs/>
                      <w:color w:val="auto"/>
                      <w:sz w:val="18"/>
                      <w:szCs w:val="18"/>
                    </w:rPr>
                    <w:t>（kg/h）</w:t>
                  </w:r>
                </w:p>
              </w:tc>
              <w:tc>
                <w:tcPr>
                  <w:tcW w:w="627" w:type="pct"/>
                  <w:vMerge w:val="restart"/>
                  <w:vAlign w:val="center"/>
                </w:tcPr>
                <w:p w14:paraId="217560B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排放源面积</w:t>
                  </w:r>
                </w:p>
                <w:p w14:paraId="455970E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（m</w:t>
                  </w:r>
                  <w:r>
                    <w:rPr>
                      <w:rFonts w:hint="default" w:ascii="Times New Roman" w:hAnsi="Times New Roman" w:eastAsia="宋体" w:cs="Times New Roman"/>
                      <w:b/>
                      <w:bCs/>
                      <w:color w:val="auto"/>
                      <w:sz w:val="18"/>
                      <w:szCs w:val="18"/>
                      <w:vertAlign w:val="superscript"/>
                    </w:rPr>
                    <w:t>2</w:t>
                  </w:r>
                  <w:r>
                    <w:rPr>
                      <w:rFonts w:hint="default" w:ascii="Times New Roman" w:hAnsi="Times New Roman" w:eastAsia="宋体" w:cs="Times New Roman"/>
                      <w:b/>
                      <w:bCs/>
                      <w:color w:val="auto"/>
                      <w:sz w:val="18"/>
                      <w:szCs w:val="18"/>
                    </w:rPr>
                    <w:t>）</w:t>
                  </w:r>
                </w:p>
              </w:tc>
              <w:tc>
                <w:tcPr>
                  <w:tcW w:w="756" w:type="pct"/>
                  <w:vMerge w:val="restart"/>
                  <w:vAlign w:val="center"/>
                </w:tcPr>
                <w:p w14:paraId="3CD0B17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标准限值C</w:t>
                  </w:r>
                  <w:r>
                    <w:rPr>
                      <w:rFonts w:hint="default" w:ascii="Times New Roman" w:hAnsi="Times New Roman" w:eastAsia="宋体" w:cs="Times New Roman"/>
                      <w:b/>
                      <w:bCs/>
                      <w:color w:val="auto"/>
                      <w:sz w:val="18"/>
                      <w:szCs w:val="18"/>
                      <w:vertAlign w:val="subscript"/>
                    </w:rPr>
                    <w:t>m</w:t>
                  </w:r>
                </w:p>
                <w:p w14:paraId="77DB953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（mg/Nm</w:t>
                  </w:r>
                  <w:r>
                    <w:rPr>
                      <w:rFonts w:hint="default" w:ascii="Times New Roman" w:hAnsi="Times New Roman" w:eastAsia="宋体" w:cs="Times New Roman"/>
                      <w:b/>
                      <w:bCs/>
                      <w:color w:val="auto"/>
                      <w:sz w:val="18"/>
                      <w:szCs w:val="18"/>
                      <w:vertAlign w:val="superscript"/>
                    </w:rPr>
                    <w:t>3</w:t>
                  </w:r>
                  <w:r>
                    <w:rPr>
                      <w:rFonts w:hint="default" w:ascii="Times New Roman" w:hAnsi="Times New Roman" w:eastAsia="宋体" w:cs="Times New Roman"/>
                      <w:b/>
                      <w:bCs/>
                      <w:color w:val="auto"/>
                      <w:sz w:val="18"/>
                      <w:szCs w:val="18"/>
                    </w:rPr>
                    <w:t>）</w:t>
                  </w:r>
                </w:p>
              </w:tc>
              <w:tc>
                <w:tcPr>
                  <w:tcW w:w="1872" w:type="pct"/>
                  <w:gridSpan w:val="2"/>
                  <w:vAlign w:val="center"/>
                </w:tcPr>
                <w:p w14:paraId="13643C0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卫生防护距离L（m）</w:t>
                  </w:r>
                </w:p>
              </w:tc>
            </w:tr>
            <w:tr w14:paraId="70329B9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273" w:hRule="atLeast"/>
              </w:trPr>
              <w:tc>
                <w:tcPr>
                  <w:tcW w:w="1191" w:type="pct"/>
                  <w:gridSpan w:val="2"/>
                  <w:vMerge w:val="continue"/>
                  <w:vAlign w:val="center"/>
                </w:tcPr>
                <w:p w14:paraId="2F67F2E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c>
                <w:tcPr>
                  <w:tcW w:w="553" w:type="pct"/>
                  <w:vMerge w:val="continue"/>
                  <w:vAlign w:val="center"/>
                </w:tcPr>
                <w:p w14:paraId="5011D59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c>
                <w:tcPr>
                  <w:tcW w:w="627" w:type="pct"/>
                  <w:vMerge w:val="continue"/>
                  <w:vAlign w:val="center"/>
                </w:tcPr>
                <w:p w14:paraId="60A372B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c>
                <w:tcPr>
                  <w:tcW w:w="756" w:type="pct"/>
                  <w:vMerge w:val="continue"/>
                  <w:vAlign w:val="center"/>
                </w:tcPr>
                <w:p w14:paraId="14D05A9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c>
                <w:tcPr>
                  <w:tcW w:w="780" w:type="pct"/>
                  <w:vAlign w:val="center"/>
                </w:tcPr>
                <w:p w14:paraId="146F0E0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计算值</w:t>
                  </w:r>
                </w:p>
              </w:tc>
              <w:tc>
                <w:tcPr>
                  <w:tcW w:w="1091" w:type="pct"/>
                  <w:vAlign w:val="center"/>
                </w:tcPr>
                <w:p w14:paraId="11F4C25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取值</w:t>
                  </w:r>
                </w:p>
              </w:tc>
            </w:tr>
            <w:tr w14:paraId="6166A88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00" w:hRule="atLeast"/>
              </w:trPr>
              <w:tc>
                <w:tcPr>
                  <w:tcW w:w="545" w:type="pct"/>
                  <w:vAlign w:val="center"/>
                </w:tcPr>
                <w:p w14:paraId="4B7575BA">
                  <w:pPr>
                    <w:keepNext w:val="0"/>
                    <w:keepLines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olor w:val="auto"/>
                      <w:sz w:val="18"/>
                      <w:szCs w:val="18"/>
                      <w:lang w:val="en-US" w:eastAsia="zh-CN"/>
                    </w:rPr>
                  </w:pPr>
                  <w:r>
                    <w:rPr>
                      <w:rFonts w:hint="eastAsia" w:cs="Times New Roman"/>
                      <w:color w:val="auto"/>
                      <w:kern w:val="0"/>
                      <w:sz w:val="18"/>
                      <w:szCs w:val="18"/>
                      <w:lang w:val="en-US" w:eastAsia="zh-CN"/>
                    </w:rPr>
                    <w:t>生产厂房</w:t>
                  </w:r>
                </w:p>
              </w:tc>
              <w:tc>
                <w:tcPr>
                  <w:tcW w:w="646" w:type="pct"/>
                  <w:vAlign w:val="center"/>
                </w:tcPr>
                <w:p w14:paraId="306D281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lang w:val="en-US" w:eastAsia="zh-CN"/>
                    </w:rPr>
                    <w:t>颗粒物</w:t>
                  </w:r>
                </w:p>
              </w:tc>
              <w:tc>
                <w:tcPr>
                  <w:tcW w:w="553" w:type="pct"/>
                  <w:vAlign w:val="center"/>
                </w:tcPr>
                <w:p w14:paraId="5491CB6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kern w:val="0"/>
                      <w:sz w:val="18"/>
                      <w:szCs w:val="18"/>
                      <w:lang w:val="en-US" w:eastAsia="zh-CN" w:bidi="ar"/>
                    </w:rPr>
                    <w:t>0.0</w:t>
                  </w:r>
                  <w:r>
                    <w:rPr>
                      <w:rFonts w:hint="eastAsia" w:cs="Times New Roman"/>
                      <w:color w:val="auto"/>
                      <w:kern w:val="0"/>
                      <w:sz w:val="18"/>
                      <w:szCs w:val="18"/>
                      <w:lang w:val="en-US" w:eastAsia="zh-CN" w:bidi="ar"/>
                    </w:rPr>
                    <w:t>17</w:t>
                  </w:r>
                </w:p>
              </w:tc>
              <w:tc>
                <w:tcPr>
                  <w:tcW w:w="627" w:type="pct"/>
                  <w:vAlign w:val="center"/>
                </w:tcPr>
                <w:p w14:paraId="398BF9E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val="0"/>
                      <w:color w:val="auto"/>
                      <w:sz w:val="18"/>
                      <w:szCs w:val="18"/>
                      <w:lang w:val="en-US" w:eastAsia="zh-CN"/>
                    </w:rPr>
                  </w:pPr>
                  <w:r>
                    <w:rPr>
                      <w:rFonts w:hint="eastAsia" w:cs="Times New Roman"/>
                      <w:bCs w:val="0"/>
                      <w:color w:val="auto"/>
                      <w:sz w:val="18"/>
                      <w:szCs w:val="18"/>
                      <w:lang w:val="en-US" w:eastAsia="zh-CN"/>
                    </w:rPr>
                    <w:t>1400</w:t>
                  </w:r>
                </w:p>
              </w:tc>
              <w:tc>
                <w:tcPr>
                  <w:tcW w:w="756" w:type="pct"/>
                  <w:vAlign w:val="center"/>
                </w:tcPr>
                <w:p w14:paraId="190AEB7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val="0"/>
                      <w:color w:val="auto"/>
                      <w:sz w:val="18"/>
                      <w:szCs w:val="18"/>
                      <w:lang w:val="en-US" w:eastAsia="zh-CN"/>
                    </w:rPr>
                  </w:pPr>
                  <w:r>
                    <w:rPr>
                      <w:rFonts w:hint="default" w:ascii="Times New Roman" w:hAnsi="Times New Roman" w:eastAsia="宋体" w:cs="Times New Roman"/>
                      <w:bCs w:val="0"/>
                      <w:color w:val="auto"/>
                      <w:sz w:val="18"/>
                      <w:szCs w:val="18"/>
                      <w:lang w:val="en-US" w:eastAsia="zh-CN"/>
                    </w:rPr>
                    <w:t>0.9</w:t>
                  </w:r>
                </w:p>
              </w:tc>
              <w:tc>
                <w:tcPr>
                  <w:tcW w:w="780" w:type="pct"/>
                  <w:vAlign w:val="center"/>
                </w:tcPr>
                <w:p w14:paraId="4C4B1ED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val="0"/>
                      <w:color w:val="auto"/>
                      <w:sz w:val="18"/>
                      <w:szCs w:val="18"/>
                      <w:lang w:val="en-US" w:eastAsia="zh-CN"/>
                    </w:rPr>
                  </w:pPr>
                  <w:r>
                    <w:rPr>
                      <w:rFonts w:hint="eastAsia" w:cs="Times New Roman"/>
                      <w:bCs w:val="0"/>
                      <w:color w:val="auto"/>
                      <w:sz w:val="18"/>
                      <w:szCs w:val="18"/>
                      <w:lang w:val="en-US" w:eastAsia="zh-CN"/>
                    </w:rPr>
                    <w:t>1.307</w:t>
                  </w:r>
                </w:p>
              </w:tc>
              <w:tc>
                <w:tcPr>
                  <w:tcW w:w="1091" w:type="pct"/>
                  <w:vAlign w:val="center"/>
                </w:tcPr>
                <w:p w14:paraId="2435187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val="0"/>
                      <w:color w:val="auto"/>
                      <w:sz w:val="18"/>
                      <w:szCs w:val="18"/>
                      <w:lang w:val="en-US" w:eastAsia="zh-CN"/>
                    </w:rPr>
                  </w:pPr>
                  <w:r>
                    <w:rPr>
                      <w:rFonts w:hint="default" w:ascii="Times New Roman" w:hAnsi="Times New Roman" w:eastAsia="宋体" w:cs="Times New Roman"/>
                      <w:bCs w:val="0"/>
                      <w:color w:val="auto"/>
                      <w:sz w:val="18"/>
                      <w:szCs w:val="18"/>
                      <w:lang w:val="en-US" w:eastAsia="zh-CN"/>
                    </w:rPr>
                    <w:t>50</w:t>
                  </w:r>
                </w:p>
              </w:tc>
            </w:tr>
          </w:tbl>
          <w:p w14:paraId="3D84898C">
            <w:pPr>
              <w:keepNext w:val="0"/>
              <w:keepLines w:val="0"/>
              <w:suppressLineNumbers w:val="0"/>
              <w:spacing w:before="0" w:beforeAutospacing="0" w:after="0" w:afterAutospacing="0"/>
              <w:ind w:left="0" w:right="0"/>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rPr>
              <w:t>根据卫生防护距离的计算结</w:t>
            </w:r>
            <w:r>
              <w:rPr>
                <w:rFonts w:hint="default" w:ascii="Times New Roman" w:hAnsi="Times New Roman" w:eastAsia="宋体" w:cs="Times New Roman"/>
                <w:color w:val="auto"/>
                <w:lang w:eastAsia="zh-CN"/>
              </w:rPr>
              <w:t>果</w:t>
            </w:r>
            <w:r>
              <w:rPr>
                <w:rFonts w:hint="default" w:ascii="Times New Roman" w:hAnsi="Times New Roman" w:eastAsia="宋体" w:cs="Times New Roman"/>
                <w:color w:val="auto"/>
              </w:rPr>
              <w:t>，</w:t>
            </w:r>
            <w:r>
              <w:rPr>
                <w:rFonts w:hint="default" w:ascii="Times New Roman" w:hAnsi="Times New Roman" w:eastAsia="宋体" w:cs="Times New Roman"/>
                <w:color w:val="auto"/>
                <w:lang w:val="en-US" w:eastAsia="zh-CN"/>
              </w:rPr>
              <w:t>建设单位应以</w:t>
            </w:r>
            <w:r>
              <w:rPr>
                <w:rFonts w:hint="eastAsia" w:cs="Times New Roman"/>
                <w:color w:val="auto"/>
                <w:lang w:val="en-US" w:eastAsia="zh-CN"/>
              </w:rPr>
              <w:t>生产</w:t>
            </w:r>
            <w:r>
              <w:rPr>
                <w:rFonts w:hint="default" w:ascii="Times New Roman" w:hAnsi="Times New Roman" w:eastAsia="宋体" w:cs="Times New Roman"/>
                <w:color w:val="auto"/>
                <w:lang w:val="en-US" w:eastAsia="zh-CN"/>
              </w:rPr>
              <w:t>厂房边界为起点</w:t>
            </w:r>
            <w:r>
              <w:rPr>
                <w:rFonts w:hint="default" w:ascii="Times New Roman" w:hAnsi="Times New Roman" w:eastAsia="宋体" w:cs="Times New Roman"/>
                <w:color w:val="auto"/>
              </w:rPr>
              <w:t>设置</w:t>
            </w:r>
            <w:r>
              <w:rPr>
                <w:rFonts w:hint="default" w:ascii="Times New Roman" w:hAnsi="Times New Roman" w:eastAsia="宋体" w:cs="Times New Roman"/>
                <w:color w:val="auto"/>
                <w:lang w:val="en-US" w:eastAsia="zh-CN"/>
              </w:rPr>
              <w:t>50</w:t>
            </w:r>
            <w:r>
              <w:rPr>
                <w:rFonts w:hint="default" w:ascii="Times New Roman" w:hAnsi="Times New Roman" w:eastAsia="宋体" w:cs="Times New Roman"/>
                <w:color w:val="auto"/>
              </w:rPr>
              <w:t>m卫生防护距离</w:t>
            </w:r>
            <w:r>
              <w:rPr>
                <w:rFonts w:hint="default" w:ascii="Times New Roman" w:hAnsi="Times New Roman" w:eastAsia="宋体" w:cs="Times New Roman"/>
                <w:color w:val="auto"/>
                <w:lang w:val="en-US" w:eastAsia="zh-CN"/>
              </w:rPr>
              <w:t>。</w:t>
            </w:r>
            <w:r>
              <w:rPr>
                <w:rFonts w:hint="default" w:ascii="Times New Roman" w:hAnsi="Times New Roman" w:eastAsia="宋体" w:cs="Times New Roman"/>
                <w:color w:val="auto"/>
              </w:rPr>
              <w:t>经调查，项目卫生防护距离内无环境保护目标，项目选址符合卫生防护距离的设定要求，项目建成后，该范围内</w:t>
            </w:r>
            <w:r>
              <w:rPr>
                <w:rFonts w:hint="default" w:ascii="Times New Roman" w:hAnsi="Times New Roman" w:eastAsia="宋体" w:cs="Times New Roman"/>
                <w:color w:val="auto"/>
                <w:lang w:val="en-US" w:eastAsia="zh-CN"/>
              </w:rPr>
              <w:t>亦</w:t>
            </w:r>
            <w:r>
              <w:rPr>
                <w:rFonts w:hint="default" w:ascii="Times New Roman" w:hAnsi="Times New Roman" w:eastAsia="宋体" w:cs="Times New Roman"/>
                <w:color w:val="auto"/>
              </w:rPr>
              <w:t>不得新建居民</w:t>
            </w:r>
            <w:r>
              <w:rPr>
                <w:rFonts w:hint="default" w:ascii="Times New Roman" w:hAnsi="Times New Roman" w:eastAsia="宋体" w:cs="Times New Roman"/>
                <w:color w:val="auto"/>
                <w:lang w:val="en-US" w:eastAsia="zh-CN"/>
              </w:rPr>
              <w:t>区、学校、医院</w:t>
            </w:r>
            <w:r>
              <w:rPr>
                <w:rFonts w:hint="default" w:ascii="Times New Roman" w:hAnsi="Times New Roman" w:eastAsia="宋体" w:cs="Times New Roman"/>
                <w:color w:val="auto"/>
              </w:rPr>
              <w:t>等环境敏感目标</w:t>
            </w:r>
            <w:r>
              <w:rPr>
                <w:rFonts w:hint="default" w:ascii="Times New Roman" w:hAnsi="Times New Roman" w:eastAsia="宋体" w:cs="Times New Roman"/>
                <w:color w:val="auto"/>
                <w:lang w:val="en-US" w:eastAsia="zh-CN"/>
              </w:rPr>
              <w:t>。</w:t>
            </w:r>
          </w:p>
          <w:p w14:paraId="4E08EF23">
            <w:pPr>
              <w:keepNext w:val="0"/>
              <w:keepLines w:val="0"/>
              <w:suppressLineNumbers w:val="0"/>
              <w:spacing w:before="0" w:beforeAutospacing="0" w:after="0" w:afterAutospacing="0"/>
              <w:ind w:left="0" w:right="0"/>
              <w:rPr>
                <w:rFonts w:hint="default" w:ascii="Times New Roman" w:hAnsi="Times New Roman" w:eastAsia="宋体" w:cs="Times New Roman"/>
                <w:color w:val="auto"/>
              </w:rPr>
            </w:pPr>
            <w:r>
              <w:rPr>
                <w:rFonts w:hint="default" w:ascii="Times New Roman" w:hAnsi="Times New Roman" w:eastAsia="宋体" w:cs="Times New Roman"/>
                <w:color w:val="auto"/>
              </w:rPr>
              <w:t>（2）结论</w:t>
            </w:r>
          </w:p>
          <w:p w14:paraId="0616F11B">
            <w:pPr>
              <w:keepNext w:val="0"/>
              <w:keepLines w:val="0"/>
              <w:suppressLineNumbers w:val="0"/>
              <w:spacing w:before="0" w:beforeAutospacing="0" w:after="0" w:afterAutospacing="0"/>
              <w:ind w:left="0" w:right="0"/>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rPr>
              <w:t>综上所述，</w:t>
            </w:r>
            <w:r>
              <w:rPr>
                <w:rFonts w:hint="eastAsia" w:cs="Times New Roman"/>
                <w:color w:val="auto"/>
                <w:lang w:val="en-US" w:eastAsia="zh-CN"/>
              </w:rPr>
              <w:t>拟建</w:t>
            </w:r>
            <w:r>
              <w:rPr>
                <w:rFonts w:hint="default" w:ascii="Times New Roman" w:hAnsi="Times New Roman" w:eastAsia="宋体" w:cs="Times New Roman"/>
                <w:color w:val="auto"/>
                <w:lang w:val="en-US" w:eastAsia="zh-CN"/>
              </w:rPr>
              <w:t>项目</w:t>
            </w:r>
            <w:r>
              <w:rPr>
                <w:rFonts w:hint="default" w:ascii="Times New Roman" w:hAnsi="Times New Roman" w:eastAsia="宋体" w:cs="Times New Roman"/>
                <w:color w:val="auto"/>
              </w:rPr>
              <w:t>按照“应收尽收、分质收集”的原则，采用成熟稳定的治理措施处理，废气经处理后可达标排放，采取的废气防治措施可行。废气污染物收集后，经废气处理设施处理后高空</w:t>
            </w:r>
            <w:r>
              <w:rPr>
                <w:rFonts w:hint="eastAsia" w:cs="Times New Roman"/>
                <w:color w:val="auto"/>
                <w:lang w:eastAsia="zh-CN"/>
              </w:rPr>
              <w:t>达标</w:t>
            </w:r>
            <w:r>
              <w:rPr>
                <w:rFonts w:hint="default" w:ascii="Times New Roman" w:hAnsi="Times New Roman" w:eastAsia="宋体" w:cs="Times New Roman"/>
                <w:color w:val="auto"/>
              </w:rPr>
              <w:t>排放，未被收集的无组织废气排放量较小，经大气稀释扩散后对大气环境影响较小，周围环境空气质量可维持现状。同时</w:t>
            </w:r>
            <w:r>
              <w:rPr>
                <w:rFonts w:hint="eastAsia" w:cs="Times New Roman"/>
                <w:color w:val="auto"/>
                <w:lang w:val="en-US" w:eastAsia="zh-CN"/>
              </w:rPr>
              <w:t>拟建项目</w:t>
            </w:r>
            <w:r>
              <w:rPr>
                <w:rFonts w:hint="default" w:ascii="Times New Roman" w:hAnsi="Times New Roman" w:eastAsia="宋体" w:cs="Times New Roman"/>
                <w:color w:val="auto"/>
                <w:lang w:val="en-US" w:eastAsia="zh-CN"/>
              </w:rPr>
              <w:t>以</w:t>
            </w:r>
            <w:r>
              <w:rPr>
                <w:rFonts w:hint="eastAsia" w:cs="Times New Roman"/>
                <w:color w:val="auto"/>
                <w:lang w:val="en-US" w:eastAsia="zh-CN"/>
              </w:rPr>
              <w:t>生产厂房</w:t>
            </w:r>
            <w:r>
              <w:rPr>
                <w:rFonts w:hint="default" w:ascii="Times New Roman" w:hAnsi="Times New Roman" w:eastAsia="宋体" w:cs="Times New Roman"/>
                <w:color w:val="auto"/>
                <w:lang w:val="en-US" w:eastAsia="zh-CN"/>
              </w:rPr>
              <w:t>边界为起点</w:t>
            </w:r>
            <w:r>
              <w:rPr>
                <w:rFonts w:hint="default" w:ascii="Times New Roman" w:hAnsi="Times New Roman" w:eastAsia="宋体" w:cs="Times New Roman"/>
                <w:color w:val="auto"/>
              </w:rPr>
              <w:t>设置</w:t>
            </w:r>
            <w:r>
              <w:rPr>
                <w:rFonts w:hint="default" w:ascii="Times New Roman" w:hAnsi="Times New Roman" w:eastAsia="宋体" w:cs="Times New Roman"/>
                <w:color w:val="auto"/>
                <w:lang w:val="en-US" w:eastAsia="zh-CN"/>
              </w:rPr>
              <w:t>50</w:t>
            </w:r>
            <w:r>
              <w:rPr>
                <w:rFonts w:hint="default" w:ascii="Times New Roman" w:hAnsi="Times New Roman" w:eastAsia="宋体" w:cs="Times New Roman"/>
                <w:color w:val="auto"/>
              </w:rPr>
              <w:t>m卫生防护距离，卫生防护距离内无</w:t>
            </w:r>
            <w:r>
              <w:rPr>
                <w:rFonts w:hint="default" w:ascii="Times New Roman" w:hAnsi="Times New Roman" w:eastAsia="宋体" w:cs="Times New Roman"/>
                <w:color w:val="auto"/>
                <w:lang w:val="en-US" w:eastAsia="zh-CN"/>
              </w:rPr>
              <w:t>居民区、学校等环境</w:t>
            </w:r>
            <w:r>
              <w:rPr>
                <w:rFonts w:hint="default" w:ascii="Times New Roman" w:hAnsi="Times New Roman" w:eastAsia="宋体" w:cs="Times New Roman"/>
                <w:color w:val="auto"/>
              </w:rPr>
              <w:t>敏感目标</w:t>
            </w:r>
            <w:r>
              <w:rPr>
                <w:rFonts w:hint="default" w:ascii="Times New Roman" w:hAnsi="Times New Roman" w:eastAsia="宋体" w:cs="Times New Roman"/>
                <w:color w:val="auto"/>
                <w:lang w:eastAsia="zh-CN"/>
              </w:rPr>
              <w:t>，项目废气的排放对大气环境的影响可接受</w:t>
            </w:r>
            <w:r>
              <w:rPr>
                <w:rFonts w:hint="default" w:ascii="Times New Roman" w:hAnsi="Times New Roman" w:eastAsia="宋体" w:cs="Times New Roman"/>
                <w:color w:val="auto"/>
              </w:rPr>
              <w:t>。</w:t>
            </w:r>
          </w:p>
        </w:tc>
      </w:tr>
    </w:tbl>
    <w:p w14:paraId="39F5032C">
      <w:pPr>
        <w:numPr>
          <w:ilvl w:val="0"/>
          <w:numId w:val="0"/>
        </w:numPr>
        <w:ind w:leftChars="0"/>
        <w:rPr>
          <w:rFonts w:hint="default" w:ascii="Times New Roman" w:hAnsi="Times New Roman" w:eastAsia="宋体" w:cs="Times New Roman"/>
          <w:color w:val="auto"/>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7"/>
        <w:gridCol w:w="13717"/>
      </w:tblGrid>
      <w:tr w14:paraId="65CE6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48" w:type="dxa"/>
            <w:vAlign w:val="center"/>
          </w:tcPr>
          <w:p w14:paraId="703D027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vertAlign w:val="baseline"/>
                <w:lang w:val="en-US" w:eastAsia="zh-CN"/>
              </w:rPr>
            </w:pPr>
            <w:r>
              <w:rPr>
                <w:rFonts w:hint="default" w:ascii="Times New Roman" w:hAnsi="Times New Roman" w:eastAsia="宋体" w:cs="Times New Roman"/>
                <w:b/>
                <w:bCs/>
                <w:color w:val="auto"/>
                <w:vertAlign w:val="baseline"/>
                <w:lang w:val="en-US" w:eastAsia="zh-CN"/>
              </w:rPr>
              <w:t>运营期环境影响和保护措施</w:t>
            </w:r>
          </w:p>
        </w:tc>
        <w:tc>
          <w:tcPr>
            <w:tcW w:w="13726" w:type="dxa"/>
          </w:tcPr>
          <w:p w14:paraId="77B5023F">
            <w:pPr>
              <w:keepNext w:val="0"/>
              <w:keepLines w:val="0"/>
              <w:numPr>
                <w:ilvl w:val="0"/>
                <w:numId w:val="10"/>
              </w:numPr>
              <w:suppressLineNumbers w:val="0"/>
              <w:bidi w:val="0"/>
              <w:spacing w:before="0" w:beforeAutospacing="0" w:after="0" w:afterAutospacing="0"/>
              <w:ind w:left="0" w:leftChars="0" w:right="0" w:firstLine="482" w:firstLineChars="200"/>
              <w:rPr>
                <w:rFonts w:hint="default" w:ascii="Times New Roman" w:hAnsi="Times New Roman" w:eastAsia="宋体" w:cs="Times New Roman"/>
                <w:b/>
                <w:bCs/>
                <w:color w:val="auto"/>
                <w:lang w:val="en-US" w:eastAsia="zh-CN"/>
              </w:rPr>
            </w:pPr>
            <w:r>
              <w:rPr>
                <w:rFonts w:hint="default" w:ascii="Times New Roman" w:hAnsi="Times New Roman" w:eastAsia="宋体" w:cs="Times New Roman"/>
                <w:b/>
                <w:bCs/>
                <w:color w:val="auto"/>
                <w:lang w:val="en-US" w:eastAsia="zh-CN"/>
              </w:rPr>
              <w:t>废水</w:t>
            </w:r>
          </w:p>
          <w:p w14:paraId="67EAB349">
            <w:pPr>
              <w:keepNext w:val="0"/>
              <w:keepLines w:val="0"/>
              <w:suppressLineNumbers w:val="0"/>
              <w:spacing w:before="0" w:beforeAutospacing="0" w:after="0" w:afterAutospacing="0"/>
              <w:ind w:left="0" w:right="0"/>
              <w:rPr>
                <w:rFonts w:hint="default"/>
                <w:color w:val="auto"/>
                <w:lang w:val="en-US" w:eastAsia="zh-CN"/>
              </w:rPr>
            </w:pPr>
            <w:r>
              <w:rPr>
                <w:rFonts w:hint="eastAsia"/>
                <w:color w:val="auto"/>
                <w:lang w:val="en-US" w:eastAsia="zh-CN"/>
              </w:rPr>
              <w:t>本项目无生产废水产生，项目产生的废水主要为生活污水。</w:t>
            </w:r>
          </w:p>
          <w:p w14:paraId="40A34E7B">
            <w:pPr>
              <w:keepNext w:val="0"/>
              <w:keepLines w:val="0"/>
              <w:pageBreakBefore w:val="0"/>
              <w:widowControl w:val="0"/>
              <w:numPr>
                <w:ilvl w:val="1"/>
                <w:numId w:val="10"/>
              </w:numPr>
              <w:suppressLineNumbers w:val="0"/>
              <w:kinsoku/>
              <w:wordWrap/>
              <w:overflowPunct/>
              <w:topLinePunct w:val="0"/>
              <w:autoSpaceDE/>
              <w:autoSpaceDN/>
              <w:bidi w:val="0"/>
              <w:adjustRightInd/>
              <w:snapToGrid/>
              <w:spacing w:before="0" w:beforeAutospacing="0" w:after="0" w:afterAutospacing="0"/>
              <w:ind w:right="0" w:firstLine="482" w:firstLineChars="200"/>
              <w:textAlignment w:val="auto"/>
              <w:rPr>
                <w:rFonts w:hint="eastAsia"/>
                <w:b/>
                <w:bCs/>
                <w:color w:val="auto"/>
                <w:lang w:val="en-US" w:eastAsia="zh-CN"/>
              </w:rPr>
            </w:pPr>
            <w:r>
              <w:rPr>
                <w:rFonts w:hint="eastAsia"/>
                <w:b/>
                <w:bCs/>
                <w:color w:val="auto"/>
                <w:lang w:val="en-US" w:eastAsia="zh-CN"/>
              </w:rPr>
              <w:t>废水产生环节及源强分析</w:t>
            </w:r>
          </w:p>
          <w:p w14:paraId="1FBB5FFA">
            <w:pPr>
              <w:keepNext w:val="0"/>
              <w:keepLines w:val="0"/>
              <w:suppressLineNumbers w:val="0"/>
              <w:tabs>
                <w:tab w:val="right" w:pos="0"/>
              </w:tabs>
              <w:snapToGrid w:val="0"/>
              <w:spacing w:before="0" w:beforeAutospacing="0" w:after="0" w:afterAutospacing="0" w:line="500" w:lineRule="exact"/>
              <w:ind w:left="0" w:right="0" w:firstLine="480" w:firstLineChars="200"/>
              <w:jc w:val="both"/>
              <w:rPr>
                <w:rFonts w:hint="default" w:ascii="Times New Roman" w:hAnsi="Times New Roman" w:eastAsia="宋体" w:cs="Times New Roman"/>
                <w:color w:val="auto"/>
                <w:sz w:val="24"/>
                <w:szCs w:val="24"/>
              </w:rPr>
            </w:pPr>
            <w:r>
              <w:rPr>
                <w:rFonts w:hint="eastAsia" w:cs="Times New Roman"/>
                <w:color w:val="auto"/>
                <w:highlight w:val="none"/>
                <w:lang w:val="en-US" w:eastAsia="zh-CN"/>
              </w:rPr>
              <w:t>建设项目</w:t>
            </w:r>
            <w:r>
              <w:rPr>
                <w:rFonts w:hint="default" w:ascii="Times New Roman" w:hAnsi="Times New Roman" w:cs="Times New Roman"/>
                <w:color w:val="auto"/>
                <w:highlight w:val="none"/>
              </w:rPr>
              <w:t>废水污染源源强核算结果及相关参数见表4.2-1，废水类别、污染物及污染治理设施信息表见表4.2-</w:t>
            </w:r>
            <w:r>
              <w:rPr>
                <w:rFonts w:hint="eastAsia" w:cs="Times New Roman"/>
                <w:color w:val="auto"/>
                <w:highlight w:val="none"/>
                <w:lang w:val="en-US" w:eastAsia="zh-CN"/>
              </w:rPr>
              <w:t>2</w:t>
            </w:r>
            <w:r>
              <w:rPr>
                <w:rFonts w:hint="default" w:ascii="Times New Roman" w:hAnsi="Times New Roman" w:cs="Times New Roman"/>
                <w:color w:val="auto"/>
                <w:highlight w:val="none"/>
              </w:rPr>
              <w:t>，废水间接排放口基本情况表见表4.2-</w:t>
            </w:r>
            <w:r>
              <w:rPr>
                <w:rFonts w:hint="eastAsia" w:cs="Times New Roman"/>
                <w:color w:val="auto"/>
                <w:highlight w:val="none"/>
                <w:lang w:val="en-US" w:eastAsia="zh-CN"/>
              </w:rPr>
              <w:t>3</w:t>
            </w:r>
            <w:r>
              <w:rPr>
                <w:rFonts w:hint="default" w:ascii="Times New Roman" w:hAnsi="Times New Roman" w:cs="Times New Roman"/>
                <w:color w:val="auto"/>
                <w:highlight w:val="none"/>
              </w:rPr>
              <w:t>。</w:t>
            </w:r>
          </w:p>
          <w:p w14:paraId="3DFB22D4">
            <w:pPr>
              <w:keepNext w:val="0"/>
              <w:keepLines w:val="0"/>
              <w:suppressLineNumbers w:val="0"/>
              <w:spacing w:before="0" w:beforeAutospacing="0" w:after="0" w:afterAutospacing="0" w:line="240" w:lineRule="auto"/>
              <w:ind w:left="0" w:right="0" w:firstLine="0" w:firstLineChars="0"/>
              <w:jc w:val="center"/>
              <w:rPr>
                <w:rFonts w:hint="eastAsia" w:eastAsia="宋体"/>
                <w:b/>
                <w:bCs/>
                <w:color w:val="auto"/>
                <w:lang w:eastAsia="zh-CN"/>
              </w:rPr>
            </w:pPr>
            <w:r>
              <w:rPr>
                <w:rFonts w:hint="eastAsia"/>
                <w:b/>
                <w:bCs/>
                <w:color w:val="auto"/>
              </w:rPr>
              <w:t xml:space="preserve">表4.2-1  </w:t>
            </w:r>
            <w:r>
              <w:rPr>
                <w:rFonts w:hint="eastAsia"/>
                <w:b/>
                <w:bCs/>
                <w:color w:val="auto"/>
                <w:lang w:val="en-US" w:eastAsia="zh-CN"/>
              </w:rPr>
              <w:t>建设项目</w:t>
            </w:r>
            <w:r>
              <w:rPr>
                <w:rFonts w:hint="eastAsia"/>
                <w:b/>
                <w:bCs/>
                <w:color w:val="auto"/>
              </w:rPr>
              <w:t>废水污染源源强核算结果及相关参数一览表</w:t>
            </w:r>
          </w:p>
          <w:tbl>
            <w:tblPr>
              <w:tblStyle w:val="27"/>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28" w:type="dxa"/>
                <w:bottom w:w="0" w:type="dxa"/>
                <w:right w:w="28" w:type="dxa"/>
              </w:tblCellMar>
            </w:tblPr>
            <w:tblGrid>
              <w:gridCol w:w="751"/>
              <w:gridCol w:w="880"/>
              <w:gridCol w:w="826"/>
              <w:gridCol w:w="878"/>
              <w:gridCol w:w="635"/>
              <w:gridCol w:w="1021"/>
              <w:gridCol w:w="1078"/>
              <w:gridCol w:w="1088"/>
              <w:gridCol w:w="853"/>
              <w:gridCol w:w="581"/>
              <w:gridCol w:w="616"/>
              <w:gridCol w:w="764"/>
              <w:gridCol w:w="934"/>
              <w:gridCol w:w="967"/>
              <w:gridCol w:w="832"/>
              <w:gridCol w:w="792"/>
            </w:tblGrid>
            <w:tr w14:paraId="0FBC60E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255" w:hRule="atLeast"/>
                <w:tblHeader/>
                <w:jc w:val="center"/>
              </w:trPr>
              <w:tc>
                <w:tcPr>
                  <w:tcW w:w="278" w:type="pct"/>
                  <w:vMerge w:val="restart"/>
                  <w:noWrap w:val="0"/>
                  <w:vAlign w:val="center"/>
                </w:tcPr>
                <w:p w14:paraId="321464D9">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color w:val="auto"/>
                      <w:sz w:val="18"/>
                      <w:szCs w:val="18"/>
                    </w:rPr>
                  </w:pPr>
                  <w:r>
                    <w:rPr>
                      <w:rFonts w:hint="eastAsia"/>
                      <w:b/>
                      <w:color w:val="auto"/>
                      <w:sz w:val="18"/>
                      <w:szCs w:val="18"/>
                    </w:rPr>
                    <w:t>工序/生产线</w:t>
                  </w:r>
                </w:p>
              </w:tc>
              <w:tc>
                <w:tcPr>
                  <w:tcW w:w="326" w:type="pct"/>
                  <w:vMerge w:val="restart"/>
                  <w:noWrap w:val="0"/>
                  <w:vAlign w:val="center"/>
                </w:tcPr>
                <w:p w14:paraId="07639686">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color w:val="auto"/>
                      <w:sz w:val="18"/>
                      <w:szCs w:val="18"/>
                    </w:rPr>
                  </w:pPr>
                  <w:r>
                    <w:rPr>
                      <w:rFonts w:hint="eastAsia"/>
                      <w:b/>
                      <w:color w:val="auto"/>
                      <w:sz w:val="18"/>
                      <w:szCs w:val="18"/>
                    </w:rPr>
                    <w:t>装置</w:t>
                  </w:r>
                </w:p>
              </w:tc>
              <w:tc>
                <w:tcPr>
                  <w:tcW w:w="306" w:type="pct"/>
                  <w:vMerge w:val="restart"/>
                  <w:noWrap w:val="0"/>
                  <w:vAlign w:val="center"/>
                </w:tcPr>
                <w:p w14:paraId="29B8118A">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eastAsia="宋体"/>
                      <w:b/>
                      <w:color w:val="auto"/>
                      <w:sz w:val="18"/>
                      <w:szCs w:val="18"/>
                      <w:lang w:val="en-US" w:eastAsia="zh-CN"/>
                    </w:rPr>
                  </w:pPr>
                  <w:r>
                    <w:rPr>
                      <w:rFonts w:hint="eastAsia"/>
                      <w:b/>
                      <w:color w:val="auto"/>
                      <w:sz w:val="18"/>
                      <w:szCs w:val="18"/>
                    </w:rPr>
                    <w:t>污染源</w:t>
                  </w:r>
                </w:p>
              </w:tc>
              <w:tc>
                <w:tcPr>
                  <w:tcW w:w="325" w:type="pct"/>
                  <w:vMerge w:val="restart"/>
                  <w:noWrap w:val="0"/>
                  <w:vAlign w:val="center"/>
                </w:tcPr>
                <w:p w14:paraId="30C69B07">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color w:val="auto"/>
                      <w:sz w:val="18"/>
                      <w:szCs w:val="18"/>
                    </w:rPr>
                  </w:pPr>
                  <w:r>
                    <w:rPr>
                      <w:rFonts w:hint="eastAsia"/>
                      <w:b/>
                      <w:color w:val="auto"/>
                      <w:sz w:val="18"/>
                      <w:szCs w:val="18"/>
                    </w:rPr>
                    <w:t>污染</w:t>
                  </w:r>
                </w:p>
                <w:p w14:paraId="4EBA3BCD">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color w:val="auto"/>
                      <w:sz w:val="18"/>
                      <w:szCs w:val="18"/>
                    </w:rPr>
                  </w:pPr>
                  <w:r>
                    <w:rPr>
                      <w:rFonts w:hint="eastAsia"/>
                      <w:b/>
                      <w:color w:val="auto"/>
                      <w:sz w:val="18"/>
                      <w:szCs w:val="18"/>
                    </w:rPr>
                    <w:t>物</w:t>
                  </w:r>
                </w:p>
              </w:tc>
              <w:tc>
                <w:tcPr>
                  <w:tcW w:w="1415" w:type="pct"/>
                  <w:gridSpan w:val="4"/>
                  <w:noWrap w:val="0"/>
                  <w:vAlign w:val="center"/>
                </w:tcPr>
                <w:p w14:paraId="755D5967">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color w:val="auto"/>
                      <w:sz w:val="18"/>
                      <w:szCs w:val="18"/>
                    </w:rPr>
                  </w:pPr>
                  <w:r>
                    <w:rPr>
                      <w:rFonts w:hint="eastAsia"/>
                      <w:b/>
                      <w:color w:val="auto"/>
                      <w:sz w:val="18"/>
                      <w:szCs w:val="18"/>
                    </w:rPr>
                    <w:t>污染物产生</w:t>
                  </w:r>
                </w:p>
              </w:tc>
              <w:tc>
                <w:tcPr>
                  <w:tcW w:w="531" w:type="pct"/>
                  <w:gridSpan w:val="2"/>
                  <w:noWrap w:val="0"/>
                  <w:vAlign w:val="center"/>
                </w:tcPr>
                <w:p w14:paraId="7883C22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color w:val="auto"/>
                      <w:sz w:val="18"/>
                      <w:szCs w:val="18"/>
                    </w:rPr>
                  </w:pPr>
                  <w:r>
                    <w:rPr>
                      <w:rFonts w:hint="eastAsia"/>
                      <w:b/>
                      <w:color w:val="auto"/>
                      <w:sz w:val="18"/>
                      <w:szCs w:val="18"/>
                    </w:rPr>
                    <w:t>治理措施</w:t>
                  </w:r>
                </w:p>
              </w:tc>
              <w:tc>
                <w:tcPr>
                  <w:tcW w:w="1215" w:type="pct"/>
                  <w:gridSpan w:val="4"/>
                  <w:noWrap w:val="0"/>
                  <w:vAlign w:val="center"/>
                </w:tcPr>
                <w:p w14:paraId="09850FF8">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color w:val="auto"/>
                      <w:sz w:val="18"/>
                      <w:szCs w:val="18"/>
                    </w:rPr>
                  </w:pPr>
                  <w:r>
                    <w:rPr>
                      <w:rFonts w:hint="eastAsia"/>
                      <w:b/>
                      <w:color w:val="auto"/>
                      <w:sz w:val="18"/>
                      <w:szCs w:val="18"/>
                    </w:rPr>
                    <w:t>污染物排放</w:t>
                  </w:r>
                </w:p>
              </w:tc>
              <w:tc>
                <w:tcPr>
                  <w:tcW w:w="308" w:type="pct"/>
                  <w:vMerge w:val="restart"/>
                  <w:noWrap w:val="0"/>
                  <w:vAlign w:val="center"/>
                </w:tcPr>
                <w:p w14:paraId="04608A60">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color w:val="auto"/>
                      <w:sz w:val="18"/>
                      <w:szCs w:val="18"/>
                    </w:rPr>
                  </w:pPr>
                  <w:r>
                    <w:rPr>
                      <w:rFonts w:hint="eastAsia"/>
                      <w:b/>
                      <w:color w:val="auto"/>
                      <w:sz w:val="18"/>
                      <w:szCs w:val="18"/>
                    </w:rPr>
                    <w:t>接管标准（mg/L）</w:t>
                  </w:r>
                </w:p>
              </w:tc>
              <w:tc>
                <w:tcPr>
                  <w:tcW w:w="293" w:type="pct"/>
                  <w:vMerge w:val="restart"/>
                  <w:noWrap w:val="0"/>
                  <w:vAlign w:val="center"/>
                </w:tcPr>
                <w:p w14:paraId="2AB21816">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color w:val="auto"/>
                      <w:sz w:val="18"/>
                      <w:szCs w:val="18"/>
                    </w:rPr>
                  </w:pPr>
                  <w:r>
                    <w:rPr>
                      <w:rFonts w:hint="eastAsia"/>
                      <w:b/>
                      <w:color w:val="auto"/>
                      <w:sz w:val="18"/>
                      <w:szCs w:val="18"/>
                    </w:rPr>
                    <w:t>年排放时间（h）</w:t>
                  </w:r>
                </w:p>
              </w:tc>
            </w:tr>
            <w:tr w14:paraId="7C78B5E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278" w:type="pct"/>
                  <w:vMerge w:val="continue"/>
                  <w:noWrap w:val="0"/>
                  <w:vAlign w:val="center"/>
                </w:tcPr>
                <w:p w14:paraId="13981A4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color w:val="auto"/>
                      <w:sz w:val="18"/>
                      <w:szCs w:val="18"/>
                    </w:rPr>
                  </w:pPr>
                </w:p>
              </w:tc>
              <w:tc>
                <w:tcPr>
                  <w:tcW w:w="326" w:type="pct"/>
                  <w:vMerge w:val="continue"/>
                  <w:noWrap w:val="0"/>
                  <w:vAlign w:val="center"/>
                </w:tcPr>
                <w:p w14:paraId="22B6A8EB">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color w:val="auto"/>
                      <w:sz w:val="18"/>
                      <w:szCs w:val="18"/>
                    </w:rPr>
                  </w:pPr>
                </w:p>
              </w:tc>
              <w:tc>
                <w:tcPr>
                  <w:tcW w:w="306" w:type="pct"/>
                  <w:vMerge w:val="continue"/>
                  <w:noWrap w:val="0"/>
                  <w:vAlign w:val="center"/>
                </w:tcPr>
                <w:p w14:paraId="15F7106E">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color w:val="auto"/>
                      <w:sz w:val="18"/>
                      <w:szCs w:val="18"/>
                    </w:rPr>
                  </w:pPr>
                </w:p>
              </w:tc>
              <w:tc>
                <w:tcPr>
                  <w:tcW w:w="325" w:type="pct"/>
                  <w:vMerge w:val="continue"/>
                  <w:noWrap w:val="0"/>
                  <w:vAlign w:val="center"/>
                </w:tcPr>
                <w:p w14:paraId="032B6A18">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color w:val="auto"/>
                      <w:sz w:val="18"/>
                      <w:szCs w:val="18"/>
                    </w:rPr>
                  </w:pPr>
                </w:p>
              </w:tc>
              <w:tc>
                <w:tcPr>
                  <w:tcW w:w="235" w:type="pct"/>
                  <w:noWrap w:val="0"/>
                  <w:vAlign w:val="center"/>
                </w:tcPr>
                <w:p w14:paraId="5F63DD74">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color w:val="auto"/>
                      <w:sz w:val="18"/>
                      <w:szCs w:val="18"/>
                    </w:rPr>
                  </w:pPr>
                  <w:r>
                    <w:rPr>
                      <w:rFonts w:hint="eastAsia"/>
                      <w:b/>
                      <w:color w:val="auto"/>
                      <w:sz w:val="18"/>
                      <w:szCs w:val="18"/>
                    </w:rPr>
                    <w:t>核算</w:t>
                  </w:r>
                </w:p>
                <w:p w14:paraId="60E723F2">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color w:val="auto"/>
                      <w:sz w:val="18"/>
                      <w:szCs w:val="18"/>
                    </w:rPr>
                  </w:pPr>
                  <w:r>
                    <w:rPr>
                      <w:rFonts w:hint="eastAsia"/>
                      <w:b/>
                      <w:color w:val="auto"/>
                      <w:sz w:val="18"/>
                      <w:szCs w:val="18"/>
                    </w:rPr>
                    <w:t>方法</w:t>
                  </w:r>
                </w:p>
              </w:tc>
              <w:tc>
                <w:tcPr>
                  <w:tcW w:w="378" w:type="pct"/>
                  <w:noWrap w:val="0"/>
                  <w:vAlign w:val="center"/>
                </w:tcPr>
                <w:p w14:paraId="1706E9CE">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color w:val="auto"/>
                      <w:sz w:val="18"/>
                      <w:szCs w:val="18"/>
                    </w:rPr>
                  </w:pPr>
                  <w:r>
                    <w:rPr>
                      <w:rFonts w:hint="eastAsia"/>
                      <w:b/>
                      <w:color w:val="auto"/>
                      <w:sz w:val="18"/>
                      <w:szCs w:val="18"/>
                    </w:rPr>
                    <w:t>产生量（</w:t>
                  </w:r>
                  <w:r>
                    <w:rPr>
                      <w:rFonts w:hint="eastAsia"/>
                      <w:b/>
                      <w:color w:val="auto"/>
                      <w:sz w:val="18"/>
                      <w:szCs w:val="18"/>
                      <w:lang w:val="en-US" w:eastAsia="zh-CN"/>
                    </w:rPr>
                    <w:t>t</w:t>
                  </w:r>
                  <w:r>
                    <w:rPr>
                      <w:rFonts w:hint="eastAsia"/>
                      <w:b/>
                      <w:color w:val="auto"/>
                      <w:sz w:val="18"/>
                      <w:szCs w:val="18"/>
                    </w:rPr>
                    <w:t>/a）</w:t>
                  </w:r>
                </w:p>
              </w:tc>
              <w:tc>
                <w:tcPr>
                  <w:tcW w:w="399" w:type="pct"/>
                  <w:noWrap w:val="0"/>
                  <w:vAlign w:val="center"/>
                </w:tcPr>
                <w:p w14:paraId="1D4CA8C0">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color w:val="auto"/>
                      <w:sz w:val="18"/>
                      <w:szCs w:val="18"/>
                    </w:rPr>
                  </w:pPr>
                  <w:r>
                    <w:rPr>
                      <w:rFonts w:hint="eastAsia"/>
                      <w:b/>
                      <w:color w:val="auto"/>
                      <w:sz w:val="18"/>
                      <w:szCs w:val="18"/>
                    </w:rPr>
                    <w:t>产生浓度（mg/L）</w:t>
                  </w:r>
                </w:p>
              </w:tc>
              <w:tc>
                <w:tcPr>
                  <w:tcW w:w="403" w:type="pct"/>
                  <w:noWrap w:val="0"/>
                  <w:vAlign w:val="center"/>
                </w:tcPr>
                <w:p w14:paraId="473ADD7D">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color w:val="auto"/>
                      <w:sz w:val="18"/>
                      <w:szCs w:val="18"/>
                    </w:rPr>
                  </w:pPr>
                  <w:r>
                    <w:rPr>
                      <w:rFonts w:hint="eastAsia"/>
                      <w:b/>
                      <w:color w:val="auto"/>
                      <w:sz w:val="18"/>
                      <w:szCs w:val="18"/>
                    </w:rPr>
                    <w:t>产生量</w:t>
                  </w:r>
                </w:p>
                <w:p w14:paraId="731D5CB1">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color w:val="auto"/>
                      <w:sz w:val="18"/>
                      <w:szCs w:val="18"/>
                    </w:rPr>
                  </w:pPr>
                  <w:r>
                    <w:rPr>
                      <w:rFonts w:hint="eastAsia"/>
                      <w:b/>
                      <w:color w:val="auto"/>
                      <w:sz w:val="18"/>
                      <w:szCs w:val="18"/>
                    </w:rPr>
                    <w:t>（t/a）</w:t>
                  </w:r>
                </w:p>
              </w:tc>
              <w:tc>
                <w:tcPr>
                  <w:tcW w:w="316" w:type="pct"/>
                  <w:noWrap w:val="0"/>
                  <w:vAlign w:val="center"/>
                </w:tcPr>
                <w:p w14:paraId="44D4D8D6">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color w:val="auto"/>
                      <w:sz w:val="18"/>
                      <w:szCs w:val="18"/>
                    </w:rPr>
                  </w:pPr>
                  <w:r>
                    <w:rPr>
                      <w:rFonts w:hint="eastAsia"/>
                      <w:b/>
                      <w:color w:val="auto"/>
                      <w:sz w:val="18"/>
                      <w:szCs w:val="18"/>
                    </w:rPr>
                    <w:t>工艺</w:t>
                  </w:r>
                </w:p>
              </w:tc>
              <w:tc>
                <w:tcPr>
                  <w:tcW w:w="215" w:type="pct"/>
                  <w:noWrap w:val="0"/>
                  <w:vAlign w:val="center"/>
                </w:tcPr>
                <w:p w14:paraId="4C8AA805">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color w:val="auto"/>
                      <w:sz w:val="18"/>
                      <w:szCs w:val="18"/>
                    </w:rPr>
                  </w:pPr>
                  <w:r>
                    <w:rPr>
                      <w:rFonts w:hint="eastAsia"/>
                      <w:b/>
                      <w:color w:val="auto"/>
                      <w:sz w:val="18"/>
                      <w:szCs w:val="18"/>
                    </w:rPr>
                    <w:t>效率</w:t>
                  </w:r>
                </w:p>
              </w:tc>
              <w:tc>
                <w:tcPr>
                  <w:tcW w:w="228" w:type="pct"/>
                  <w:noWrap w:val="0"/>
                  <w:vAlign w:val="center"/>
                </w:tcPr>
                <w:p w14:paraId="456BF7FD">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color w:val="auto"/>
                      <w:sz w:val="18"/>
                      <w:szCs w:val="18"/>
                    </w:rPr>
                  </w:pPr>
                  <w:r>
                    <w:rPr>
                      <w:rFonts w:hint="eastAsia"/>
                      <w:b/>
                      <w:color w:val="auto"/>
                      <w:sz w:val="18"/>
                      <w:szCs w:val="18"/>
                    </w:rPr>
                    <w:t>核算</w:t>
                  </w:r>
                </w:p>
                <w:p w14:paraId="608C123D">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color w:val="auto"/>
                      <w:sz w:val="18"/>
                      <w:szCs w:val="18"/>
                    </w:rPr>
                  </w:pPr>
                  <w:r>
                    <w:rPr>
                      <w:rFonts w:hint="eastAsia"/>
                      <w:b/>
                      <w:color w:val="auto"/>
                      <w:sz w:val="18"/>
                      <w:szCs w:val="18"/>
                    </w:rPr>
                    <w:t>方法</w:t>
                  </w:r>
                </w:p>
              </w:tc>
              <w:tc>
                <w:tcPr>
                  <w:tcW w:w="283" w:type="pct"/>
                  <w:noWrap w:val="0"/>
                  <w:vAlign w:val="center"/>
                </w:tcPr>
                <w:p w14:paraId="6DE54CE7">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color w:val="auto"/>
                      <w:sz w:val="18"/>
                      <w:szCs w:val="18"/>
                    </w:rPr>
                  </w:pPr>
                  <w:r>
                    <w:rPr>
                      <w:rFonts w:hint="eastAsia"/>
                      <w:b/>
                      <w:color w:val="auto"/>
                      <w:sz w:val="18"/>
                      <w:szCs w:val="18"/>
                    </w:rPr>
                    <w:t>排放量（</w:t>
                  </w:r>
                  <w:r>
                    <w:rPr>
                      <w:rFonts w:hint="eastAsia"/>
                      <w:b/>
                      <w:color w:val="auto"/>
                      <w:sz w:val="18"/>
                      <w:szCs w:val="18"/>
                      <w:lang w:val="en-US" w:eastAsia="zh-CN"/>
                    </w:rPr>
                    <w:t>t</w:t>
                  </w:r>
                  <w:r>
                    <w:rPr>
                      <w:rFonts w:hint="eastAsia"/>
                      <w:b/>
                      <w:color w:val="auto"/>
                      <w:sz w:val="18"/>
                      <w:szCs w:val="18"/>
                      <w:vertAlign w:val="superscript"/>
                      <w:lang w:val="en-US" w:eastAsia="zh-CN"/>
                    </w:rPr>
                    <w:t>3</w:t>
                  </w:r>
                  <w:r>
                    <w:rPr>
                      <w:rFonts w:hint="eastAsia"/>
                      <w:b/>
                      <w:color w:val="auto"/>
                      <w:sz w:val="18"/>
                      <w:szCs w:val="18"/>
                    </w:rPr>
                    <w:t>/a）</w:t>
                  </w:r>
                </w:p>
              </w:tc>
              <w:tc>
                <w:tcPr>
                  <w:tcW w:w="346" w:type="pct"/>
                  <w:noWrap w:val="0"/>
                  <w:vAlign w:val="center"/>
                </w:tcPr>
                <w:p w14:paraId="2935C623">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color w:val="auto"/>
                      <w:sz w:val="18"/>
                      <w:szCs w:val="18"/>
                    </w:rPr>
                  </w:pPr>
                  <w:r>
                    <w:rPr>
                      <w:rFonts w:hint="eastAsia"/>
                      <w:b/>
                      <w:color w:val="auto"/>
                      <w:sz w:val="18"/>
                      <w:szCs w:val="18"/>
                    </w:rPr>
                    <w:t>排放浓度（mg/L）</w:t>
                  </w:r>
                </w:p>
              </w:tc>
              <w:tc>
                <w:tcPr>
                  <w:tcW w:w="357" w:type="pct"/>
                  <w:noWrap w:val="0"/>
                  <w:vAlign w:val="center"/>
                </w:tcPr>
                <w:p w14:paraId="302FFFFC">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color w:val="auto"/>
                      <w:sz w:val="18"/>
                      <w:szCs w:val="18"/>
                    </w:rPr>
                  </w:pPr>
                  <w:r>
                    <w:rPr>
                      <w:rFonts w:hint="eastAsia"/>
                      <w:b/>
                      <w:color w:val="auto"/>
                      <w:sz w:val="18"/>
                      <w:szCs w:val="18"/>
                    </w:rPr>
                    <w:t>排放量（t/a）</w:t>
                  </w:r>
                </w:p>
              </w:tc>
              <w:tc>
                <w:tcPr>
                  <w:tcW w:w="308" w:type="pct"/>
                  <w:vMerge w:val="continue"/>
                  <w:noWrap w:val="0"/>
                  <w:vAlign w:val="center"/>
                </w:tcPr>
                <w:p w14:paraId="27C55338">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Cs/>
                      <w:color w:val="auto"/>
                      <w:sz w:val="18"/>
                      <w:szCs w:val="18"/>
                    </w:rPr>
                  </w:pPr>
                </w:p>
              </w:tc>
              <w:tc>
                <w:tcPr>
                  <w:tcW w:w="293" w:type="pct"/>
                  <w:vMerge w:val="continue"/>
                  <w:noWrap w:val="0"/>
                  <w:vAlign w:val="center"/>
                </w:tcPr>
                <w:p w14:paraId="292AAF2E">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Cs/>
                      <w:color w:val="auto"/>
                      <w:sz w:val="18"/>
                      <w:szCs w:val="18"/>
                    </w:rPr>
                  </w:pPr>
                </w:p>
              </w:tc>
            </w:tr>
            <w:tr w14:paraId="7B1E460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255" w:hRule="atLeast"/>
                <w:jc w:val="center"/>
              </w:trPr>
              <w:tc>
                <w:tcPr>
                  <w:tcW w:w="278" w:type="pct"/>
                  <w:vMerge w:val="restart"/>
                  <w:noWrap w:val="0"/>
                  <w:vAlign w:val="center"/>
                </w:tcPr>
                <w:p w14:paraId="445E3112">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eastAsia="宋体"/>
                      <w:bCs/>
                      <w:color w:val="auto"/>
                      <w:sz w:val="18"/>
                      <w:szCs w:val="18"/>
                      <w:lang w:val="en-US" w:eastAsia="zh-CN"/>
                    </w:rPr>
                  </w:pPr>
                  <w:r>
                    <w:rPr>
                      <w:rFonts w:hint="eastAsia"/>
                      <w:bCs/>
                      <w:color w:val="auto"/>
                      <w:sz w:val="18"/>
                      <w:szCs w:val="18"/>
                      <w:lang w:val="en-US" w:eastAsia="zh-CN"/>
                    </w:rPr>
                    <w:t>职工生活</w:t>
                  </w:r>
                </w:p>
              </w:tc>
              <w:tc>
                <w:tcPr>
                  <w:tcW w:w="326" w:type="pct"/>
                  <w:vMerge w:val="restart"/>
                  <w:noWrap w:val="0"/>
                  <w:vAlign w:val="center"/>
                </w:tcPr>
                <w:p w14:paraId="7B25C520">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Cs/>
                      <w:color w:val="auto"/>
                      <w:sz w:val="18"/>
                      <w:szCs w:val="18"/>
                    </w:rPr>
                  </w:pPr>
                  <w:r>
                    <w:rPr>
                      <w:rFonts w:hint="eastAsia"/>
                      <w:bCs/>
                      <w:color w:val="auto"/>
                      <w:sz w:val="18"/>
                      <w:szCs w:val="18"/>
                    </w:rPr>
                    <w:t>/</w:t>
                  </w:r>
                </w:p>
              </w:tc>
              <w:tc>
                <w:tcPr>
                  <w:tcW w:w="306" w:type="pct"/>
                  <w:vMerge w:val="restart"/>
                  <w:noWrap w:val="0"/>
                  <w:vAlign w:val="center"/>
                </w:tcPr>
                <w:p w14:paraId="23B62315">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eastAsia="宋体"/>
                      <w:bCs/>
                      <w:color w:val="auto"/>
                      <w:sz w:val="18"/>
                      <w:szCs w:val="18"/>
                      <w:lang w:val="en-US" w:eastAsia="zh-CN"/>
                    </w:rPr>
                  </w:pPr>
                  <w:r>
                    <w:rPr>
                      <w:rFonts w:hint="eastAsia"/>
                      <w:bCs/>
                      <w:color w:val="auto"/>
                      <w:sz w:val="18"/>
                      <w:szCs w:val="18"/>
                      <w:lang w:val="en-US" w:eastAsia="zh-CN"/>
                    </w:rPr>
                    <w:t>生活污水</w:t>
                  </w:r>
                </w:p>
              </w:tc>
              <w:tc>
                <w:tcPr>
                  <w:tcW w:w="325" w:type="pct"/>
                  <w:noWrap w:val="0"/>
                  <w:vAlign w:val="center"/>
                </w:tcPr>
                <w:p w14:paraId="673F97A5">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Cs/>
                      <w:color w:val="auto"/>
                      <w:sz w:val="18"/>
                      <w:szCs w:val="18"/>
                    </w:rPr>
                  </w:pPr>
                  <w:r>
                    <w:rPr>
                      <w:rFonts w:hint="eastAsia"/>
                      <w:bCs/>
                      <w:color w:val="auto"/>
                      <w:sz w:val="18"/>
                      <w:szCs w:val="18"/>
                    </w:rPr>
                    <w:t>COD</w:t>
                  </w:r>
                </w:p>
              </w:tc>
              <w:tc>
                <w:tcPr>
                  <w:tcW w:w="235" w:type="pct"/>
                  <w:vMerge w:val="restart"/>
                  <w:noWrap w:val="0"/>
                  <w:vAlign w:val="center"/>
                </w:tcPr>
                <w:p w14:paraId="25764136">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产污系数法</w:t>
                  </w:r>
                </w:p>
              </w:tc>
              <w:tc>
                <w:tcPr>
                  <w:tcW w:w="378" w:type="pct"/>
                  <w:vMerge w:val="restart"/>
                  <w:noWrap w:val="0"/>
                  <w:vAlign w:val="center"/>
                </w:tcPr>
                <w:p w14:paraId="6A729DEB">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eastAsia="宋体"/>
                      <w:bCs/>
                      <w:color w:val="auto"/>
                      <w:sz w:val="18"/>
                      <w:szCs w:val="18"/>
                      <w:lang w:val="en-US" w:eastAsia="zh-CN"/>
                    </w:rPr>
                  </w:pPr>
                  <w:r>
                    <w:rPr>
                      <w:rFonts w:hint="eastAsia"/>
                      <w:bCs/>
                      <w:color w:val="auto"/>
                      <w:sz w:val="18"/>
                      <w:szCs w:val="18"/>
                      <w:lang w:val="en-US" w:eastAsia="zh-CN"/>
                    </w:rPr>
                    <w:t>162</w:t>
                  </w:r>
                </w:p>
              </w:tc>
              <w:tc>
                <w:tcPr>
                  <w:tcW w:w="399" w:type="pct"/>
                  <w:noWrap w:val="0"/>
                  <w:vAlign w:val="center"/>
                </w:tcPr>
                <w:p w14:paraId="2413478B">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bCs/>
                      <w:color w:val="auto"/>
                      <w:sz w:val="18"/>
                      <w:szCs w:val="18"/>
                      <w:lang w:val="en-US" w:eastAsia="zh-CN"/>
                    </w:rPr>
                  </w:pPr>
                  <w:r>
                    <w:rPr>
                      <w:rFonts w:hint="default" w:ascii="Times New Roman" w:hAnsi="Times New Roman" w:eastAsia="宋体"/>
                      <w:bCs/>
                      <w:color w:val="auto"/>
                      <w:sz w:val="18"/>
                      <w:szCs w:val="18"/>
                      <w:lang w:val="en-US" w:eastAsia="zh-CN"/>
                    </w:rPr>
                    <w:t>350</w:t>
                  </w:r>
                </w:p>
              </w:tc>
              <w:tc>
                <w:tcPr>
                  <w:tcW w:w="1088" w:type="dxa"/>
                  <w:noWrap w:val="0"/>
                  <w:vAlign w:val="center"/>
                </w:tcPr>
                <w:p w14:paraId="4EB75943">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eastAsia="宋体"/>
                      <w:bCs/>
                      <w:color w:val="auto"/>
                      <w:sz w:val="18"/>
                      <w:szCs w:val="18"/>
                      <w:lang w:val="en-US" w:eastAsia="zh-CN"/>
                    </w:rPr>
                  </w:pPr>
                  <w:r>
                    <w:rPr>
                      <w:rFonts w:hint="eastAsia" w:ascii="Times New Roman" w:hAnsi="Times New Roman" w:eastAsia="宋体"/>
                      <w:bCs/>
                      <w:color w:val="auto"/>
                      <w:sz w:val="18"/>
                      <w:szCs w:val="18"/>
                      <w:lang w:val="en-US" w:eastAsia="zh-CN"/>
                    </w:rPr>
                    <w:t>0.057</w:t>
                  </w:r>
                </w:p>
              </w:tc>
              <w:tc>
                <w:tcPr>
                  <w:tcW w:w="316" w:type="pct"/>
                  <w:vMerge w:val="restart"/>
                  <w:noWrap w:val="0"/>
                  <w:vAlign w:val="center"/>
                </w:tcPr>
                <w:p w14:paraId="717496AB">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eastAsia="宋体"/>
                      <w:bCs/>
                      <w:color w:val="auto"/>
                      <w:sz w:val="18"/>
                      <w:szCs w:val="18"/>
                      <w:lang w:eastAsia="zh-CN"/>
                    </w:rPr>
                  </w:pPr>
                  <w:r>
                    <w:rPr>
                      <w:rFonts w:hint="eastAsia"/>
                      <w:bCs/>
                      <w:color w:val="auto"/>
                      <w:sz w:val="18"/>
                      <w:szCs w:val="18"/>
                      <w:lang w:val="en-US" w:eastAsia="zh-CN"/>
                    </w:rPr>
                    <w:t>化粪池</w:t>
                  </w:r>
                </w:p>
              </w:tc>
              <w:tc>
                <w:tcPr>
                  <w:tcW w:w="215" w:type="pct"/>
                  <w:noWrap w:val="0"/>
                  <w:vAlign w:val="center"/>
                </w:tcPr>
                <w:p w14:paraId="5C80C655">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eastAsia"/>
                      <w:bCs/>
                      <w:color w:val="auto"/>
                      <w:sz w:val="18"/>
                      <w:szCs w:val="18"/>
                    </w:rPr>
                  </w:pPr>
                  <w:r>
                    <w:rPr>
                      <w:rFonts w:hint="eastAsia"/>
                      <w:bCs/>
                      <w:color w:val="auto"/>
                      <w:sz w:val="18"/>
                      <w:szCs w:val="18"/>
                      <w:lang w:val="en-US" w:eastAsia="zh-CN"/>
                    </w:rPr>
                    <w:t>20%</w:t>
                  </w:r>
                </w:p>
              </w:tc>
              <w:tc>
                <w:tcPr>
                  <w:tcW w:w="228" w:type="pct"/>
                  <w:vMerge w:val="restart"/>
                  <w:noWrap w:val="0"/>
                  <w:vAlign w:val="center"/>
                </w:tcPr>
                <w:p w14:paraId="35FE178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eastAsia="宋体"/>
                      <w:bCs/>
                      <w:color w:val="auto"/>
                      <w:sz w:val="18"/>
                      <w:szCs w:val="18"/>
                      <w:lang w:val="en-US" w:eastAsia="zh-CN"/>
                    </w:rPr>
                  </w:pPr>
                  <w:r>
                    <w:rPr>
                      <w:rFonts w:hint="eastAsia"/>
                      <w:bCs/>
                      <w:color w:val="auto"/>
                      <w:sz w:val="18"/>
                      <w:szCs w:val="18"/>
                      <w:lang w:val="en-US" w:eastAsia="zh-CN"/>
                    </w:rPr>
                    <w:t>类比法</w:t>
                  </w:r>
                </w:p>
              </w:tc>
              <w:tc>
                <w:tcPr>
                  <w:tcW w:w="283" w:type="pct"/>
                  <w:vMerge w:val="restart"/>
                  <w:noWrap w:val="0"/>
                  <w:vAlign w:val="center"/>
                </w:tcPr>
                <w:p w14:paraId="5C445DB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bCs/>
                      <w:color w:val="auto"/>
                      <w:sz w:val="18"/>
                      <w:szCs w:val="18"/>
                      <w:lang w:val="en-US"/>
                    </w:rPr>
                  </w:pPr>
                  <w:r>
                    <w:rPr>
                      <w:rFonts w:hint="eastAsia"/>
                      <w:bCs/>
                      <w:color w:val="auto"/>
                      <w:sz w:val="18"/>
                      <w:szCs w:val="18"/>
                      <w:lang w:val="en-US" w:eastAsia="zh-CN"/>
                    </w:rPr>
                    <w:t>162</w:t>
                  </w:r>
                </w:p>
              </w:tc>
              <w:tc>
                <w:tcPr>
                  <w:tcW w:w="346" w:type="pct"/>
                  <w:noWrap w:val="0"/>
                  <w:vAlign w:val="center"/>
                </w:tcPr>
                <w:p w14:paraId="3CAFE369">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bCs/>
                      <w:color w:val="auto"/>
                      <w:sz w:val="18"/>
                      <w:szCs w:val="18"/>
                      <w:lang w:val="en-US" w:eastAsia="zh-CN"/>
                    </w:rPr>
                  </w:pPr>
                  <w:r>
                    <w:rPr>
                      <w:rFonts w:hint="default" w:ascii="Times New Roman" w:hAnsi="Times New Roman" w:eastAsia="宋体"/>
                      <w:bCs/>
                      <w:color w:val="auto"/>
                      <w:sz w:val="18"/>
                      <w:szCs w:val="18"/>
                      <w:lang w:val="en-US" w:eastAsia="zh-CN"/>
                    </w:rPr>
                    <w:t>280</w:t>
                  </w:r>
                </w:p>
              </w:tc>
              <w:tc>
                <w:tcPr>
                  <w:tcW w:w="967" w:type="dxa"/>
                  <w:noWrap w:val="0"/>
                  <w:vAlign w:val="center"/>
                </w:tcPr>
                <w:p w14:paraId="608DDB14">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bCs/>
                      <w:color w:val="auto"/>
                      <w:sz w:val="18"/>
                      <w:szCs w:val="18"/>
                      <w:lang w:val="en-US" w:eastAsia="zh-CN"/>
                    </w:rPr>
                  </w:pPr>
                  <w:r>
                    <w:rPr>
                      <w:rFonts w:hint="eastAsia" w:ascii="Times New Roman" w:hAnsi="Times New Roman" w:eastAsia="宋体"/>
                      <w:bCs/>
                      <w:color w:val="auto"/>
                      <w:sz w:val="18"/>
                      <w:szCs w:val="18"/>
                      <w:lang w:val="en-US" w:eastAsia="zh-CN"/>
                    </w:rPr>
                    <w:t>0.045</w:t>
                  </w:r>
                </w:p>
              </w:tc>
              <w:tc>
                <w:tcPr>
                  <w:tcW w:w="308" w:type="pct"/>
                  <w:noWrap w:val="0"/>
                  <w:vAlign w:val="center"/>
                </w:tcPr>
                <w:p w14:paraId="4E47E09E">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bCs/>
                      <w:color w:val="auto"/>
                      <w:sz w:val="18"/>
                      <w:szCs w:val="18"/>
                      <w:lang w:val="en-US"/>
                    </w:rPr>
                  </w:pPr>
                  <w:r>
                    <w:rPr>
                      <w:rFonts w:hint="eastAsia"/>
                      <w:color w:val="auto"/>
                      <w:sz w:val="18"/>
                      <w:szCs w:val="18"/>
                      <w:lang w:val="en-US" w:eastAsia="zh-CN"/>
                    </w:rPr>
                    <w:t>450</w:t>
                  </w:r>
                </w:p>
              </w:tc>
              <w:tc>
                <w:tcPr>
                  <w:tcW w:w="293" w:type="pct"/>
                  <w:vMerge w:val="restart"/>
                  <w:noWrap w:val="0"/>
                  <w:vAlign w:val="center"/>
                </w:tcPr>
                <w:p w14:paraId="73B78E3E">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eastAsia="宋体"/>
                      <w:bCs/>
                      <w:color w:val="auto"/>
                      <w:sz w:val="18"/>
                      <w:szCs w:val="18"/>
                      <w:lang w:val="en-US" w:eastAsia="zh-CN"/>
                    </w:rPr>
                  </w:pPr>
                  <w:r>
                    <w:rPr>
                      <w:rFonts w:hint="eastAsia"/>
                      <w:bCs/>
                      <w:color w:val="auto"/>
                      <w:sz w:val="18"/>
                      <w:szCs w:val="18"/>
                      <w:lang w:val="en-US" w:eastAsia="zh-CN"/>
                    </w:rPr>
                    <w:t>2400</w:t>
                  </w:r>
                </w:p>
              </w:tc>
            </w:tr>
            <w:tr w14:paraId="08F4741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218" w:hRule="atLeast"/>
                <w:jc w:val="center"/>
              </w:trPr>
              <w:tc>
                <w:tcPr>
                  <w:tcW w:w="278" w:type="pct"/>
                  <w:vMerge w:val="continue"/>
                  <w:noWrap w:val="0"/>
                  <w:vAlign w:val="center"/>
                </w:tcPr>
                <w:p w14:paraId="75D30305">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Cs/>
                      <w:color w:val="auto"/>
                      <w:sz w:val="18"/>
                      <w:szCs w:val="18"/>
                    </w:rPr>
                  </w:pPr>
                </w:p>
              </w:tc>
              <w:tc>
                <w:tcPr>
                  <w:tcW w:w="326" w:type="pct"/>
                  <w:vMerge w:val="continue"/>
                  <w:noWrap w:val="0"/>
                  <w:vAlign w:val="center"/>
                </w:tcPr>
                <w:p w14:paraId="4CDF34B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Cs/>
                      <w:color w:val="auto"/>
                      <w:sz w:val="18"/>
                      <w:szCs w:val="18"/>
                    </w:rPr>
                  </w:pPr>
                </w:p>
              </w:tc>
              <w:tc>
                <w:tcPr>
                  <w:tcW w:w="306" w:type="pct"/>
                  <w:vMerge w:val="continue"/>
                  <w:noWrap w:val="0"/>
                  <w:vAlign w:val="center"/>
                </w:tcPr>
                <w:p w14:paraId="793EAFA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Cs/>
                      <w:color w:val="auto"/>
                      <w:sz w:val="18"/>
                      <w:szCs w:val="18"/>
                    </w:rPr>
                  </w:pPr>
                </w:p>
              </w:tc>
              <w:tc>
                <w:tcPr>
                  <w:tcW w:w="325" w:type="pct"/>
                  <w:noWrap w:val="0"/>
                  <w:vAlign w:val="center"/>
                </w:tcPr>
                <w:p w14:paraId="3333F34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Cs/>
                      <w:color w:val="auto"/>
                      <w:sz w:val="18"/>
                      <w:szCs w:val="18"/>
                    </w:rPr>
                  </w:pPr>
                  <w:r>
                    <w:rPr>
                      <w:rFonts w:hint="eastAsia"/>
                      <w:bCs/>
                      <w:color w:val="auto"/>
                      <w:sz w:val="18"/>
                      <w:szCs w:val="18"/>
                    </w:rPr>
                    <w:t>SS</w:t>
                  </w:r>
                </w:p>
              </w:tc>
              <w:tc>
                <w:tcPr>
                  <w:tcW w:w="235" w:type="pct"/>
                  <w:vMerge w:val="continue"/>
                  <w:noWrap w:val="0"/>
                  <w:vAlign w:val="center"/>
                </w:tcPr>
                <w:p w14:paraId="01CBA90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Cs/>
                      <w:color w:val="auto"/>
                      <w:sz w:val="18"/>
                      <w:szCs w:val="18"/>
                    </w:rPr>
                  </w:pPr>
                </w:p>
              </w:tc>
              <w:tc>
                <w:tcPr>
                  <w:tcW w:w="378" w:type="pct"/>
                  <w:vMerge w:val="continue"/>
                  <w:noWrap w:val="0"/>
                  <w:vAlign w:val="center"/>
                </w:tcPr>
                <w:p w14:paraId="3048D076">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Cs/>
                      <w:color w:val="auto"/>
                      <w:sz w:val="18"/>
                      <w:szCs w:val="18"/>
                    </w:rPr>
                  </w:pPr>
                </w:p>
              </w:tc>
              <w:tc>
                <w:tcPr>
                  <w:tcW w:w="399" w:type="pct"/>
                  <w:noWrap w:val="0"/>
                  <w:vAlign w:val="center"/>
                </w:tcPr>
                <w:p w14:paraId="11F08D19">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bCs/>
                      <w:color w:val="auto"/>
                      <w:sz w:val="18"/>
                      <w:szCs w:val="18"/>
                      <w:lang w:val="en-US" w:eastAsia="zh-CN"/>
                    </w:rPr>
                  </w:pPr>
                  <w:r>
                    <w:rPr>
                      <w:rFonts w:hint="default" w:ascii="Times New Roman" w:hAnsi="Times New Roman" w:eastAsia="宋体"/>
                      <w:bCs/>
                      <w:color w:val="auto"/>
                      <w:sz w:val="18"/>
                      <w:szCs w:val="18"/>
                      <w:lang w:val="en-US" w:eastAsia="zh-CN"/>
                    </w:rPr>
                    <w:t>200</w:t>
                  </w:r>
                </w:p>
              </w:tc>
              <w:tc>
                <w:tcPr>
                  <w:tcW w:w="1088" w:type="dxa"/>
                  <w:noWrap w:val="0"/>
                  <w:vAlign w:val="center"/>
                </w:tcPr>
                <w:p w14:paraId="3438936E">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eastAsia="宋体"/>
                      <w:bCs/>
                      <w:color w:val="auto"/>
                      <w:sz w:val="18"/>
                      <w:szCs w:val="18"/>
                      <w:lang w:val="en-US" w:eastAsia="zh-CN"/>
                    </w:rPr>
                  </w:pPr>
                  <w:r>
                    <w:rPr>
                      <w:rFonts w:hint="eastAsia" w:ascii="Times New Roman" w:hAnsi="Times New Roman" w:eastAsia="宋体"/>
                      <w:bCs/>
                      <w:color w:val="auto"/>
                      <w:sz w:val="18"/>
                      <w:szCs w:val="18"/>
                      <w:lang w:val="en-US" w:eastAsia="zh-CN"/>
                    </w:rPr>
                    <w:t>0.032</w:t>
                  </w:r>
                </w:p>
              </w:tc>
              <w:tc>
                <w:tcPr>
                  <w:tcW w:w="316" w:type="pct"/>
                  <w:vMerge w:val="continue"/>
                  <w:noWrap w:val="0"/>
                  <w:vAlign w:val="center"/>
                </w:tcPr>
                <w:p w14:paraId="116A6372">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Cs/>
                      <w:color w:val="auto"/>
                      <w:sz w:val="18"/>
                      <w:szCs w:val="18"/>
                    </w:rPr>
                  </w:pPr>
                </w:p>
              </w:tc>
              <w:tc>
                <w:tcPr>
                  <w:tcW w:w="215" w:type="pct"/>
                  <w:noWrap w:val="0"/>
                  <w:vAlign w:val="center"/>
                </w:tcPr>
                <w:p w14:paraId="7E0BC341">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eastAsia"/>
                      <w:bCs/>
                      <w:color w:val="auto"/>
                      <w:sz w:val="18"/>
                      <w:szCs w:val="18"/>
                    </w:rPr>
                  </w:pPr>
                  <w:r>
                    <w:rPr>
                      <w:rFonts w:hint="eastAsia"/>
                      <w:bCs/>
                      <w:color w:val="auto"/>
                      <w:sz w:val="18"/>
                      <w:szCs w:val="18"/>
                      <w:lang w:val="en-US" w:eastAsia="zh-CN"/>
                    </w:rPr>
                    <w:t>0%</w:t>
                  </w:r>
                </w:p>
              </w:tc>
              <w:tc>
                <w:tcPr>
                  <w:tcW w:w="228" w:type="pct"/>
                  <w:vMerge w:val="continue"/>
                  <w:noWrap w:val="0"/>
                  <w:vAlign w:val="center"/>
                </w:tcPr>
                <w:p w14:paraId="06090838">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Cs/>
                      <w:color w:val="auto"/>
                      <w:sz w:val="18"/>
                      <w:szCs w:val="18"/>
                    </w:rPr>
                  </w:pPr>
                </w:p>
              </w:tc>
              <w:tc>
                <w:tcPr>
                  <w:tcW w:w="283" w:type="pct"/>
                  <w:vMerge w:val="continue"/>
                  <w:noWrap w:val="0"/>
                  <w:vAlign w:val="center"/>
                </w:tcPr>
                <w:p w14:paraId="771FF131">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Cs/>
                      <w:color w:val="auto"/>
                      <w:sz w:val="18"/>
                      <w:szCs w:val="18"/>
                    </w:rPr>
                  </w:pPr>
                </w:p>
              </w:tc>
              <w:tc>
                <w:tcPr>
                  <w:tcW w:w="346" w:type="pct"/>
                  <w:noWrap w:val="0"/>
                  <w:vAlign w:val="center"/>
                </w:tcPr>
                <w:p w14:paraId="6058858D">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bCs/>
                      <w:color w:val="auto"/>
                      <w:sz w:val="18"/>
                      <w:szCs w:val="18"/>
                      <w:lang w:val="en-US" w:eastAsia="zh-CN"/>
                    </w:rPr>
                  </w:pPr>
                  <w:r>
                    <w:rPr>
                      <w:rFonts w:hint="default" w:ascii="Times New Roman" w:hAnsi="Times New Roman" w:eastAsia="宋体"/>
                      <w:bCs/>
                      <w:color w:val="auto"/>
                      <w:sz w:val="18"/>
                      <w:szCs w:val="18"/>
                      <w:lang w:val="en-US" w:eastAsia="zh-CN"/>
                    </w:rPr>
                    <w:t>200</w:t>
                  </w:r>
                </w:p>
              </w:tc>
              <w:tc>
                <w:tcPr>
                  <w:tcW w:w="967" w:type="dxa"/>
                  <w:noWrap w:val="0"/>
                  <w:vAlign w:val="center"/>
                </w:tcPr>
                <w:p w14:paraId="4C975598">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bCs/>
                      <w:color w:val="auto"/>
                      <w:sz w:val="18"/>
                      <w:szCs w:val="18"/>
                      <w:lang w:val="en-US" w:eastAsia="zh-CN"/>
                    </w:rPr>
                  </w:pPr>
                  <w:r>
                    <w:rPr>
                      <w:rFonts w:hint="eastAsia" w:ascii="Times New Roman" w:hAnsi="Times New Roman" w:eastAsia="宋体"/>
                      <w:bCs/>
                      <w:color w:val="auto"/>
                      <w:sz w:val="18"/>
                      <w:szCs w:val="18"/>
                      <w:lang w:val="en-US" w:eastAsia="zh-CN"/>
                    </w:rPr>
                    <w:t>0.032</w:t>
                  </w:r>
                </w:p>
              </w:tc>
              <w:tc>
                <w:tcPr>
                  <w:tcW w:w="308" w:type="pct"/>
                  <w:noWrap w:val="0"/>
                  <w:vAlign w:val="center"/>
                </w:tcPr>
                <w:p w14:paraId="5A8ADF9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bCs/>
                      <w:color w:val="auto"/>
                      <w:sz w:val="18"/>
                      <w:szCs w:val="18"/>
                      <w:lang w:val="en-US"/>
                    </w:rPr>
                  </w:pPr>
                  <w:r>
                    <w:rPr>
                      <w:rFonts w:hint="eastAsia"/>
                      <w:color w:val="auto"/>
                      <w:sz w:val="18"/>
                      <w:szCs w:val="18"/>
                      <w:lang w:val="en-US" w:eastAsia="zh-CN"/>
                    </w:rPr>
                    <w:t>200</w:t>
                  </w:r>
                </w:p>
              </w:tc>
              <w:tc>
                <w:tcPr>
                  <w:tcW w:w="293" w:type="pct"/>
                  <w:vMerge w:val="continue"/>
                  <w:noWrap w:val="0"/>
                  <w:vAlign w:val="center"/>
                </w:tcPr>
                <w:p w14:paraId="6758D7B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Cs/>
                      <w:color w:val="auto"/>
                      <w:sz w:val="18"/>
                      <w:szCs w:val="18"/>
                    </w:rPr>
                  </w:pPr>
                </w:p>
              </w:tc>
            </w:tr>
            <w:tr w14:paraId="2F97F55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267" w:hRule="atLeast"/>
                <w:jc w:val="center"/>
              </w:trPr>
              <w:tc>
                <w:tcPr>
                  <w:tcW w:w="278" w:type="pct"/>
                  <w:vMerge w:val="continue"/>
                  <w:noWrap w:val="0"/>
                  <w:vAlign w:val="center"/>
                </w:tcPr>
                <w:p w14:paraId="7923A521">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Cs/>
                      <w:color w:val="auto"/>
                      <w:sz w:val="18"/>
                      <w:szCs w:val="18"/>
                    </w:rPr>
                  </w:pPr>
                </w:p>
              </w:tc>
              <w:tc>
                <w:tcPr>
                  <w:tcW w:w="326" w:type="pct"/>
                  <w:vMerge w:val="continue"/>
                  <w:noWrap w:val="0"/>
                  <w:vAlign w:val="center"/>
                </w:tcPr>
                <w:p w14:paraId="5B5A55A6">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Cs/>
                      <w:color w:val="auto"/>
                      <w:sz w:val="18"/>
                      <w:szCs w:val="18"/>
                    </w:rPr>
                  </w:pPr>
                </w:p>
              </w:tc>
              <w:tc>
                <w:tcPr>
                  <w:tcW w:w="306" w:type="pct"/>
                  <w:vMerge w:val="continue"/>
                  <w:noWrap w:val="0"/>
                  <w:vAlign w:val="center"/>
                </w:tcPr>
                <w:p w14:paraId="05B703A9">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Cs/>
                      <w:color w:val="auto"/>
                      <w:sz w:val="18"/>
                      <w:szCs w:val="18"/>
                    </w:rPr>
                  </w:pPr>
                </w:p>
              </w:tc>
              <w:tc>
                <w:tcPr>
                  <w:tcW w:w="325" w:type="pct"/>
                  <w:noWrap w:val="0"/>
                  <w:vAlign w:val="center"/>
                </w:tcPr>
                <w:p w14:paraId="6FA55335">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Cs/>
                      <w:color w:val="auto"/>
                      <w:sz w:val="18"/>
                      <w:szCs w:val="18"/>
                    </w:rPr>
                  </w:pPr>
                  <w:r>
                    <w:rPr>
                      <w:rFonts w:hint="eastAsia"/>
                      <w:bCs/>
                      <w:color w:val="auto"/>
                      <w:sz w:val="18"/>
                      <w:szCs w:val="18"/>
                      <w:lang w:val="en-US" w:eastAsia="zh-CN"/>
                    </w:rPr>
                    <w:t>氨氮</w:t>
                  </w:r>
                </w:p>
              </w:tc>
              <w:tc>
                <w:tcPr>
                  <w:tcW w:w="235" w:type="pct"/>
                  <w:vMerge w:val="continue"/>
                  <w:noWrap w:val="0"/>
                  <w:vAlign w:val="center"/>
                </w:tcPr>
                <w:p w14:paraId="3C120A72">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Cs/>
                      <w:color w:val="auto"/>
                      <w:sz w:val="18"/>
                      <w:szCs w:val="18"/>
                    </w:rPr>
                  </w:pPr>
                </w:p>
              </w:tc>
              <w:tc>
                <w:tcPr>
                  <w:tcW w:w="378" w:type="pct"/>
                  <w:vMerge w:val="continue"/>
                  <w:noWrap w:val="0"/>
                  <w:vAlign w:val="center"/>
                </w:tcPr>
                <w:p w14:paraId="506B018A">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Cs/>
                      <w:color w:val="auto"/>
                      <w:sz w:val="18"/>
                      <w:szCs w:val="18"/>
                    </w:rPr>
                  </w:pPr>
                </w:p>
              </w:tc>
              <w:tc>
                <w:tcPr>
                  <w:tcW w:w="399" w:type="pct"/>
                  <w:noWrap w:val="0"/>
                  <w:vAlign w:val="center"/>
                </w:tcPr>
                <w:p w14:paraId="32E5C326">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bCs/>
                      <w:color w:val="auto"/>
                      <w:sz w:val="18"/>
                      <w:szCs w:val="18"/>
                      <w:lang w:val="en-US" w:eastAsia="zh-CN"/>
                    </w:rPr>
                  </w:pPr>
                  <w:r>
                    <w:rPr>
                      <w:rFonts w:hint="default" w:ascii="Times New Roman" w:hAnsi="Times New Roman" w:eastAsia="宋体"/>
                      <w:bCs/>
                      <w:color w:val="auto"/>
                      <w:sz w:val="18"/>
                      <w:szCs w:val="18"/>
                      <w:lang w:val="en-US" w:eastAsia="zh-CN"/>
                    </w:rPr>
                    <w:t>30</w:t>
                  </w:r>
                </w:p>
              </w:tc>
              <w:tc>
                <w:tcPr>
                  <w:tcW w:w="1088" w:type="dxa"/>
                  <w:noWrap w:val="0"/>
                  <w:vAlign w:val="center"/>
                </w:tcPr>
                <w:p w14:paraId="47B5C967">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eastAsia="宋体"/>
                      <w:bCs/>
                      <w:color w:val="auto"/>
                      <w:sz w:val="18"/>
                      <w:szCs w:val="18"/>
                      <w:lang w:val="en-US" w:eastAsia="zh-CN"/>
                    </w:rPr>
                  </w:pPr>
                  <w:r>
                    <w:rPr>
                      <w:rFonts w:hint="eastAsia" w:ascii="Times New Roman" w:hAnsi="Times New Roman" w:eastAsia="宋体"/>
                      <w:bCs/>
                      <w:color w:val="auto"/>
                      <w:sz w:val="18"/>
                      <w:szCs w:val="18"/>
                      <w:lang w:val="en-US" w:eastAsia="zh-CN"/>
                    </w:rPr>
                    <w:t>0.005</w:t>
                  </w:r>
                </w:p>
              </w:tc>
              <w:tc>
                <w:tcPr>
                  <w:tcW w:w="316" w:type="pct"/>
                  <w:vMerge w:val="continue"/>
                  <w:noWrap w:val="0"/>
                  <w:vAlign w:val="center"/>
                </w:tcPr>
                <w:p w14:paraId="6B9C1910">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Cs/>
                      <w:color w:val="auto"/>
                      <w:sz w:val="18"/>
                      <w:szCs w:val="18"/>
                    </w:rPr>
                  </w:pPr>
                </w:p>
              </w:tc>
              <w:tc>
                <w:tcPr>
                  <w:tcW w:w="215" w:type="pct"/>
                  <w:noWrap w:val="0"/>
                  <w:vAlign w:val="center"/>
                </w:tcPr>
                <w:p w14:paraId="03C41152">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eastAsia"/>
                      <w:bCs/>
                      <w:color w:val="auto"/>
                      <w:sz w:val="18"/>
                      <w:szCs w:val="18"/>
                    </w:rPr>
                  </w:pPr>
                  <w:r>
                    <w:rPr>
                      <w:rFonts w:hint="eastAsia"/>
                      <w:bCs/>
                      <w:color w:val="auto"/>
                      <w:sz w:val="18"/>
                      <w:szCs w:val="18"/>
                      <w:lang w:val="en-US" w:eastAsia="zh-CN"/>
                    </w:rPr>
                    <w:t>0%</w:t>
                  </w:r>
                </w:p>
              </w:tc>
              <w:tc>
                <w:tcPr>
                  <w:tcW w:w="228" w:type="pct"/>
                  <w:vMerge w:val="continue"/>
                  <w:noWrap w:val="0"/>
                  <w:vAlign w:val="center"/>
                </w:tcPr>
                <w:p w14:paraId="3B0A4EC3">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Cs/>
                      <w:color w:val="auto"/>
                      <w:sz w:val="18"/>
                      <w:szCs w:val="18"/>
                    </w:rPr>
                  </w:pPr>
                </w:p>
              </w:tc>
              <w:tc>
                <w:tcPr>
                  <w:tcW w:w="283" w:type="pct"/>
                  <w:vMerge w:val="continue"/>
                  <w:noWrap w:val="0"/>
                  <w:vAlign w:val="center"/>
                </w:tcPr>
                <w:p w14:paraId="09376029">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Cs/>
                      <w:color w:val="auto"/>
                      <w:sz w:val="18"/>
                      <w:szCs w:val="18"/>
                    </w:rPr>
                  </w:pPr>
                </w:p>
              </w:tc>
              <w:tc>
                <w:tcPr>
                  <w:tcW w:w="346" w:type="pct"/>
                  <w:noWrap w:val="0"/>
                  <w:vAlign w:val="center"/>
                </w:tcPr>
                <w:p w14:paraId="4137C179">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bCs/>
                      <w:color w:val="auto"/>
                      <w:sz w:val="18"/>
                      <w:szCs w:val="18"/>
                      <w:lang w:val="en-US" w:eastAsia="zh-CN"/>
                    </w:rPr>
                  </w:pPr>
                  <w:r>
                    <w:rPr>
                      <w:rFonts w:hint="default" w:ascii="Times New Roman" w:hAnsi="Times New Roman" w:eastAsia="宋体"/>
                      <w:bCs/>
                      <w:color w:val="auto"/>
                      <w:sz w:val="18"/>
                      <w:szCs w:val="18"/>
                      <w:lang w:val="en-US" w:eastAsia="zh-CN"/>
                    </w:rPr>
                    <w:t>30</w:t>
                  </w:r>
                </w:p>
              </w:tc>
              <w:tc>
                <w:tcPr>
                  <w:tcW w:w="967" w:type="dxa"/>
                  <w:noWrap w:val="0"/>
                  <w:vAlign w:val="center"/>
                </w:tcPr>
                <w:p w14:paraId="7445CF96">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bCs/>
                      <w:color w:val="auto"/>
                      <w:sz w:val="18"/>
                      <w:szCs w:val="18"/>
                      <w:lang w:val="en-US" w:eastAsia="zh-CN"/>
                    </w:rPr>
                  </w:pPr>
                  <w:r>
                    <w:rPr>
                      <w:rFonts w:hint="eastAsia" w:ascii="Times New Roman" w:hAnsi="Times New Roman" w:eastAsia="宋体"/>
                      <w:bCs/>
                      <w:color w:val="auto"/>
                      <w:sz w:val="18"/>
                      <w:szCs w:val="18"/>
                      <w:lang w:val="en-US" w:eastAsia="zh-CN"/>
                    </w:rPr>
                    <w:t>0.005</w:t>
                  </w:r>
                </w:p>
              </w:tc>
              <w:tc>
                <w:tcPr>
                  <w:tcW w:w="308" w:type="pct"/>
                  <w:noWrap w:val="0"/>
                  <w:vAlign w:val="center"/>
                </w:tcPr>
                <w:p w14:paraId="267A37EE">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bCs/>
                      <w:color w:val="auto"/>
                      <w:sz w:val="18"/>
                      <w:szCs w:val="18"/>
                      <w:lang w:val="en-US"/>
                    </w:rPr>
                  </w:pPr>
                  <w:r>
                    <w:rPr>
                      <w:rFonts w:hint="eastAsia"/>
                      <w:bCs/>
                      <w:color w:val="auto"/>
                      <w:sz w:val="18"/>
                      <w:szCs w:val="18"/>
                      <w:lang w:val="en-US" w:eastAsia="zh-CN"/>
                    </w:rPr>
                    <w:t>45</w:t>
                  </w:r>
                </w:p>
              </w:tc>
              <w:tc>
                <w:tcPr>
                  <w:tcW w:w="293" w:type="pct"/>
                  <w:vMerge w:val="continue"/>
                  <w:noWrap w:val="0"/>
                  <w:vAlign w:val="center"/>
                </w:tcPr>
                <w:p w14:paraId="5F4DDC95">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Cs/>
                      <w:color w:val="auto"/>
                      <w:sz w:val="18"/>
                      <w:szCs w:val="18"/>
                    </w:rPr>
                  </w:pPr>
                </w:p>
              </w:tc>
            </w:tr>
            <w:tr w14:paraId="7D09BB4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218" w:hRule="atLeast"/>
                <w:jc w:val="center"/>
              </w:trPr>
              <w:tc>
                <w:tcPr>
                  <w:tcW w:w="278" w:type="pct"/>
                  <w:vMerge w:val="continue"/>
                  <w:noWrap w:val="0"/>
                  <w:vAlign w:val="center"/>
                </w:tcPr>
                <w:p w14:paraId="0189E144">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Cs/>
                      <w:color w:val="auto"/>
                      <w:sz w:val="18"/>
                      <w:szCs w:val="18"/>
                    </w:rPr>
                  </w:pPr>
                </w:p>
              </w:tc>
              <w:tc>
                <w:tcPr>
                  <w:tcW w:w="326" w:type="pct"/>
                  <w:vMerge w:val="continue"/>
                  <w:noWrap w:val="0"/>
                  <w:vAlign w:val="center"/>
                </w:tcPr>
                <w:p w14:paraId="42D4C756">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Cs/>
                      <w:color w:val="auto"/>
                      <w:sz w:val="18"/>
                      <w:szCs w:val="18"/>
                    </w:rPr>
                  </w:pPr>
                </w:p>
              </w:tc>
              <w:tc>
                <w:tcPr>
                  <w:tcW w:w="306" w:type="pct"/>
                  <w:vMerge w:val="continue"/>
                  <w:noWrap w:val="0"/>
                  <w:vAlign w:val="center"/>
                </w:tcPr>
                <w:p w14:paraId="066DEE5D">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Cs/>
                      <w:color w:val="auto"/>
                      <w:sz w:val="18"/>
                      <w:szCs w:val="18"/>
                    </w:rPr>
                  </w:pPr>
                </w:p>
              </w:tc>
              <w:tc>
                <w:tcPr>
                  <w:tcW w:w="325" w:type="pct"/>
                  <w:noWrap w:val="0"/>
                  <w:vAlign w:val="center"/>
                </w:tcPr>
                <w:p w14:paraId="275EE07A">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Cs/>
                      <w:color w:val="auto"/>
                      <w:sz w:val="18"/>
                      <w:szCs w:val="18"/>
                    </w:rPr>
                  </w:pPr>
                  <w:r>
                    <w:rPr>
                      <w:rFonts w:hint="eastAsia"/>
                      <w:bCs/>
                      <w:color w:val="auto"/>
                      <w:sz w:val="18"/>
                      <w:szCs w:val="18"/>
                      <w:lang w:val="en-US" w:eastAsia="zh-CN"/>
                    </w:rPr>
                    <w:t>总氮</w:t>
                  </w:r>
                </w:p>
              </w:tc>
              <w:tc>
                <w:tcPr>
                  <w:tcW w:w="235" w:type="pct"/>
                  <w:vMerge w:val="continue"/>
                  <w:noWrap w:val="0"/>
                  <w:vAlign w:val="center"/>
                </w:tcPr>
                <w:p w14:paraId="21E80B59">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Cs/>
                      <w:color w:val="auto"/>
                      <w:sz w:val="18"/>
                      <w:szCs w:val="18"/>
                    </w:rPr>
                  </w:pPr>
                </w:p>
              </w:tc>
              <w:tc>
                <w:tcPr>
                  <w:tcW w:w="378" w:type="pct"/>
                  <w:vMerge w:val="continue"/>
                  <w:noWrap w:val="0"/>
                  <w:vAlign w:val="center"/>
                </w:tcPr>
                <w:p w14:paraId="1B7EB5D4">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Cs/>
                      <w:color w:val="auto"/>
                      <w:sz w:val="18"/>
                      <w:szCs w:val="18"/>
                    </w:rPr>
                  </w:pPr>
                </w:p>
              </w:tc>
              <w:tc>
                <w:tcPr>
                  <w:tcW w:w="399" w:type="pct"/>
                  <w:noWrap w:val="0"/>
                  <w:vAlign w:val="center"/>
                </w:tcPr>
                <w:p w14:paraId="4707F011">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bCs/>
                      <w:color w:val="auto"/>
                      <w:sz w:val="18"/>
                      <w:szCs w:val="18"/>
                      <w:lang w:val="en-US" w:eastAsia="zh-CN"/>
                    </w:rPr>
                  </w:pPr>
                  <w:r>
                    <w:rPr>
                      <w:rFonts w:hint="default" w:ascii="Times New Roman" w:hAnsi="Times New Roman" w:eastAsia="宋体"/>
                      <w:bCs/>
                      <w:color w:val="auto"/>
                      <w:sz w:val="18"/>
                      <w:szCs w:val="18"/>
                      <w:lang w:val="en-US" w:eastAsia="zh-CN"/>
                    </w:rPr>
                    <w:t>45</w:t>
                  </w:r>
                </w:p>
              </w:tc>
              <w:tc>
                <w:tcPr>
                  <w:tcW w:w="1088" w:type="dxa"/>
                  <w:noWrap w:val="0"/>
                  <w:vAlign w:val="center"/>
                </w:tcPr>
                <w:p w14:paraId="379FC9D5">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eastAsia="宋体"/>
                      <w:bCs/>
                      <w:color w:val="auto"/>
                      <w:sz w:val="18"/>
                      <w:szCs w:val="18"/>
                      <w:lang w:val="en-US" w:eastAsia="zh-CN"/>
                    </w:rPr>
                  </w:pPr>
                  <w:r>
                    <w:rPr>
                      <w:rFonts w:hint="eastAsia" w:ascii="Times New Roman" w:hAnsi="Times New Roman" w:eastAsia="宋体"/>
                      <w:bCs/>
                      <w:color w:val="auto"/>
                      <w:sz w:val="18"/>
                      <w:szCs w:val="18"/>
                      <w:lang w:val="en-US" w:eastAsia="zh-CN"/>
                    </w:rPr>
                    <w:t>0.007</w:t>
                  </w:r>
                </w:p>
              </w:tc>
              <w:tc>
                <w:tcPr>
                  <w:tcW w:w="316" w:type="pct"/>
                  <w:vMerge w:val="continue"/>
                  <w:noWrap w:val="0"/>
                  <w:vAlign w:val="center"/>
                </w:tcPr>
                <w:p w14:paraId="66DF8FDD">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Cs/>
                      <w:color w:val="auto"/>
                      <w:sz w:val="18"/>
                      <w:szCs w:val="18"/>
                    </w:rPr>
                  </w:pPr>
                </w:p>
              </w:tc>
              <w:tc>
                <w:tcPr>
                  <w:tcW w:w="215" w:type="pct"/>
                  <w:noWrap w:val="0"/>
                  <w:vAlign w:val="center"/>
                </w:tcPr>
                <w:p w14:paraId="502C1199">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eastAsia"/>
                      <w:bCs/>
                      <w:color w:val="auto"/>
                      <w:sz w:val="18"/>
                      <w:szCs w:val="18"/>
                    </w:rPr>
                  </w:pPr>
                  <w:r>
                    <w:rPr>
                      <w:rFonts w:hint="eastAsia"/>
                      <w:bCs/>
                      <w:color w:val="auto"/>
                      <w:sz w:val="18"/>
                      <w:szCs w:val="18"/>
                      <w:lang w:val="en-US" w:eastAsia="zh-CN"/>
                    </w:rPr>
                    <w:t>0%</w:t>
                  </w:r>
                </w:p>
              </w:tc>
              <w:tc>
                <w:tcPr>
                  <w:tcW w:w="228" w:type="pct"/>
                  <w:vMerge w:val="continue"/>
                  <w:noWrap w:val="0"/>
                  <w:vAlign w:val="center"/>
                </w:tcPr>
                <w:p w14:paraId="59E8C474">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Cs/>
                      <w:color w:val="auto"/>
                      <w:sz w:val="18"/>
                      <w:szCs w:val="18"/>
                    </w:rPr>
                  </w:pPr>
                </w:p>
              </w:tc>
              <w:tc>
                <w:tcPr>
                  <w:tcW w:w="283" w:type="pct"/>
                  <w:vMerge w:val="continue"/>
                  <w:noWrap w:val="0"/>
                  <w:vAlign w:val="center"/>
                </w:tcPr>
                <w:p w14:paraId="2AAB01A1">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Cs/>
                      <w:color w:val="auto"/>
                      <w:sz w:val="18"/>
                      <w:szCs w:val="18"/>
                    </w:rPr>
                  </w:pPr>
                </w:p>
              </w:tc>
              <w:tc>
                <w:tcPr>
                  <w:tcW w:w="346" w:type="pct"/>
                  <w:noWrap w:val="0"/>
                  <w:vAlign w:val="center"/>
                </w:tcPr>
                <w:p w14:paraId="72B2F6A8">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bCs/>
                      <w:color w:val="auto"/>
                      <w:sz w:val="18"/>
                      <w:szCs w:val="18"/>
                      <w:lang w:val="en-US" w:eastAsia="zh-CN"/>
                    </w:rPr>
                  </w:pPr>
                  <w:r>
                    <w:rPr>
                      <w:rFonts w:hint="default" w:ascii="Times New Roman" w:hAnsi="Times New Roman" w:eastAsia="宋体"/>
                      <w:bCs/>
                      <w:color w:val="auto"/>
                      <w:sz w:val="18"/>
                      <w:szCs w:val="18"/>
                      <w:lang w:val="en-US" w:eastAsia="zh-CN"/>
                    </w:rPr>
                    <w:t>45</w:t>
                  </w:r>
                </w:p>
              </w:tc>
              <w:tc>
                <w:tcPr>
                  <w:tcW w:w="967" w:type="dxa"/>
                  <w:noWrap w:val="0"/>
                  <w:vAlign w:val="center"/>
                </w:tcPr>
                <w:p w14:paraId="0CA25AFC">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bCs/>
                      <w:color w:val="auto"/>
                      <w:sz w:val="18"/>
                      <w:szCs w:val="18"/>
                      <w:lang w:val="en-US" w:eastAsia="zh-CN"/>
                    </w:rPr>
                  </w:pPr>
                  <w:r>
                    <w:rPr>
                      <w:rFonts w:hint="eastAsia" w:ascii="Times New Roman" w:hAnsi="Times New Roman" w:eastAsia="宋体"/>
                      <w:bCs/>
                      <w:color w:val="auto"/>
                      <w:sz w:val="18"/>
                      <w:szCs w:val="18"/>
                      <w:lang w:val="en-US" w:eastAsia="zh-CN"/>
                    </w:rPr>
                    <w:t>0.007</w:t>
                  </w:r>
                </w:p>
              </w:tc>
              <w:tc>
                <w:tcPr>
                  <w:tcW w:w="308" w:type="pct"/>
                  <w:noWrap w:val="0"/>
                  <w:vAlign w:val="center"/>
                </w:tcPr>
                <w:p w14:paraId="5D33E998">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bCs/>
                      <w:color w:val="auto"/>
                      <w:sz w:val="18"/>
                      <w:szCs w:val="18"/>
                      <w:lang w:val="en-US"/>
                    </w:rPr>
                  </w:pPr>
                  <w:r>
                    <w:rPr>
                      <w:rFonts w:hint="eastAsia"/>
                      <w:bCs/>
                      <w:color w:val="auto"/>
                      <w:sz w:val="18"/>
                      <w:szCs w:val="18"/>
                      <w:lang w:val="en-US" w:eastAsia="zh-CN"/>
                    </w:rPr>
                    <w:t>70</w:t>
                  </w:r>
                </w:p>
              </w:tc>
              <w:tc>
                <w:tcPr>
                  <w:tcW w:w="293" w:type="pct"/>
                  <w:vMerge w:val="continue"/>
                  <w:noWrap w:val="0"/>
                  <w:vAlign w:val="center"/>
                </w:tcPr>
                <w:p w14:paraId="2FE6A270">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Cs/>
                      <w:color w:val="auto"/>
                      <w:sz w:val="18"/>
                      <w:szCs w:val="18"/>
                    </w:rPr>
                  </w:pPr>
                </w:p>
              </w:tc>
            </w:tr>
            <w:tr w14:paraId="0F2A79F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230" w:hRule="atLeast"/>
                <w:jc w:val="center"/>
              </w:trPr>
              <w:tc>
                <w:tcPr>
                  <w:tcW w:w="278" w:type="pct"/>
                  <w:vMerge w:val="continue"/>
                  <w:noWrap w:val="0"/>
                  <w:vAlign w:val="center"/>
                </w:tcPr>
                <w:p w14:paraId="377AB734">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Cs/>
                      <w:color w:val="auto"/>
                      <w:sz w:val="18"/>
                      <w:szCs w:val="18"/>
                    </w:rPr>
                  </w:pPr>
                </w:p>
              </w:tc>
              <w:tc>
                <w:tcPr>
                  <w:tcW w:w="326" w:type="pct"/>
                  <w:vMerge w:val="continue"/>
                  <w:noWrap w:val="0"/>
                  <w:vAlign w:val="center"/>
                </w:tcPr>
                <w:p w14:paraId="4B733DDE">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Cs/>
                      <w:color w:val="auto"/>
                      <w:sz w:val="18"/>
                      <w:szCs w:val="18"/>
                    </w:rPr>
                  </w:pPr>
                </w:p>
              </w:tc>
              <w:tc>
                <w:tcPr>
                  <w:tcW w:w="306" w:type="pct"/>
                  <w:vMerge w:val="continue"/>
                  <w:noWrap w:val="0"/>
                  <w:vAlign w:val="center"/>
                </w:tcPr>
                <w:p w14:paraId="6FCDFA99">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Cs/>
                      <w:color w:val="auto"/>
                      <w:sz w:val="18"/>
                      <w:szCs w:val="18"/>
                    </w:rPr>
                  </w:pPr>
                </w:p>
              </w:tc>
              <w:tc>
                <w:tcPr>
                  <w:tcW w:w="325" w:type="pct"/>
                  <w:noWrap w:val="0"/>
                  <w:vAlign w:val="center"/>
                </w:tcPr>
                <w:p w14:paraId="4330C2DD">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eastAsia="宋体"/>
                      <w:bCs/>
                      <w:color w:val="auto"/>
                      <w:sz w:val="18"/>
                      <w:szCs w:val="18"/>
                      <w:lang w:val="en-US" w:eastAsia="zh-CN"/>
                    </w:rPr>
                  </w:pPr>
                  <w:r>
                    <w:rPr>
                      <w:rFonts w:hint="eastAsia"/>
                      <w:bCs/>
                      <w:color w:val="auto"/>
                      <w:sz w:val="18"/>
                      <w:szCs w:val="18"/>
                      <w:lang w:val="en-US" w:eastAsia="zh-CN"/>
                    </w:rPr>
                    <w:t>总磷</w:t>
                  </w:r>
                </w:p>
              </w:tc>
              <w:tc>
                <w:tcPr>
                  <w:tcW w:w="235" w:type="pct"/>
                  <w:vMerge w:val="continue"/>
                  <w:noWrap w:val="0"/>
                  <w:vAlign w:val="center"/>
                </w:tcPr>
                <w:p w14:paraId="6CA8D6AA">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Cs/>
                      <w:color w:val="auto"/>
                      <w:sz w:val="18"/>
                      <w:szCs w:val="18"/>
                    </w:rPr>
                  </w:pPr>
                </w:p>
              </w:tc>
              <w:tc>
                <w:tcPr>
                  <w:tcW w:w="378" w:type="pct"/>
                  <w:vMerge w:val="continue"/>
                  <w:noWrap w:val="0"/>
                  <w:vAlign w:val="center"/>
                </w:tcPr>
                <w:p w14:paraId="68024440">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Cs/>
                      <w:color w:val="auto"/>
                      <w:sz w:val="18"/>
                      <w:szCs w:val="18"/>
                    </w:rPr>
                  </w:pPr>
                </w:p>
              </w:tc>
              <w:tc>
                <w:tcPr>
                  <w:tcW w:w="399" w:type="pct"/>
                  <w:noWrap w:val="0"/>
                  <w:vAlign w:val="center"/>
                </w:tcPr>
                <w:p w14:paraId="45689D4B">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eastAsia="宋体"/>
                      <w:bCs/>
                      <w:color w:val="auto"/>
                      <w:sz w:val="18"/>
                      <w:szCs w:val="18"/>
                      <w:lang w:val="en-US" w:eastAsia="zh-CN"/>
                    </w:rPr>
                  </w:pPr>
                  <w:r>
                    <w:rPr>
                      <w:rFonts w:hint="default" w:ascii="Times New Roman" w:hAnsi="Times New Roman" w:eastAsia="宋体"/>
                      <w:bCs/>
                      <w:color w:val="auto"/>
                      <w:sz w:val="18"/>
                      <w:szCs w:val="18"/>
                      <w:lang w:val="en-US" w:eastAsia="zh-CN"/>
                    </w:rPr>
                    <w:t>4</w:t>
                  </w:r>
                </w:p>
              </w:tc>
              <w:tc>
                <w:tcPr>
                  <w:tcW w:w="1088" w:type="dxa"/>
                  <w:noWrap w:val="0"/>
                  <w:vAlign w:val="center"/>
                </w:tcPr>
                <w:p w14:paraId="2C6EF0CC">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eastAsia="宋体"/>
                      <w:bCs/>
                      <w:color w:val="auto"/>
                      <w:sz w:val="18"/>
                      <w:szCs w:val="18"/>
                      <w:lang w:val="en-US" w:eastAsia="zh-CN"/>
                    </w:rPr>
                  </w:pPr>
                  <w:r>
                    <w:rPr>
                      <w:rFonts w:hint="eastAsia" w:ascii="Times New Roman" w:hAnsi="Times New Roman" w:eastAsia="宋体"/>
                      <w:bCs/>
                      <w:color w:val="auto"/>
                      <w:sz w:val="18"/>
                      <w:szCs w:val="18"/>
                      <w:lang w:val="en-US" w:eastAsia="zh-CN"/>
                    </w:rPr>
                    <w:t>0.0006</w:t>
                  </w:r>
                </w:p>
              </w:tc>
              <w:tc>
                <w:tcPr>
                  <w:tcW w:w="316" w:type="pct"/>
                  <w:vMerge w:val="continue"/>
                  <w:noWrap w:val="0"/>
                  <w:vAlign w:val="center"/>
                </w:tcPr>
                <w:p w14:paraId="779AE1A3">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Cs/>
                      <w:color w:val="auto"/>
                      <w:sz w:val="18"/>
                      <w:szCs w:val="18"/>
                    </w:rPr>
                  </w:pPr>
                </w:p>
              </w:tc>
              <w:tc>
                <w:tcPr>
                  <w:tcW w:w="215" w:type="pct"/>
                  <w:noWrap w:val="0"/>
                  <w:vAlign w:val="center"/>
                </w:tcPr>
                <w:p w14:paraId="5CA7B6EC">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eastAsia"/>
                      <w:bCs/>
                      <w:color w:val="auto"/>
                      <w:sz w:val="18"/>
                      <w:szCs w:val="18"/>
                    </w:rPr>
                  </w:pPr>
                  <w:r>
                    <w:rPr>
                      <w:rFonts w:hint="eastAsia"/>
                      <w:bCs/>
                      <w:color w:val="auto"/>
                      <w:sz w:val="18"/>
                      <w:szCs w:val="18"/>
                      <w:lang w:val="en-US" w:eastAsia="zh-CN"/>
                    </w:rPr>
                    <w:t>0%</w:t>
                  </w:r>
                </w:p>
              </w:tc>
              <w:tc>
                <w:tcPr>
                  <w:tcW w:w="228" w:type="pct"/>
                  <w:vMerge w:val="continue"/>
                  <w:noWrap w:val="0"/>
                  <w:vAlign w:val="center"/>
                </w:tcPr>
                <w:p w14:paraId="2471AFB1">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Cs/>
                      <w:color w:val="auto"/>
                      <w:sz w:val="18"/>
                      <w:szCs w:val="18"/>
                    </w:rPr>
                  </w:pPr>
                </w:p>
              </w:tc>
              <w:tc>
                <w:tcPr>
                  <w:tcW w:w="283" w:type="pct"/>
                  <w:vMerge w:val="continue"/>
                  <w:noWrap w:val="0"/>
                  <w:vAlign w:val="center"/>
                </w:tcPr>
                <w:p w14:paraId="512C10D4">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Cs/>
                      <w:color w:val="auto"/>
                      <w:sz w:val="18"/>
                      <w:szCs w:val="18"/>
                    </w:rPr>
                  </w:pPr>
                </w:p>
              </w:tc>
              <w:tc>
                <w:tcPr>
                  <w:tcW w:w="346" w:type="pct"/>
                  <w:noWrap w:val="0"/>
                  <w:vAlign w:val="center"/>
                </w:tcPr>
                <w:p w14:paraId="34282ABA">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bCs/>
                      <w:color w:val="auto"/>
                      <w:sz w:val="18"/>
                      <w:szCs w:val="18"/>
                      <w:lang w:val="en-US" w:eastAsia="zh-CN"/>
                    </w:rPr>
                  </w:pPr>
                  <w:r>
                    <w:rPr>
                      <w:rFonts w:hint="default" w:ascii="Times New Roman" w:hAnsi="Times New Roman" w:eastAsia="宋体"/>
                      <w:bCs/>
                      <w:color w:val="auto"/>
                      <w:sz w:val="18"/>
                      <w:szCs w:val="18"/>
                      <w:lang w:val="en-US" w:eastAsia="zh-CN"/>
                    </w:rPr>
                    <w:t>4</w:t>
                  </w:r>
                </w:p>
              </w:tc>
              <w:tc>
                <w:tcPr>
                  <w:tcW w:w="967" w:type="dxa"/>
                  <w:noWrap w:val="0"/>
                  <w:vAlign w:val="center"/>
                </w:tcPr>
                <w:p w14:paraId="46E2A820">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bCs/>
                      <w:color w:val="auto"/>
                      <w:sz w:val="18"/>
                      <w:szCs w:val="18"/>
                      <w:lang w:val="en-US" w:eastAsia="zh-CN"/>
                    </w:rPr>
                  </w:pPr>
                  <w:r>
                    <w:rPr>
                      <w:rFonts w:hint="eastAsia" w:ascii="Times New Roman" w:hAnsi="Times New Roman" w:eastAsia="宋体"/>
                      <w:bCs/>
                      <w:color w:val="auto"/>
                      <w:sz w:val="18"/>
                      <w:szCs w:val="18"/>
                      <w:lang w:val="en-US" w:eastAsia="zh-CN"/>
                    </w:rPr>
                    <w:t>0.0006</w:t>
                  </w:r>
                </w:p>
              </w:tc>
              <w:tc>
                <w:tcPr>
                  <w:tcW w:w="308" w:type="pct"/>
                  <w:noWrap w:val="0"/>
                  <w:vAlign w:val="center"/>
                </w:tcPr>
                <w:p w14:paraId="2BEB916C">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eastAsia"/>
                      <w:bCs/>
                      <w:color w:val="auto"/>
                      <w:sz w:val="18"/>
                      <w:szCs w:val="18"/>
                    </w:rPr>
                  </w:pPr>
                  <w:r>
                    <w:rPr>
                      <w:rFonts w:hint="eastAsia"/>
                      <w:bCs/>
                      <w:color w:val="auto"/>
                      <w:sz w:val="18"/>
                      <w:szCs w:val="18"/>
                      <w:lang w:val="en-US" w:eastAsia="zh-CN"/>
                    </w:rPr>
                    <w:t>5</w:t>
                  </w:r>
                </w:p>
              </w:tc>
              <w:tc>
                <w:tcPr>
                  <w:tcW w:w="293" w:type="pct"/>
                  <w:vMerge w:val="continue"/>
                  <w:noWrap w:val="0"/>
                  <w:vAlign w:val="center"/>
                </w:tcPr>
                <w:p w14:paraId="172017F9">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Cs/>
                      <w:color w:val="auto"/>
                      <w:sz w:val="18"/>
                      <w:szCs w:val="18"/>
                    </w:rPr>
                  </w:pPr>
                </w:p>
              </w:tc>
            </w:tr>
          </w:tbl>
          <w:p w14:paraId="37120041">
            <w:pPr>
              <w:keepNext w:val="0"/>
              <w:keepLines w:val="0"/>
              <w:suppressLineNumbers w:val="0"/>
              <w:spacing w:before="0" w:beforeAutospacing="0" w:after="0" w:afterAutospacing="0"/>
              <w:ind w:left="0" w:right="0"/>
              <w:rPr>
                <w:rFonts w:hint="eastAsia"/>
                <w:color w:val="auto"/>
                <w:lang w:val="en-US" w:eastAsia="zh-CN"/>
              </w:rPr>
            </w:pPr>
            <w:r>
              <w:rPr>
                <w:rFonts w:hint="eastAsia"/>
                <w:color w:val="auto"/>
                <w:lang w:val="en-US" w:eastAsia="zh-CN"/>
              </w:rPr>
              <w:t>建设项目生活污水水质</w:t>
            </w:r>
            <w:r>
              <w:rPr>
                <w:rFonts w:hint="default" w:ascii="Times New Roman" w:hAnsi="Times New Roman" w:cs="Times New Roman"/>
                <w:color w:val="auto"/>
                <w:highlight w:val="none"/>
              </w:rPr>
              <w:t>参考同类型项目</w:t>
            </w:r>
            <w:r>
              <w:rPr>
                <w:rFonts w:hint="eastAsia"/>
                <w:color w:val="auto"/>
                <w:lang w:val="en-US" w:eastAsia="zh-CN"/>
              </w:rPr>
              <w:t>：化学需氧量：350mg/L、悬浮物：200mg/L、氨氮：30mg/L、总磷：4mg/L、总氮：45mg/L。项目生活污水经化粪池处理达标后排入新渡片区污水处理厂集中处理。</w:t>
            </w:r>
          </w:p>
          <w:p w14:paraId="412208C0">
            <w:pPr>
              <w:keepNext w:val="0"/>
              <w:keepLines w:val="0"/>
              <w:suppressLineNumbers w:val="0"/>
              <w:spacing w:before="0" w:beforeAutospacing="0" w:after="0" w:afterAutospacing="0" w:line="240" w:lineRule="auto"/>
              <w:ind w:left="0" w:right="0" w:firstLine="0" w:firstLineChars="0"/>
              <w:jc w:val="center"/>
              <w:rPr>
                <w:rFonts w:hint="eastAsia"/>
                <w:b/>
                <w:bCs/>
                <w:color w:val="auto"/>
              </w:rPr>
            </w:pPr>
            <w:r>
              <w:rPr>
                <w:rFonts w:hint="eastAsia"/>
                <w:b/>
                <w:bCs/>
                <w:color w:val="auto"/>
              </w:rPr>
              <w:t>表4.2-</w:t>
            </w:r>
            <w:r>
              <w:rPr>
                <w:rFonts w:hint="eastAsia"/>
                <w:b/>
                <w:bCs/>
                <w:color w:val="auto"/>
                <w:lang w:val="en-US" w:eastAsia="zh-CN"/>
              </w:rPr>
              <w:t>2</w:t>
            </w:r>
            <w:r>
              <w:rPr>
                <w:rFonts w:hint="eastAsia"/>
                <w:b/>
                <w:bCs/>
                <w:color w:val="auto"/>
              </w:rPr>
              <w:t xml:space="preserve">  废水类别、污染物及污染治理设施信息表</w:t>
            </w:r>
          </w:p>
          <w:tbl>
            <w:tblPr>
              <w:tblStyle w:val="27"/>
              <w:tblW w:w="4984"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28" w:type="dxa"/>
                <w:bottom w:w="0" w:type="dxa"/>
                <w:right w:w="28" w:type="dxa"/>
              </w:tblCellMar>
            </w:tblPr>
            <w:tblGrid>
              <w:gridCol w:w="274"/>
              <w:gridCol w:w="528"/>
              <w:gridCol w:w="897"/>
              <w:gridCol w:w="749"/>
              <w:gridCol w:w="1896"/>
              <w:gridCol w:w="1258"/>
              <w:gridCol w:w="884"/>
              <w:gridCol w:w="1043"/>
              <w:gridCol w:w="884"/>
              <w:gridCol w:w="940"/>
              <w:gridCol w:w="722"/>
              <w:gridCol w:w="937"/>
              <w:gridCol w:w="2446"/>
            </w:tblGrid>
            <w:tr w14:paraId="445A416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102" w:type="pct"/>
                  <w:vMerge w:val="restart"/>
                  <w:vAlign w:val="center"/>
                </w:tcPr>
                <w:p w14:paraId="2277014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color w:val="auto"/>
                      <w:kern w:val="0"/>
                      <w:sz w:val="18"/>
                      <w:szCs w:val="18"/>
                    </w:rPr>
                  </w:pPr>
                  <w:r>
                    <w:rPr>
                      <w:rFonts w:hint="eastAsia"/>
                      <w:b/>
                      <w:color w:val="auto"/>
                      <w:kern w:val="0"/>
                      <w:sz w:val="18"/>
                      <w:szCs w:val="18"/>
                    </w:rPr>
                    <w:t>序号</w:t>
                  </w:r>
                </w:p>
              </w:tc>
              <w:tc>
                <w:tcPr>
                  <w:tcW w:w="196" w:type="pct"/>
                  <w:vMerge w:val="restart"/>
                  <w:vAlign w:val="center"/>
                </w:tcPr>
                <w:p w14:paraId="016E119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color w:val="auto"/>
                      <w:kern w:val="0"/>
                      <w:sz w:val="18"/>
                      <w:szCs w:val="18"/>
                    </w:rPr>
                  </w:pPr>
                  <w:r>
                    <w:rPr>
                      <w:rFonts w:hint="eastAsia"/>
                      <w:b/>
                      <w:color w:val="auto"/>
                      <w:kern w:val="0"/>
                      <w:sz w:val="18"/>
                      <w:szCs w:val="18"/>
                    </w:rPr>
                    <w:t>废水类别</w:t>
                  </w:r>
                </w:p>
              </w:tc>
              <w:tc>
                <w:tcPr>
                  <w:tcW w:w="333" w:type="pct"/>
                  <w:vMerge w:val="restart"/>
                  <w:vAlign w:val="center"/>
                </w:tcPr>
                <w:p w14:paraId="634DF55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color w:val="auto"/>
                      <w:kern w:val="0"/>
                      <w:sz w:val="18"/>
                      <w:szCs w:val="18"/>
                    </w:rPr>
                  </w:pPr>
                  <w:r>
                    <w:rPr>
                      <w:rFonts w:hint="eastAsia"/>
                      <w:b/>
                      <w:color w:val="auto"/>
                      <w:kern w:val="0"/>
                      <w:sz w:val="18"/>
                      <w:szCs w:val="18"/>
                    </w:rPr>
                    <w:t>污染物种类</w:t>
                  </w:r>
                </w:p>
              </w:tc>
              <w:tc>
                <w:tcPr>
                  <w:tcW w:w="278" w:type="pct"/>
                  <w:vMerge w:val="restart"/>
                  <w:vAlign w:val="center"/>
                </w:tcPr>
                <w:p w14:paraId="291B12D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color w:val="auto"/>
                      <w:kern w:val="0"/>
                      <w:sz w:val="18"/>
                      <w:szCs w:val="18"/>
                    </w:rPr>
                  </w:pPr>
                  <w:r>
                    <w:rPr>
                      <w:rFonts w:hint="eastAsia"/>
                      <w:b/>
                      <w:color w:val="auto"/>
                      <w:kern w:val="0"/>
                      <w:sz w:val="18"/>
                      <w:szCs w:val="18"/>
                    </w:rPr>
                    <w:t>排放去向</w:t>
                  </w:r>
                </w:p>
              </w:tc>
              <w:tc>
                <w:tcPr>
                  <w:tcW w:w="704" w:type="pct"/>
                  <w:vMerge w:val="restart"/>
                  <w:vAlign w:val="center"/>
                </w:tcPr>
                <w:p w14:paraId="35B8F9D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color w:val="auto"/>
                      <w:kern w:val="0"/>
                      <w:sz w:val="18"/>
                      <w:szCs w:val="18"/>
                    </w:rPr>
                  </w:pPr>
                  <w:r>
                    <w:rPr>
                      <w:rFonts w:hint="eastAsia"/>
                      <w:b/>
                      <w:color w:val="auto"/>
                      <w:kern w:val="0"/>
                      <w:sz w:val="18"/>
                      <w:szCs w:val="18"/>
                    </w:rPr>
                    <w:t>排放规律</w:t>
                  </w:r>
                </w:p>
              </w:tc>
              <w:tc>
                <w:tcPr>
                  <w:tcW w:w="1859" w:type="pct"/>
                  <w:gridSpan w:val="5"/>
                  <w:vAlign w:val="center"/>
                </w:tcPr>
                <w:p w14:paraId="66C88F8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color w:val="auto"/>
                      <w:kern w:val="0"/>
                      <w:sz w:val="18"/>
                      <w:szCs w:val="18"/>
                    </w:rPr>
                  </w:pPr>
                  <w:r>
                    <w:rPr>
                      <w:rFonts w:hint="eastAsia"/>
                      <w:b/>
                      <w:color w:val="auto"/>
                      <w:kern w:val="0"/>
                      <w:sz w:val="18"/>
                      <w:szCs w:val="18"/>
                    </w:rPr>
                    <w:t>污染治理设施</w:t>
                  </w:r>
                </w:p>
              </w:tc>
              <w:tc>
                <w:tcPr>
                  <w:tcW w:w="268" w:type="pct"/>
                  <w:vMerge w:val="restart"/>
                  <w:vAlign w:val="center"/>
                </w:tcPr>
                <w:p w14:paraId="110B703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color w:val="auto"/>
                      <w:kern w:val="0"/>
                      <w:sz w:val="18"/>
                      <w:szCs w:val="18"/>
                    </w:rPr>
                  </w:pPr>
                  <w:r>
                    <w:rPr>
                      <w:rFonts w:hint="eastAsia"/>
                      <w:b/>
                      <w:color w:val="auto"/>
                      <w:kern w:val="0"/>
                      <w:sz w:val="18"/>
                      <w:szCs w:val="18"/>
                    </w:rPr>
                    <w:t>排放口编号</w:t>
                  </w:r>
                </w:p>
              </w:tc>
              <w:tc>
                <w:tcPr>
                  <w:tcW w:w="348" w:type="pct"/>
                  <w:vMerge w:val="restart"/>
                  <w:vAlign w:val="center"/>
                </w:tcPr>
                <w:p w14:paraId="0FC92BB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color w:val="auto"/>
                      <w:kern w:val="0"/>
                      <w:sz w:val="18"/>
                      <w:szCs w:val="18"/>
                    </w:rPr>
                  </w:pPr>
                  <w:r>
                    <w:rPr>
                      <w:rFonts w:hint="eastAsia"/>
                      <w:b/>
                      <w:color w:val="auto"/>
                      <w:kern w:val="0"/>
                      <w:sz w:val="18"/>
                      <w:szCs w:val="18"/>
                    </w:rPr>
                    <w:t>排放口设置是否符合要求</w:t>
                  </w:r>
                </w:p>
              </w:tc>
              <w:tc>
                <w:tcPr>
                  <w:tcW w:w="908" w:type="pct"/>
                  <w:vMerge w:val="restart"/>
                  <w:vAlign w:val="center"/>
                </w:tcPr>
                <w:p w14:paraId="5525FC9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color w:val="auto"/>
                      <w:kern w:val="0"/>
                      <w:sz w:val="18"/>
                      <w:szCs w:val="18"/>
                    </w:rPr>
                  </w:pPr>
                  <w:r>
                    <w:rPr>
                      <w:rFonts w:hint="eastAsia"/>
                      <w:b/>
                      <w:color w:val="auto"/>
                      <w:kern w:val="0"/>
                      <w:sz w:val="18"/>
                      <w:szCs w:val="18"/>
                    </w:rPr>
                    <w:t>排放口类型</w:t>
                  </w:r>
                </w:p>
              </w:tc>
            </w:tr>
            <w:tr w14:paraId="0490117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92" w:hRule="atLeast"/>
              </w:trPr>
              <w:tc>
                <w:tcPr>
                  <w:tcW w:w="102" w:type="pct"/>
                  <w:vMerge w:val="continue"/>
                  <w:vAlign w:val="center"/>
                </w:tcPr>
                <w:p w14:paraId="72E2705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color w:val="auto"/>
                      <w:kern w:val="0"/>
                      <w:sz w:val="18"/>
                      <w:szCs w:val="18"/>
                    </w:rPr>
                  </w:pPr>
                </w:p>
              </w:tc>
              <w:tc>
                <w:tcPr>
                  <w:tcW w:w="196" w:type="pct"/>
                  <w:vMerge w:val="continue"/>
                  <w:vAlign w:val="center"/>
                </w:tcPr>
                <w:p w14:paraId="2777E39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color w:val="auto"/>
                      <w:kern w:val="0"/>
                      <w:sz w:val="18"/>
                      <w:szCs w:val="18"/>
                    </w:rPr>
                  </w:pPr>
                </w:p>
              </w:tc>
              <w:tc>
                <w:tcPr>
                  <w:tcW w:w="333" w:type="pct"/>
                  <w:vMerge w:val="continue"/>
                  <w:vAlign w:val="center"/>
                </w:tcPr>
                <w:p w14:paraId="45BDEF4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color w:val="auto"/>
                      <w:kern w:val="0"/>
                      <w:sz w:val="18"/>
                      <w:szCs w:val="18"/>
                    </w:rPr>
                  </w:pPr>
                </w:p>
              </w:tc>
              <w:tc>
                <w:tcPr>
                  <w:tcW w:w="278" w:type="pct"/>
                  <w:vMerge w:val="continue"/>
                  <w:vAlign w:val="center"/>
                </w:tcPr>
                <w:p w14:paraId="70B394D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color w:val="auto"/>
                      <w:kern w:val="0"/>
                      <w:sz w:val="18"/>
                      <w:szCs w:val="18"/>
                    </w:rPr>
                  </w:pPr>
                </w:p>
              </w:tc>
              <w:tc>
                <w:tcPr>
                  <w:tcW w:w="704" w:type="pct"/>
                  <w:vMerge w:val="continue"/>
                  <w:vAlign w:val="center"/>
                </w:tcPr>
                <w:p w14:paraId="164FF03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color w:val="auto"/>
                      <w:kern w:val="0"/>
                      <w:sz w:val="18"/>
                      <w:szCs w:val="18"/>
                    </w:rPr>
                  </w:pPr>
                </w:p>
              </w:tc>
              <w:tc>
                <w:tcPr>
                  <w:tcW w:w="467" w:type="pct"/>
                  <w:vAlign w:val="center"/>
                </w:tcPr>
                <w:p w14:paraId="7C6BEEA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color w:val="auto"/>
                      <w:kern w:val="0"/>
                      <w:sz w:val="18"/>
                      <w:szCs w:val="18"/>
                    </w:rPr>
                  </w:pPr>
                  <w:r>
                    <w:rPr>
                      <w:rFonts w:hint="eastAsia"/>
                      <w:b/>
                      <w:color w:val="auto"/>
                      <w:kern w:val="0"/>
                      <w:sz w:val="18"/>
                      <w:szCs w:val="18"/>
                    </w:rPr>
                    <w:t>污染治理设施编号</w:t>
                  </w:r>
                </w:p>
              </w:tc>
              <w:tc>
                <w:tcPr>
                  <w:tcW w:w="328" w:type="pct"/>
                  <w:vAlign w:val="center"/>
                </w:tcPr>
                <w:p w14:paraId="64559F1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color w:val="auto"/>
                      <w:kern w:val="0"/>
                      <w:sz w:val="18"/>
                      <w:szCs w:val="18"/>
                    </w:rPr>
                  </w:pPr>
                  <w:r>
                    <w:rPr>
                      <w:rFonts w:hint="eastAsia"/>
                      <w:b/>
                      <w:color w:val="auto"/>
                      <w:kern w:val="0"/>
                      <w:sz w:val="18"/>
                      <w:szCs w:val="18"/>
                    </w:rPr>
                    <w:t>污染治理设施名称</w:t>
                  </w:r>
                </w:p>
              </w:tc>
              <w:tc>
                <w:tcPr>
                  <w:tcW w:w="387" w:type="pct"/>
                  <w:vAlign w:val="center"/>
                </w:tcPr>
                <w:p w14:paraId="465B5C7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color w:val="auto"/>
                      <w:kern w:val="0"/>
                      <w:sz w:val="18"/>
                      <w:szCs w:val="18"/>
                    </w:rPr>
                  </w:pPr>
                  <w:r>
                    <w:rPr>
                      <w:rFonts w:hint="eastAsia"/>
                      <w:b/>
                      <w:color w:val="auto"/>
                      <w:kern w:val="0"/>
                      <w:sz w:val="18"/>
                      <w:szCs w:val="18"/>
                    </w:rPr>
                    <w:t>污染治理设施工艺*</w:t>
                  </w:r>
                </w:p>
              </w:tc>
              <w:tc>
                <w:tcPr>
                  <w:tcW w:w="328" w:type="pct"/>
                  <w:vAlign w:val="center"/>
                </w:tcPr>
                <w:p w14:paraId="2E00C5A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color w:val="auto"/>
                      <w:kern w:val="0"/>
                      <w:sz w:val="18"/>
                      <w:szCs w:val="18"/>
                    </w:rPr>
                  </w:pPr>
                  <w:r>
                    <w:rPr>
                      <w:rFonts w:hint="eastAsia"/>
                      <w:b/>
                      <w:color w:val="auto"/>
                      <w:kern w:val="0"/>
                      <w:sz w:val="18"/>
                      <w:szCs w:val="18"/>
                    </w:rPr>
                    <w:t>处理能力</w:t>
                  </w:r>
                </w:p>
              </w:tc>
              <w:tc>
                <w:tcPr>
                  <w:tcW w:w="348" w:type="pct"/>
                  <w:vAlign w:val="center"/>
                </w:tcPr>
                <w:p w14:paraId="3F85B75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color w:val="auto"/>
                      <w:kern w:val="0"/>
                      <w:sz w:val="18"/>
                      <w:szCs w:val="18"/>
                    </w:rPr>
                  </w:pPr>
                  <w:r>
                    <w:rPr>
                      <w:rFonts w:hint="eastAsia"/>
                      <w:b/>
                      <w:color w:val="auto"/>
                      <w:kern w:val="0"/>
                      <w:sz w:val="18"/>
                      <w:szCs w:val="18"/>
                    </w:rPr>
                    <w:t>是否为可行技术</w:t>
                  </w:r>
                </w:p>
              </w:tc>
              <w:tc>
                <w:tcPr>
                  <w:tcW w:w="268" w:type="pct"/>
                  <w:vMerge w:val="continue"/>
                  <w:vAlign w:val="center"/>
                </w:tcPr>
                <w:p w14:paraId="49FE171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color w:val="auto"/>
                      <w:kern w:val="0"/>
                      <w:sz w:val="18"/>
                      <w:szCs w:val="18"/>
                    </w:rPr>
                  </w:pPr>
                </w:p>
              </w:tc>
              <w:tc>
                <w:tcPr>
                  <w:tcW w:w="348" w:type="pct"/>
                  <w:vMerge w:val="continue"/>
                  <w:vAlign w:val="center"/>
                </w:tcPr>
                <w:p w14:paraId="384EFF9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color w:val="auto"/>
                      <w:kern w:val="0"/>
                      <w:sz w:val="18"/>
                      <w:szCs w:val="18"/>
                    </w:rPr>
                  </w:pPr>
                </w:p>
              </w:tc>
              <w:tc>
                <w:tcPr>
                  <w:tcW w:w="908" w:type="pct"/>
                  <w:vMerge w:val="continue"/>
                  <w:vAlign w:val="center"/>
                </w:tcPr>
                <w:p w14:paraId="3065971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color w:val="auto"/>
                      <w:kern w:val="0"/>
                      <w:sz w:val="18"/>
                      <w:szCs w:val="18"/>
                    </w:rPr>
                  </w:pPr>
                </w:p>
              </w:tc>
            </w:tr>
            <w:tr w14:paraId="22DD5DB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40" w:hRule="atLeast"/>
              </w:trPr>
              <w:tc>
                <w:tcPr>
                  <w:tcW w:w="102" w:type="pct"/>
                  <w:vAlign w:val="center"/>
                </w:tcPr>
                <w:p w14:paraId="17CC3B3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kern w:val="0"/>
                      <w:sz w:val="18"/>
                      <w:szCs w:val="18"/>
                    </w:rPr>
                  </w:pPr>
                  <w:r>
                    <w:rPr>
                      <w:rFonts w:hint="eastAsia"/>
                      <w:color w:val="auto"/>
                      <w:kern w:val="0"/>
                      <w:sz w:val="18"/>
                      <w:szCs w:val="18"/>
                    </w:rPr>
                    <w:t>1</w:t>
                  </w:r>
                </w:p>
              </w:tc>
              <w:tc>
                <w:tcPr>
                  <w:tcW w:w="196" w:type="pct"/>
                  <w:vAlign w:val="center"/>
                </w:tcPr>
                <w:p w14:paraId="5B2C753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eastAsia="宋体"/>
                      <w:color w:val="auto"/>
                      <w:kern w:val="0"/>
                      <w:sz w:val="18"/>
                      <w:szCs w:val="18"/>
                      <w:lang w:val="en-US" w:eastAsia="zh-CN"/>
                    </w:rPr>
                  </w:pPr>
                  <w:r>
                    <w:rPr>
                      <w:rFonts w:hint="eastAsia"/>
                      <w:color w:val="auto"/>
                      <w:kern w:val="0"/>
                      <w:sz w:val="18"/>
                      <w:szCs w:val="18"/>
                    </w:rPr>
                    <w:t>生活污水</w:t>
                  </w:r>
                </w:p>
              </w:tc>
              <w:tc>
                <w:tcPr>
                  <w:tcW w:w="333" w:type="pct"/>
                  <w:vAlign w:val="center"/>
                </w:tcPr>
                <w:p w14:paraId="2E8A625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kern w:val="0"/>
                      <w:sz w:val="18"/>
                      <w:szCs w:val="18"/>
                    </w:rPr>
                  </w:pPr>
                  <w:r>
                    <w:rPr>
                      <w:rFonts w:hint="eastAsia"/>
                      <w:color w:val="auto"/>
                      <w:kern w:val="0"/>
                      <w:sz w:val="18"/>
                      <w:szCs w:val="18"/>
                    </w:rPr>
                    <w:t>COD</w:t>
                  </w:r>
                  <w:r>
                    <w:rPr>
                      <w:rFonts w:hint="eastAsia" w:cs="宋体"/>
                      <w:color w:val="auto"/>
                      <w:kern w:val="0"/>
                      <w:sz w:val="18"/>
                      <w:szCs w:val="18"/>
                    </w:rPr>
                    <w:t>、</w:t>
                  </w:r>
                  <w:r>
                    <w:rPr>
                      <w:rFonts w:hint="eastAsia"/>
                      <w:color w:val="auto"/>
                      <w:kern w:val="0"/>
                      <w:sz w:val="18"/>
                      <w:szCs w:val="18"/>
                    </w:rPr>
                    <w:t>SS</w:t>
                  </w:r>
                  <w:r>
                    <w:rPr>
                      <w:rFonts w:hint="eastAsia" w:cs="宋体"/>
                      <w:color w:val="auto"/>
                      <w:kern w:val="0"/>
                      <w:sz w:val="18"/>
                      <w:szCs w:val="18"/>
                    </w:rPr>
                    <w:t>、</w:t>
                  </w:r>
                  <w:r>
                    <w:rPr>
                      <w:rFonts w:hint="eastAsia"/>
                      <w:color w:val="auto"/>
                      <w:kern w:val="0"/>
                      <w:sz w:val="18"/>
                      <w:szCs w:val="18"/>
                    </w:rPr>
                    <w:t>NH</w:t>
                  </w:r>
                  <w:r>
                    <w:rPr>
                      <w:rFonts w:hint="eastAsia"/>
                      <w:color w:val="auto"/>
                      <w:kern w:val="0"/>
                      <w:sz w:val="18"/>
                      <w:szCs w:val="18"/>
                      <w:vertAlign w:val="subscript"/>
                    </w:rPr>
                    <w:t>3</w:t>
                  </w:r>
                  <w:r>
                    <w:rPr>
                      <w:rFonts w:hint="eastAsia"/>
                      <w:color w:val="auto"/>
                      <w:kern w:val="0"/>
                      <w:sz w:val="18"/>
                      <w:szCs w:val="18"/>
                    </w:rPr>
                    <w:t>-N</w:t>
                  </w:r>
                  <w:r>
                    <w:rPr>
                      <w:rFonts w:hint="eastAsia" w:cs="宋体"/>
                      <w:color w:val="auto"/>
                      <w:kern w:val="0"/>
                      <w:sz w:val="18"/>
                      <w:szCs w:val="18"/>
                    </w:rPr>
                    <w:t>、</w:t>
                  </w:r>
                  <w:r>
                    <w:rPr>
                      <w:rFonts w:hint="eastAsia"/>
                      <w:color w:val="auto"/>
                      <w:kern w:val="0"/>
                      <w:sz w:val="18"/>
                      <w:szCs w:val="18"/>
                    </w:rPr>
                    <w:t>TN</w:t>
                  </w:r>
                  <w:r>
                    <w:rPr>
                      <w:rFonts w:hint="eastAsia" w:cs="宋体"/>
                      <w:color w:val="auto"/>
                      <w:kern w:val="0"/>
                      <w:sz w:val="18"/>
                      <w:szCs w:val="18"/>
                    </w:rPr>
                    <w:t>、</w:t>
                  </w:r>
                  <w:r>
                    <w:rPr>
                      <w:rFonts w:hint="eastAsia"/>
                      <w:color w:val="auto"/>
                      <w:kern w:val="0"/>
                      <w:sz w:val="18"/>
                      <w:szCs w:val="18"/>
                    </w:rPr>
                    <w:t>TP</w:t>
                  </w:r>
                </w:p>
              </w:tc>
              <w:tc>
                <w:tcPr>
                  <w:tcW w:w="278" w:type="pct"/>
                  <w:vAlign w:val="center"/>
                </w:tcPr>
                <w:p w14:paraId="2E9D4CA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kern w:val="0"/>
                      <w:sz w:val="18"/>
                      <w:szCs w:val="18"/>
                    </w:rPr>
                  </w:pPr>
                  <w:r>
                    <w:rPr>
                      <w:rFonts w:hint="eastAsia"/>
                      <w:color w:val="auto"/>
                      <w:kern w:val="0"/>
                      <w:sz w:val="18"/>
                      <w:szCs w:val="18"/>
                      <w:lang w:eastAsia="zh-CN"/>
                    </w:rPr>
                    <w:t>新渡片</w:t>
                  </w:r>
                  <w:r>
                    <w:rPr>
                      <w:rFonts w:hint="eastAsia"/>
                      <w:color w:val="auto"/>
                      <w:kern w:val="0"/>
                      <w:sz w:val="18"/>
                      <w:szCs w:val="18"/>
                    </w:rPr>
                    <w:t>区污水处理厂</w:t>
                  </w:r>
                </w:p>
              </w:tc>
              <w:tc>
                <w:tcPr>
                  <w:tcW w:w="704" w:type="pct"/>
                  <w:vAlign w:val="center"/>
                </w:tcPr>
                <w:p w14:paraId="4D9D954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kern w:val="0"/>
                      <w:sz w:val="18"/>
                      <w:szCs w:val="18"/>
                    </w:rPr>
                  </w:pPr>
                  <w:r>
                    <w:rPr>
                      <w:rFonts w:hint="eastAsia"/>
                      <w:color w:val="auto"/>
                      <w:kern w:val="0"/>
                      <w:sz w:val="18"/>
                      <w:szCs w:val="18"/>
                    </w:rPr>
                    <w:t>间断排放，排放期间流量不稳定，但有规律，且不属于非周期性规律</w:t>
                  </w:r>
                </w:p>
              </w:tc>
              <w:tc>
                <w:tcPr>
                  <w:tcW w:w="467" w:type="pct"/>
                  <w:vAlign w:val="center"/>
                </w:tcPr>
                <w:p w14:paraId="0ACC9B6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eastAsia="宋体"/>
                      <w:color w:val="auto"/>
                      <w:kern w:val="0"/>
                      <w:sz w:val="18"/>
                      <w:szCs w:val="18"/>
                      <w:lang w:eastAsia="zh-CN"/>
                    </w:rPr>
                  </w:pPr>
                  <w:r>
                    <w:rPr>
                      <w:rFonts w:hint="eastAsia"/>
                      <w:color w:val="auto"/>
                      <w:kern w:val="0"/>
                      <w:sz w:val="18"/>
                      <w:szCs w:val="18"/>
                    </w:rPr>
                    <w:t>TW00</w:t>
                  </w:r>
                  <w:r>
                    <w:rPr>
                      <w:rFonts w:hint="eastAsia"/>
                      <w:color w:val="auto"/>
                      <w:kern w:val="0"/>
                      <w:sz w:val="18"/>
                      <w:szCs w:val="18"/>
                      <w:lang w:val="en-US" w:eastAsia="zh-CN"/>
                    </w:rPr>
                    <w:t>1</w:t>
                  </w:r>
                </w:p>
              </w:tc>
              <w:tc>
                <w:tcPr>
                  <w:tcW w:w="328" w:type="pct"/>
                  <w:vAlign w:val="center"/>
                </w:tcPr>
                <w:p w14:paraId="1EE56C0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r>
                    <w:rPr>
                      <w:rFonts w:hint="eastAsia"/>
                      <w:color w:val="auto"/>
                      <w:sz w:val="18"/>
                      <w:szCs w:val="18"/>
                      <w:lang w:val="en-US" w:eastAsia="zh-CN"/>
                    </w:rPr>
                    <w:t>化粪池</w:t>
                  </w:r>
                </w:p>
              </w:tc>
              <w:tc>
                <w:tcPr>
                  <w:tcW w:w="387" w:type="pct"/>
                  <w:vAlign w:val="center"/>
                </w:tcPr>
                <w:p w14:paraId="3ADE2EB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rPr>
                      <w:rFonts w:hint="default" w:eastAsia="宋体"/>
                      <w:color w:val="auto"/>
                      <w:sz w:val="18"/>
                      <w:szCs w:val="18"/>
                      <w:lang w:val="en-US" w:eastAsia="zh-CN"/>
                    </w:rPr>
                  </w:pPr>
                  <w:r>
                    <w:rPr>
                      <w:rFonts w:hint="eastAsia" w:ascii="Times New Roman" w:hAnsi="Times New Roman" w:cs="Times New Roman" w:eastAsiaTheme="minorEastAsia"/>
                      <w:color w:val="auto"/>
                      <w:sz w:val="18"/>
                      <w:szCs w:val="18"/>
                    </w:rPr>
                    <w:t>沉淀、厌氧消化</w:t>
                  </w:r>
                </w:p>
              </w:tc>
              <w:tc>
                <w:tcPr>
                  <w:tcW w:w="328" w:type="pct"/>
                  <w:vAlign w:val="center"/>
                </w:tcPr>
                <w:p w14:paraId="64679C5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eastAsia="宋体"/>
                      <w:color w:val="auto"/>
                      <w:sz w:val="18"/>
                      <w:szCs w:val="18"/>
                      <w:lang w:val="en-US" w:eastAsia="zh-CN"/>
                    </w:rPr>
                  </w:pPr>
                  <w:r>
                    <w:rPr>
                      <w:rFonts w:hint="eastAsia"/>
                      <w:color w:val="auto"/>
                      <w:sz w:val="18"/>
                      <w:szCs w:val="18"/>
                      <w:lang w:val="en-US" w:eastAsia="zh-CN"/>
                    </w:rPr>
                    <w:t>1</w:t>
                  </w:r>
                  <w:r>
                    <w:rPr>
                      <w:rFonts w:hint="eastAsia"/>
                      <w:color w:val="auto"/>
                      <w:sz w:val="18"/>
                      <w:szCs w:val="18"/>
                    </w:rPr>
                    <w:t>m</w:t>
                  </w:r>
                  <w:r>
                    <w:rPr>
                      <w:rFonts w:hint="eastAsia"/>
                      <w:color w:val="auto"/>
                      <w:sz w:val="18"/>
                      <w:szCs w:val="18"/>
                      <w:vertAlign w:val="superscript"/>
                    </w:rPr>
                    <w:t>3</w:t>
                  </w:r>
                </w:p>
              </w:tc>
              <w:tc>
                <w:tcPr>
                  <w:tcW w:w="348" w:type="pct"/>
                  <w:vAlign w:val="center"/>
                </w:tcPr>
                <w:p w14:paraId="68AA06E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r>
                    <w:rPr>
                      <w:rFonts w:hint="eastAsia"/>
                      <w:color w:val="auto"/>
                      <w:sz w:val="18"/>
                      <w:szCs w:val="18"/>
                    </w:rPr>
                    <w:t>是</w:t>
                  </w:r>
                </w:p>
              </w:tc>
              <w:tc>
                <w:tcPr>
                  <w:tcW w:w="268" w:type="pct"/>
                  <w:vAlign w:val="center"/>
                </w:tcPr>
                <w:p w14:paraId="3B3D961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kern w:val="0"/>
                      <w:sz w:val="18"/>
                      <w:szCs w:val="18"/>
                    </w:rPr>
                  </w:pPr>
                  <w:r>
                    <w:rPr>
                      <w:rFonts w:hint="eastAsia"/>
                      <w:color w:val="auto"/>
                      <w:kern w:val="0"/>
                      <w:sz w:val="18"/>
                      <w:szCs w:val="18"/>
                    </w:rPr>
                    <w:t>DW001</w:t>
                  </w:r>
                </w:p>
              </w:tc>
              <w:tc>
                <w:tcPr>
                  <w:tcW w:w="348" w:type="pct"/>
                  <w:vAlign w:val="center"/>
                </w:tcPr>
                <w:p w14:paraId="4BC0201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kern w:val="0"/>
                      <w:sz w:val="18"/>
                      <w:szCs w:val="18"/>
                    </w:rPr>
                  </w:pPr>
                  <w:r>
                    <w:rPr>
                      <w:rFonts w:hint="eastAsia" w:ascii="Segoe UI Symbol" w:hAnsi="Segoe UI Symbol" w:cs="Segoe UI Symbol"/>
                      <w:color w:val="auto"/>
                      <w:spacing w:val="-7"/>
                      <w:kern w:val="0"/>
                      <w:sz w:val="18"/>
                      <w:szCs w:val="18"/>
                    </w:rPr>
                    <w:t>☑</w:t>
                  </w:r>
                  <w:r>
                    <w:rPr>
                      <w:rFonts w:hint="eastAsia"/>
                      <w:color w:val="auto"/>
                      <w:kern w:val="0"/>
                      <w:sz w:val="18"/>
                      <w:szCs w:val="18"/>
                    </w:rPr>
                    <w:t>是</w:t>
                  </w:r>
                </w:p>
                <w:p w14:paraId="4CF29DC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kern w:val="0"/>
                      <w:sz w:val="18"/>
                      <w:szCs w:val="18"/>
                    </w:rPr>
                  </w:pPr>
                  <w:r>
                    <w:rPr>
                      <w:rFonts w:hint="eastAsia"/>
                      <w:color w:val="auto"/>
                      <w:kern w:val="0"/>
                      <w:sz w:val="18"/>
                      <w:szCs w:val="18"/>
                    </w:rPr>
                    <w:t>□否</w:t>
                  </w:r>
                </w:p>
              </w:tc>
              <w:tc>
                <w:tcPr>
                  <w:tcW w:w="908" w:type="pct"/>
                  <w:vAlign w:val="center"/>
                </w:tcPr>
                <w:p w14:paraId="23E98B9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kern w:val="0"/>
                      <w:sz w:val="18"/>
                      <w:szCs w:val="18"/>
                    </w:rPr>
                  </w:pPr>
                  <w:r>
                    <w:rPr>
                      <w:rFonts w:hint="eastAsia" w:ascii="Segoe UI Symbol" w:hAnsi="Segoe UI Symbol" w:cs="Segoe UI Symbol"/>
                      <w:color w:val="auto"/>
                      <w:spacing w:val="-7"/>
                      <w:kern w:val="0"/>
                      <w:sz w:val="18"/>
                      <w:szCs w:val="18"/>
                    </w:rPr>
                    <w:t>☑</w:t>
                  </w:r>
                  <w:r>
                    <w:rPr>
                      <w:rFonts w:hint="eastAsia"/>
                      <w:color w:val="auto"/>
                      <w:kern w:val="0"/>
                      <w:sz w:val="18"/>
                      <w:szCs w:val="18"/>
                    </w:rPr>
                    <w:t>企业总排</w:t>
                  </w:r>
                </w:p>
                <w:p w14:paraId="516B5AD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kern w:val="0"/>
                      <w:sz w:val="18"/>
                      <w:szCs w:val="18"/>
                    </w:rPr>
                  </w:pPr>
                  <w:r>
                    <w:rPr>
                      <w:rFonts w:hint="eastAsia"/>
                      <w:color w:val="auto"/>
                      <w:kern w:val="0"/>
                      <w:sz w:val="18"/>
                      <w:szCs w:val="18"/>
                    </w:rPr>
                    <w:t>□雨水排放</w:t>
                  </w:r>
                </w:p>
                <w:p w14:paraId="2B7BCB0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kern w:val="0"/>
                      <w:sz w:val="18"/>
                      <w:szCs w:val="18"/>
                    </w:rPr>
                  </w:pPr>
                  <w:r>
                    <w:rPr>
                      <w:rFonts w:hint="eastAsia"/>
                      <w:color w:val="auto"/>
                      <w:kern w:val="0"/>
                      <w:sz w:val="18"/>
                      <w:szCs w:val="18"/>
                    </w:rPr>
                    <w:t>□清净下水排放</w:t>
                  </w:r>
                </w:p>
                <w:p w14:paraId="367F982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kern w:val="0"/>
                      <w:sz w:val="18"/>
                      <w:szCs w:val="18"/>
                    </w:rPr>
                  </w:pPr>
                  <w:r>
                    <w:rPr>
                      <w:rFonts w:hint="eastAsia"/>
                      <w:color w:val="auto"/>
                      <w:kern w:val="0"/>
                      <w:sz w:val="18"/>
                      <w:szCs w:val="18"/>
                    </w:rPr>
                    <w:t>□温排水排放</w:t>
                  </w:r>
                </w:p>
                <w:p w14:paraId="788813A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kern w:val="0"/>
                      <w:sz w:val="18"/>
                      <w:szCs w:val="18"/>
                    </w:rPr>
                  </w:pPr>
                  <w:r>
                    <w:rPr>
                      <w:rFonts w:hint="eastAsia"/>
                      <w:color w:val="auto"/>
                      <w:kern w:val="0"/>
                      <w:sz w:val="18"/>
                      <w:szCs w:val="18"/>
                    </w:rPr>
                    <w:t>□厂房或厂房处理设施排放口</w:t>
                  </w:r>
                </w:p>
              </w:tc>
            </w:tr>
          </w:tbl>
          <w:p w14:paraId="5765F1F5">
            <w:pPr>
              <w:keepNext w:val="0"/>
              <w:keepLines w:val="0"/>
              <w:suppressLineNumbers w:val="0"/>
              <w:spacing w:before="156" w:beforeLines="50" w:beforeAutospacing="0" w:after="0" w:afterAutospacing="0" w:line="240" w:lineRule="auto"/>
              <w:ind w:left="0" w:right="0" w:firstLine="0" w:firstLineChars="0"/>
              <w:jc w:val="center"/>
              <w:rPr>
                <w:rFonts w:hint="eastAsia"/>
                <w:b/>
                <w:bCs/>
                <w:color w:val="auto"/>
              </w:rPr>
            </w:pPr>
            <w:r>
              <w:rPr>
                <w:rFonts w:hint="eastAsia"/>
                <w:b/>
                <w:bCs/>
                <w:color w:val="auto"/>
              </w:rPr>
              <w:t>表4.2-</w:t>
            </w:r>
            <w:r>
              <w:rPr>
                <w:rFonts w:hint="eastAsia"/>
                <w:b/>
                <w:bCs/>
                <w:color w:val="auto"/>
                <w:lang w:val="en-US" w:eastAsia="zh-CN"/>
              </w:rPr>
              <w:t>3</w:t>
            </w:r>
            <w:r>
              <w:rPr>
                <w:rFonts w:hint="eastAsia"/>
                <w:b/>
                <w:bCs/>
                <w:color w:val="auto"/>
              </w:rPr>
              <w:t xml:space="preserve">  废水间接排放口基本情况表</w:t>
            </w:r>
          </w:p>
          <w:tbl>
            <w:tblPr>
              <w:tblStyle w:val="27"/>
              <w:tblW w:w="4927"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28" w:type="dxa"/>
                <w:bottom w:w="0" w:type="dxa"/>
                <w:right w:w="28" w:type="dxa"/>
              </w:tblCellMar>
            </w:tblPr>
            <w:tblGrid>
              <w:gridCol w:w="237"/>
              <w:gridCol w:w="1156"/>
              <w:gridCol w:w="1228"/>
              <w:gridCol w:w="1185"/>
              <w:gridCol w:w="1241"/>
              <w:gridCol w:w="1326"/>
              <w:gridCol w:w="1185"/>
              <w:gridCol w:w="1547"/>
              <w:gridCol w:w="599"/>
              <w:gridCol w:w="975"/>
              <w:gridCol w:w="953"/>
              <w:gridCol w:w="1672"/>
            </w:tblGrid>
            <w:tr w14:paraId="5DD1F30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208" w:hRule="atLeast"/>
              </w:trPr>
              <w:tc>
                <w:tcPr>
                  <w:tcW w:w="89" w:type="pct"/>
                  <w:vMerge w:val="restart"/>
                  <w:vAlign w:val="center"/>
                </w:tcPr>
                <w:p w14:paraId="0D75439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bCs/>
                      <w:color w:val="auto"/>
                      <w:sz w:val="18"/>
                      <w:szCs w:val="18"/>
                    </w:rPr>
                  </w:pPr>
                  <w:r>
                    <w:rPr>
                      <w:rFonts w:hint="eastAsia"/>
                      <w:b/>
                      <w:bCs/>
                      <w:color w:val="auto"/>
                      <w:sz w:val="18"/>
                      <w:szCs w:val="18"/>
                    </w:rPr>
                    <w:t>序号</w:t>
                  </w:r>
                </w:p>
              </w:tc>
              <w:tc>
                <w:tcPr>
                  <w:tcW w:w="434" w:type="pct"/>
                  <w:vMerge w:val="restart"/>
                  <w:vAlign w:val="center"/>
                </w:tcPr>
                <w:p w14:paraId="1323A95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eastAsia="宋体"/>
                      <w:b/>
                      <w:bCs/>
                      <w:color w:val="auto"/>
                      <w:sz w:val="18"/>
                      <w:szCs w:val="18"/>
                      <w:lang w:val="en-US" w:eastAsia="zh-CN"/>
                    </w:rPr>
                  </w:pPr>
                  <w:r>
                    <w:rPr>
                      <w:rFonts w:hint="eastAsia"/>
                      <w:b/>
                      <w:bCs/>
                      <w:color w:val="auto"/>
                      <w:sz w:val="18"/>
                      <w:szCs w:val="18"/>
                    </w:rPr>
                    <w:t>排放口编号</w:t>
                  </w:r>
                </w:p>
              </w:tc>
              <w:tc>
                <w:tcPr>
                  <w:tcW w:w="461" w:type="pct"/>
                  <w:vMerge w:val="restart"/>
                  <w:vAlign w:val="center"/>
                </w:tcPr>
                <w:p w14:paraId="2C7B933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bCs/>
                      <w:color w:val="auto"/>
                      <w:sz w:val="18"/>
                      <w:szCs w:val="18"/>
                    </w:rPr>
                  </w:pPr>
                  <w:r>
                    <w:rPr>
                      <w:rFonts w:hint="eastAsia"/>
                      <w:b/>
                      <w:bCs/>
                      <w:color w:val="auto"/>
                      <w:sz w:val="18"/>
                      <w:szCs w:val="18"/>
                    </w:rPr>
                    <w:t>排放口类型</w:t>
                  </w:r>
                </w:p>
              </w:tc>
              <w:tc>
                <w:tcPr>
                  <w:tcW w:w="911" w:type="pct"/>
                  <w:gridSpan w:val="2"/>
                  <w:vAlign w:val="center"/>
                </w:tcPr>
                <w:p w14:paraId="7E64516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bCs/>
                      <w:color w:val="auto"/>
                      <w:sz w:val="18"/>
                      <w:szCs w:val="18"/>
                    </w:rPr>
                  </w:pPr>
                  <w:r>
                    <w:rPr>
                      <w:rFonts w:hint="eastAsia"/>
                      <w:b/>
                      <w:bCs/>
                      <w:color w:val="auto"/>
                      <w:sz w:val="18"/>
                      <w:szCs w:val="18"/>
                    </w:rPr>
                    <w:t>排放口地理坐标</w:t>
                  </w:r>
                </w:p>
              </w:tc>
              <w:tc>
                <w:tcPr>
                  <w:tcW w:w="498" w:type="pct"/>
                  <w:vMerge w:val="restart"/>
                  <w:vAlign w:val="center"/>
                </w:tcPr>
                <w:p w14:paraId="4E3F38D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bCs/>
                      <w:color w:val="auto"/>
                      <w:sz w:val="18"/>
                      <w:szCs w:val="18"/>
                    </w:rPr>
                  </w:pPr>
                  <w:r>
                    <w:rPr>
                      <w:rFonts w:hint="eastAsia"/>
                      <w:b/>
                      <w:bCs/>
                      <w:color w:val="auto"/>
                      <w:sz w:val="18"/>
                      <w:szCs w:val="18"/>
                    </w:rPr>
                    <w:t>废水排放量（</w:t>
                  </w:r>
                  <w:r>
                    <w:rPr>
                      <w:rFonts w:hint="eastAsia"/>
                      <w:b/>
                      <w:bCs/>
                      <w:color w:val="auto"/>
                      <w:sz w:val="18"/>
                      <w:szCs w:val="18"/>
                      <w:lang w:val="en-US" w:eastAsia="zh-CN"/>
                    </w:rPr>
                    <w:t>t</w:t>
                  </w:r>
                  <w:r>
                    <w:rPr>
                      <w:rFonts w:hint="eastAsia"/>
                      <w:b/>
                      <w:bCs/>
                      <w:color w:val="auto"/>
                      <w:sz w:val="18"/>
                      <w:szCs w:val="18"/>
                    </w:rPr>
                    <w:t>/a）</w:t>
                  </w:r>
                </w:p>
              </w:tc>
              <w:tc>
                <w:tcPr>
                  <w:tcW w:w="445" w:type="pct"/>
                  <w:vMerge w:val="restart"/>
                  <w:vAlign w:val="center"/>
                </w:tcPr>
                <w:p w14:paraId="7A93C99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bCs/>
                      <w:color w:val="auto"/>
                      <w:sz w:val="18"/>
                      <w:szCs w:val="18"/>
                    </w:rPr>
                  </w:pPr>
                  <w:r>
                    <w:rPr>
                      <w:rFonts w:hint="eastAsia"/>
                      <w:b/>
                      <w:bCs/>
                      <w:color w:val="auto"/>
                      <w:sz w:val="18"/>
                      <w:szCs w:val="18"/>
                    </w:rPr>
                    <w:t>排放去向</w:t>
                  </w:r>
                </w:p>
              </w:tc>
              <w:tc>
                <w:tcPr>
                  <w:tcW w:w="581" w:type="pct"/>
                  <w:vMerge w:val="restart"/>
                  <w:vAlign w:val="center"/>
                </w:tcPr>
                <w:p w14:paraId="2DEB547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bCs/>
                      <w:color w:val="auto"/>
                      <w:sz w:val="18"/>
                      <w:szCs w:val="18"/>
                    </w:rPr>
                  </w:pPr>
                  <w:r>
                    <w:rPr>
                      <w:rFonts w:hint="eastAsia"/>
                      <w:b/>
                      <w:bCs/>
                      <w:color w:val="auto"/>
                      <w:sz w:val="18"/>
                      <w:szCs w:val="18"/>
                    </w:rPr>
                    <w:t>排放规律</w:t>
                  </w:r>
                </w:p>
              </w:tc>
              <w:tc>
                <w:tcPr>
                  <w:tcW w:w="225" w:type="pct"/>
                  <w:vMerge w:val="restart"/>
                  <w:vAlign w:val="center"/>
                </w:tcPr>
                <w:p w14:paraId="11CF2A0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bCs/>
                      <w:color w:val="auto"/>
                      <w:sz w:val="18"/>
                      <w:szCs w:val="18"/>
                    </w:rPr>
                  </w:pPr>
                  <w:r>
                    <w:rPr>
                      <w:rFonts w:hint="eastAsia"/>
                      <w:b/>
                      <w:bCs/>
                      <w:color w:val="auto"/>
                      <w:sz w:val="18"/>
                      <w:szCs w:val="18"/>
                    </w:rPr>
                    <w:t>间歇排放时段</w:t>
                  </w:r>
                </w:p>
              </w:tc>
              <w:tc>
                <w:tcPr>
                  <w:tcW w:w="1352" w:type="pct"/>
                  <w:gridSpan w:val="3"/>
                  <w:vAlign w:val="center"/>
                </w:tcPr>
                <w:p w14:paraId="4A6D0DC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bCs/>
                      <w:color w:val="auto"/>
                      <w:sz w:val="18"/>
                      <w:szCs w:val="18"/>
                    </w:rPr>
                  </w:pPr>
                  <w:r>
                    <w:rPr>
                      <w:rFonts w:hint="eastAsia"/>
                      <w:b/>
                      <w:bCs/>
                      <w:color w:val="auto"/>
                      <w:sz w:val="18"/>
                      <w:szCs w:val="18"/>
                    </w:rPr>
                    <w:t>受纳污水处理厂信息</w:t>
                  </w:r>
                </w:p>
              </w:tc>
            </w:tr>
            <w:tr w14:paraId="0576E43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613" w:hRule="atLeast"/>
              </w:trPr>
              <w:tc>
                <w:tcPr>
                  <w:tcW w:w="89" w:type="pct"/>
                  <w:vMerge w:val="continue"/>
                  <w:vAlign w:val="center"/>
                </w:tcPr>
                <w:p w14:paraId="56F50FC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bCs/>
                      <w:color w:val="auto"/>
                      <w:sz w:val="18"/>
                      <w:szCs w:val="18"/>
                    </w:rPr>
                  </w:pPr>
                </w:p>
              </w:tc>
              <w:tc>
                <w:tcPr>
                  <w:tcW w:w="434" w:type="pct"/>
                  <w:vMerge w:val="continue"/>
                  <w:vAlign w:val="center"/>
                </w:tcPr>
                <w:p w14:paraId="296F51F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bCs/>
                      <w:color w:val="auto"/>
                      <w:sz w:val="18"/>
                      <w:szCs w:val="18"/>
                    </w:rPr>
                  </w:pPr>
                </w:p>
              </w:tc>
              <w:tc>
                <w:tcPr>
                  <w:tcW w:w="461" w:type="pct"/>
                  <w:vMerge w:val="continue"/>
                  <w:vAlign w:val="center"/>
                </w:tcPr>
                <w:p w14:paraId="7D8DD1D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bCs/>
                      <w:color w:val="auto"/>
                      <w:sz w:val="18"/>
                      <w:szCs w:val="18"/>
                    </w:rPr>
                  </w:pPr>
                </w:p>
              </w:tc>
              <w:tc>
                <w:tcPr>
                  <w:tcW w:w="445" w:type="pct"/>
                  <w:vAlign w:val="center"/>
                </w:tcPr>
                <w:p w14:paraId="7C4890F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bCs/>
                      <w:color w:val="auto"/>
                      <w:sz w:val="18"/>
                      <w:szCs w:val="18"/>
                    </w:rPr>
                  </w:pPr>
                  <w:r>
                    <w:rPr>
                      <w:rFonts w:hint="eastAsia"/>
                      <w:b/>
                      <w:bCs/>
                      <w:color w:val="auto"/>
                      <w:sz w:val="18"/>
                      <w:szCs w:val="18"/>
                    </w:rPr>
                    <w:t>经度</w:t>
                  </w:r>
                </w:p>
              </w:tc>
              <w:tc>
                <w:tcPr>
                  <w:tcW w:w="466" w:type="pct"/>
                  <w:vAlign w:val="center"/>
                </w:tcPr>
                <w:p w14:paraId="70B4DAF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bCs/>
                      <w:color w:val="auto"/>
                      <w:sz w:val="18"/>
                      <w:szCs w:val="18"/>
                    </w:rPr>
                  </w:pPr>
                  <w:r>
                    <w:rPr>
                      <w:rFonts w:hint="eastAsia"/>
                      <w:b/>
                      <w:bCs/>
                      <w:color w:val="auto"/>
                      <w:sz w:val="18"/>
                      <w:szCs w:val="18"/>
                    </w:rPr>
                    <w:t>纬度</w:t>
                  </w:r>
                </w:p>
              </w:tc>
              <w:tc>
                <w:tcPr>
                  <w:tcW w:w="498" w:type="pct"/>
                  <w:vMerge w:val="continue"/>
                  <w:vAlign w:val="center"/>
                </w:tcPr>
                <w:p w14:paraId="3D1F750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bCs/>
                      <w:color w:val="auto"/>
                      <w:sz w:val="18"/>
                      <w:szCs w:val="18"/>
                    </w:rPr>
                  </w:pPr>
                </w:p>
              </w:tc>
              <w:tc>
                <w:tcPr>
                  <w:tcW w:w="445" w:type="pct"/>
                  <w:vMerge w:val="continue"/>
                  <w:vAlign w:val="center"/>
                </w:tcPr>
                <w:p w14:paraId="10DB2D2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bCs/>
                      <w:color w:val="auto"/>
                      <w:sz w:val="18"/>
                      <w:szCs w:val="18"/>
                    </w:rPr>
                  </w:pPr>
                </w:p>
              </w:tc>
              <w:tc>
                <w:tcPr>
                  <w:tcW w:w="581" w:type="pct"/>
                  <w:vMerge w:val="continue"/>
                  <w:vAlign w:val="center"/>
                </w:tcPr>
                <w:p w14:paraId="7D5FF32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bCs/>
                      <w:color w:val="auto"/>
                      <w:sz w:val="18"/>
                      <w:szCs w:val="18"/>
                    </w:rPr>
                  </w:pPr>
                </w:p>
              </w:tc>
              <w:tc>
                <w:tcPr>
                  <w:tcW w:w="225" w:type="pct"/>
                  <w:vMerge w:val="continue"/>
                  <w:vAlign w:val="center"/>
                </w:tcPr>
                <w:p w14:paraId="24875C9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bCs/>
                      <w:color w:val="auto"/>
                      <w:sz w:val="18"/>
                      <w:szCs w:val="18"/>
                    </w:rPr>
                  </w:pPr>
                </w:p>
              </w:tc>
              <w:tc>
                <w:tcPr>
                  <w:tcW w:w="366" w:type="pct"/>
                  <w:vAlign w:val="center"/>
                </w:tcPr>
                <w:p w14:paraId="102489E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bCs/>
                      <w:color w:val="auto"/>
                      <w:sz w:val="18"/>
                      <w:szCs w:val="18"/>
                    </w:rPr>
                  </w:pPr>
                  <w:r>
                    <w:rPr>
                      <w:rFonts w:hint="eastAsia"/>
                      <w:b/>
                      <w:bCs/>
                      <w:color w:val="auto"/>
                      <w:sz w:val="18"/>
                      <w:szCs w:val="18"/>
                    </w:rPr>
                    <w:t>名称</w:t>
                  </w:r>
                </w:p>
              </w:tc>
              <w:tc>
                <w:tcPr>
                  <w:tcW w:w="358" w:type="pct"/>
                  <w:vAlign w:val="center"/>
                </w:tcPr>
                <w:p w14:paraId="6F89E72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bCs/>
                      <w:color w:val="auto"/>
                      <w:sz w:val="18"/>
                      <w:szCs w:val="18"/>
                    </w:rPr>
                  </w:pPr>
                  <w:r>
                    <w:rPr>
                      <w:rFonts w:hint="eastAsia"/>
                      <w:b/>
                      <w:bCs/>
                      <w:color w:val="auto"/>
                      <w:sz w:val="18"/>
                      <w:szCs w:val="18"/>
                    </w:rPr>
                    <w:t>污染物种类</w:t>
                  </w:r>
                </w:p>
              </w:tc>
              <w:tc>
                <w:tcPr>
                  <w:tcW w:w="628" w:type="pct"/>
                  <w:vAlign w:val="center"/>
                </w:tcPr>
                <w:p w14:paraId="7FD9E14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b/>
                      <w:bCs/>
                      <w:color w:val="auto"/>
                      <w:sz w:val="18"/>
                      <w:szCs w:val="18"/>
                    </w:rPr>
                  </w:pPr>
                  <w:r>
                    <w:rPr>
                      <w:rFonts w:hint="eastAsia"/>
                      <w:b/>
                      <w:bCs/>
                      <w:color w:val="auto"/>
                      <w:sz w:val="18"/>
                      <w:szCs w:val="18"/>
                    </w:rPr>
                    <w:t>国家或地方污染物排放标准浓度限值/(mg/L)</w:t>
                  </w:r>
                </w:p>
              </w:tc>
            </w:tr>
            <w:tr w14:paraId="2D0ADE4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93" w:hRule="atLeast"/>
              </w:trPr>
              <w:tc>
                <w:tcPr>
                  <w:tcW w:w="89" w:type="pct"/>
                  <w:vMerge w:val="restart"/>
                  <w:vAlign w:val="center"/>
                </w:tcPr>
                <w:p w14:paraId="6FA3C47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r>
                    <w:rPr>
                      <w:rFonts w:hint="eastAsia"/>
                      <w:color w:val="auto"/>
                      <w:sz w:val="18"/>
                      <w:szCs w:val="18"/>
                    </w:rPr>
                    <w:t>1</w:t>
                  </w:r>
                </w:p>
              </w:tc>
              <w:tc>
                <w:tcPr>
                  <w:tcW w:w="434" w:type="pct"/>
                  <w:vMerge w:val="restart"/>
                  <w:vAlign w:val="center"/>
                </w:tcPr>
                <w:p w14:paraId="61F2C28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r>
                    <w:rPr>
                      <w:rFonts w:hint="eastAsia"/>
                      <w:color w:val="auto"/>
                      <w:sz w:val="18"/>
                      <w:szCs w:val="18"/>
                    </w:rPr>
                    <w:t>DW001</w:t>
                  </w:r>
                </w:p>
              </w:tc>
              <w:tc>
                <w:tcPr>
                  <w:tcW w:w="461" w:type="pct"/>
                  <w:vMerge w:val="restart"/>
                  <w:vAlign w:val="center"/>
                </w:tcPr>
                <w:p w14:paraId="2EE9438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r>
                    <w:rPr>
                      <w:rFonts w:hint="eastAsia"/>
                      <w:color w:val="auto"/>
                      <w:sz w:val="18"/>
                      <w:szCs w:val="18"/>
                    </w:rPr>
                    <w:t>一般排放口</w:t>
                  </w:r>
                </w:p>
              </w:tc>
              <w:tc>
                <w:tcPr>
                  <w:tcW w:w="445" w:type="pct"/>
                  <w:vMerge w:val="restart"/>
                  <w:vAlign w:val="center"/>
                </w:tcPr>
                <w:p w14:paraId="5D62D7A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eastAsia="宋体"/>
                      <w:color w:val="auto"/>
                      <w:sz w:val="18"/>
                      <w:szCs w:val="18"/>
                      <w:lang w:val="en-US" w:eastAsia="zh-CN"/>
                    </w:rPr>
                  </w:pPr>
                  <w:r>
                    <w:rPr>
                      <w:rFonts w:hint="eastAsia"/>
                      <w:color w:val="auto"/>
                      <w:sz w:val="18"/>
                      <w:szCs w:val="18"/>
                    </w:rPr>
                    <w:t>119</w:t>
                  </w:r>
                  <w:r>
                    <w:rPr>
                      <w:rFonts w:hint="eastAsia"/>
                      <w:color w:val="auto"/>
                      <w:sz w:val="18"/>
                      <w:szCs w:val="18"/>
                      <w:lang w:val="en-US" w:eastAsia="zh-CN"/>
                    </w:rPr>
                    <w:t>.072530</w:t>
                  </w:r>
                </w:p>
              </w:tc>
              <w:tc>
                <w:tcPr>
                  <w:tcW w:w="466" w:type="pct"/>
                  <w:vMerge w:val="restart"/>
                  <w:vAlign w:val="center"/>
                </w:tcPr>
                <w:p w14:paraId="30E59A7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eastAsia="宋体"/>
                      <w:color w:val="auto"/>
                      <w:sz w:val="18"/>
                      <w:szCs w:val="18"/>
                      <w:lang w:val="en-US" w:eastAsia="zh-CN"/>
                    </w:rPr>
                  </w:pPr>
                  <w:r>
                    <w:rPr>
                      <w:rFonts w:hint="eastAsia"/>
                      <w:color w:val="auto"/>
                      <w:sz w:val="18"/>
                      <w:szCs w:val="18"/>
                    </w:rPr>
                    <w:t>33</w:t>
                  </w:r>
                  <w:r>
                    <w:rPr>
                      <w:rFonts w:hint="eastAsia"/>
                      <w:color w:val="auto"/>
                      <w:sz w:val="18"/>
                      <w:szCs w:val="18"/>
                      <w:lang w:val="en-US" w:eastAsia="zh-CN"/>
                    </w:rPr>
                    <w:t>.645097</w:t>
                  </w:r>
                </w:p>
              </w:tc>
              <w:tc>
                <w:tcPr>
                  <w:tcW w:w="498" w:type="pct"/>
                  <w:vMerge w:val="restart"/>
                  <w:vAlign w:val="center"/>
                </w:tcPr>
                <w:p w14:paraId="007048E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eastAsia="宋体"/>
                      <w:color w:val="auto"/>
                      <w:sz w:val="18"/>
                      <w:szCs w:val="18"/>
                      <w:lang w:val="en-US" w:eastAsia="zh-CN"/>
                    </w:rPr>
                  </w:pPr>
                  <w:r>
                    <w:rPr>
                      <w:rFonts w:hint="eastAsia"/>
                      <w:bCs/>
                      <w:color w:val="auto"/>
                      <w:sz w:val="18"/>
                      <w:szCs w:val="18"/>
                      <w:lang w:val="en-US" w:eastAsia="zh-CN"/>
                    </w:rPr>
                    <w:t>162</w:t>
                  </w:r>
                </w:p>
              </w:tc>
              <w:tc>
                <w:tcPr>
                  <w:tcW w:w="445" w:type="pct"/>
                  <w:vMerge w:val="restart"/>
                  <w:vAlign w:val="center"/>
                </w:tcPr>
                <w:p w14:paraId="1DE4C21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r>
                    <w:rPr>
                      <w:rFonts w:hint="eastAsia"/>
                      <w:color w:val="auto"/>
                      <w:kern w:val="0"/>
                      <w:sz w:val="18"/>
                      <w:szCs w:val="18"/>
                      <w:lang w:eastAsia="zh-CN"/>
                    </w:rPr>
                    <w:t>新渡片</w:t>
                  </w:r>
                  <w:r>
                    <w:rPr>
                      <w:rFonts w:hint="eastAsia"/>
                      <w:color w:val="auto"/>
                      <w:kern w:val="0"/>
                      <w:sz w:val="18"/>
                      <w:szCs w:val="18"/>
                    </w:rPr>
                    <w:t>区污水处理</w:t>
                  </w:r>
                  <w:r>
                    <w:rPr>
                      <w:rFonts w:hint="eastAsia"/>
                      <w:color w:val="auto"/>
                      <w:sz w:val="18"/>
                      <w:szCs w:val="18"/>
                    </w:rPr>
                    <w:t>厂</w:t>
                  </w:r>
                </w:p>
              </w:tc>
              <w:tc>
                <w:tcPr>
                  <w:tcW w:w="581" w:type="pct"/>
                  <w:vMerge w:val="restart"/>
                  <w:vAlign w:val="center"/>
                </w:tcPr>
                <w:p w14:paraId="34858FC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r>
                    <w:rPr>
                      <w:rFonts w:hint="eastAsia"/>
                      <w:color w:val="auto"/>
                      <w:sz w:val="18"/>
                      <w:szCs w:val="18"/>
                    </w:rPr>
                    <w:t>间断排放，排放期间流量不稳定，但有规律，且不属于非周期性规律</w:t>
                  </w:r>
                </w:p>
              </w:tc>
              <w:tc>
                <w:tcPr>
                  <w:tcW w:w="225" w:type="pct"/>
                  <w:vMerge w:val="restart"/>
                  <w:vAlign w:val="center"/>
                </w:tcPr>
                <w:p w14:paraId="14CC5C5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r>
                    <w:rPr>
                      <w:rFonts w:hint="eastAsia"/>
                      <w:color w:val="auto"/>
                      <w:sz w:val="18"/>
                      <w:szCs w:val="18"/>
                    </w:rPr>
                    <w:t>工作日</w:t>
                  </w:r>
                </w:p>
              </w:tc>
              <w:tc>
                <w:tcPr>
                  <w:tcW w:w="366" w:type="pct"/>
                  <w:vMerge w:val="restart"/>
                  <w:vAlign w:val="center"/>
                </w:tcPr>
                <w:p w14:paraId="29DCFA2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r>
                    <w:rPr>
                      <w:rFonts w:hint="eastAsia"/>
                      <w:color w:val="auto"/>
                      <w:kern w:val="0"/>
                      <w:sz w:val="18"/>
                      <w:szCs w:val="18"/>
                      <w:lang w:eastAsia="zh-CN"/>
                    </w:rPr>
                    <w:t>新渡片</w:t>
                  </w:r>
                  <w:r>
                    <w:rPr>
                      <w:rFonts w:hint="eastAsia"/>
                      <w:color w:val="auto"/>
                      <w:kern w:val="0"/>
                      <w:sz w:val="18"/>
                      <w:szCs w:val="18"/>
                    </w:rPr>
                    <w:t>区污水处理厂</w:t>
                  </w:r>
                </w:p>
              </w:tc>
              <w:tc>
                <w:tcPr>
                  <w:tcW w:w="358" w:type="pct"/>
                  <w:vAlign w:val="center"/>
                </w:tcPr>
                <w:p w14:paraId="4B18E8E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eastAsia"/>
                      <w:b/>
                      <w:bCs/>
                      <w:color w:val="auto"/>
                      <w:sz w:val="18"/>
                      <w:szCs w:val="18"/>
                    </w:rPr>
                  </w:pPr>
                  <w:r>
                    <w:rPr>
                      <w:rFonts w:hint="eastAsia"/>
                      <w:color w:val="auto"/>
                      <w:sz w:val="18"/>
                      <w:szCs w:val="18"/>
                      <w:lang w:val="en-US" w:eastAsia="zh-CN"/>
                    </w:rPr>
                    <w:t>pH</w:t>
                  </w:r>
                </w:p>
              </w:tc>
              <w:tc>
                <w:tcPr>
                  <w:tcW w:w="628" w:type="pct"/>
                  <w:vAlign w:val="center"/>
                </w:tcPr>
                <w:p w14:paraId="091E868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eastAsia"/>
                      <w:b/>
                      <w:bCs/>
                      <w:color w:val="auto"/>
                      <w:sz w:val="18"/>
                      <w:szCs w:val="18"/>
                    </w:rPr>
                  </w:pPr>
                  <w:r>
                    <w:rPr>
                      <w:rFonts w:hint="eastAsia"/>
                      <w:color w:val="auto"/>
                      <w:sz w:val="18"/>
                      <w:szCs w:val="18"/>
                      <w:lang w:val="en-US" w:eastAsia="zh-CN"/>
                    </w:rPr>
                    <w:t>6~9</w:t>
                  </w:r>
                </w:p>
              </w:tc>
            </w:tr>
            <w:tr w14:paraId="1C9023D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243" w:hRule="atLeast"/>
              </w:trPr>
              <w:tc>
                <w:tcPr>
                  <w:tcW w:w="89" w:type="pct"/>
                  <w:vMerge w:val="continue"/>
                  <w:vAlign w:val="center"/>
                </w:tcPr>
                <w:p w14:paraId="250432A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p>
              </w:tc>
              <w:tc>
                <w:tcPr>
                  <w:tcW w:w="434" w:type="pct"/>
                  <w:vMerge w:val="continue"/>
                  <w:vAlign w:val="center"/>
                </w:tcPr>
                <w:p w14:paraId="69FC46A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p>
              </w:tc>
              <w:tc>
                <w:tcPr>
                  <w:tcW w:w="461" w:type="pct"/>
                  <w:vMerge w:val="continue"/>
                  <w:vAlign w:val="center"/>
                </w:tcPr>
                <w:p w14:paraId="10453B4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p>
              </w:tc>
              <w:tc>
                <w:tcPr>
                  <w:tcW w:w="445" w:type="pct"/>
                  <w:vMerge w:val="continue"/>
                  <w:vAlign w:val="center"/>
                </w:tcPr>
                <w:p w14:paraId="7E17785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p>
              </w:tc>
              <w:tc>
                <w:tcPr>
                  <w:tcW w:w="466" w:type="pct"/>
                  <w:vMerge w:val="continue"/>
                  <w:vAlign w:val="center"/>
                </w:tcPr>
                <w:p w14:paraId="48EF127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p>
              </w:tc>
              <w:tc>
                <w:tcPr>
                  <w:tcW w:w="498" w:type="pct"/>
                  <w:vMerge w:val="continue"/>
                  <w:vAlign w:val="center"/>
                </w:tcPr>
                <w:p w14:paraId="4DBE908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eastAsia="宋体"/>
                      <w:color w:val="auto"/>
                      <w:sz w:val="18"/>
                      <w:szCs w:val="18"/>
                      <w:lang w:val="en-US" w:eastAsia="zh-CN"/>
                    </w:rPr>
                  </w:pPr>
                </w:p>
              </w:tc>
              <w:tc>
                <w:tcPr>
                  <w:tcW w:w="445" w:type="pct"/>
                  <w:vMerge w:val="continue"/>
                  <w:vAlign w:val="center"/>
                </w:tcPr>
                <w:p w14:paraId="415D6E1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p>
              </w:tc>
              <w:tc>
                <w:tcPr>
                  <w:tcW w:w="581" w:type="pct"/>
                  <w:vMerge w:val="continue"/>
                  <w:vAlign w:val="center"/>
                </w:tcPr>
                <w:p w14:paraId="50D945D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p>
              </w:tc>
              <w:tc>
                <w:tcPr>
                  <w:tcW w:w="225" w:type="pct"/>
                  <w:vMerge w:val="continue"/>
                  <w:vAlign w:val="center"/>
                </w:tcPr>
                <w:p w14:paraId="0410801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p>
              </w:tc>
              <w:tc>
                <w:tcPr>
                  <w:tcW w:w="366" w:type="pct"/>
                  <w:vMerge w:val="continue"/>
                  <w:vAlign w:val="center"/>
                </w:tcPr>
                <w:p w14:paraId="63AC351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p>
              </w:tc>
              <w:tc>
                <w:tcPr>
                  <w:tcW w:w="358" w:type="pct"/>
                  <w:vAlign w:val="center"/>
                </w:tcPr>
                <w:p w14:paraId="2C8BC69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r>
                    <w:rPr>
                      <w:rFonts w:hint="eastAsia"/>
                      <w:color w:val="auto"/>
                      <w:sz w:val="18"/>
                      <w:szCs w:val="18"/>
                    </w:rPr>
                    <w:t>COD</w:t>
                  </w:r>
                </w:p>
              </w:tc>
              <w:tc>
                <w:tcPr>
                  <w:tcW w:w="628" w:type="pct"/>
                  <w:vAlign w:val="center"/>
                </w:tcPr>
                <w:p w14:paraId="490E6F6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r>
                    <w:rPr>
                      <w:rFonts w:hint="eastAsia"/>
                      <w:color w:val="auto"/>
                      <w:sz w:val="18"/>
                      <w:szCs w:val="18"/>
                    </w:rPr>
                    <w:t>50</w:t>
                  </w:r>
                </w:p>
              </w:tc>
            </w:tr>
            <w:tr w14:paraId="3BE5C3B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89" w:type="pct"/>
                  <w:vMerge w:val="continue"/>
                  <w:vAlign w:val="center"/>
                </w:tcPr>
                <w:p w14:paraId="1F17805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p>
              </w:tc>
              <w:tc>
                <w:tcPr>
                  <w:tcW w:w="434" w:type="pct"/>
                  <w:vMerge w:val="continue"/>
                  <w:vAlign w:val="center"/>
                </w:tcPr>
                <w:p w14:paraId="42ADF97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p>
              </w:tc>
              <w:tc>
                <w:tcPr>
                  <w:tcW w:w="461" w:type="pct"/>
                  <w:vMerge w:val="continue"/>
                  <w:vAlign w:val="center"/>
                </w:tcPr>
                <w:p w14:paraId="39B3785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p>
              </w:tc>
              <w:tc>
                <w:tcPr>
                  <w:tcW w:w="445" w:type="pct"/>
                  <w:vMerge w:val="continue"/>
                  <w:vAlign w:val="center"/>
                </w:tcPr>
                <w:p w14:paraId="1E63F57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p>
              </w:tc>
              <w:tc>
                <w:tcPr>
                  <w:tcW w:w="466" w:type="pct"/>
                  <w:vMerge w:val="continue"/>
                  <w:vAlign w:val="center"/>
                </w:tcPr>
                <w:p w14:paraId="784C390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p>
              </w:tc>
              <w:tc>
                <w:tcPr>
                  <w:tcW w:w="498" w:type="pct"/>
                  <w:vMerge w:val="continue"/>
                  <w:vAlign w:val="center"/>
                </w:tcPr>
                <w:p w14:paraId="5C2B63A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p>
              </w:tc>
              <w:tc>
                <w:tcPr>
                  <w:tcW w:w="445" w:type="pct"/>
                  <w:vMerge w:val="continue"/>
                  <w:vAlign w:val="center"/>
                </w:tcPr>
                <w:p w14:paraId="097EE95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p>
              </w:tc>
              <w:tc>
                <w:tcPr>
                  <w:tcW w:w="581" w:type="pct"/>
                  <w:vMerge w:val="continue"/>
                  <w:vAlign w:val="center"/>
                </w:tcPr>
                <w:p w14:paraId="329C0C9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p>
              </w:tc>
              <w:tc>
                <w:tcPr>
                  <w:tcW w:w="225" w:type="pct"/>
                  <w:vMerge w:val="continue"/>
                  <w:vAlign w:val="center"/>
                </w:tcPr>
                <w:p w14:paraId="428C3A0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p>
              </w:tc>
              <w:tc>
                <w:tcPr>
                  <w:tcW w:w="366" w:type="pct"/>
                  <w:vMerge w:val="continue"/>
                  <w:vAlign w:val="center"/>
                </w:tcPr>
                <w:p w14:paraId="4D9C04C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p>
              </w:tc>
              <w:tc>
                <w:tcPr>
                  <w:tcW w:w="358" w:type="pct"/>
                  <w:vAlign w:val="center"/>
                </w:tcPr>
                <w:p w14:paraId="37D4019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r>
                    <w:rPr>
                      <w:rFonts w:hint="eastAsia"/>
                      <w:color w:val="auto"/>
                      <w:sz w:val="18"/>
                      <w:szCs w:val="18"/>
                    </w:rPr>
                    <w:t>SS</w:t>
                  </w:r>
                </w:p>
              </w:tc>
              <w:tc>
                <w:tcPr>
                  <w:tcW w:w="628" w:type="pct"/>
                  <w:vAlign w:val="center"/>
                </w:tcPr>
                <w:p w14:paraId="172CCBC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r>
                    <w:rPr>
                      <w:rFonts w:hint="eastAsia"/>
                      <w:color w:val="auto"/>
                      <w:sz w:val="18"/>
                      <w:szCs w:val="18"/>
                    </w:rPr>
                    <w:t>10</w:t>
                  </w:r>
                </w:p>
              </w:tc>
            </w:tr>
            <w:tr w14:paraId="7005A14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102" w:hRule="atLeast"/>
              </w:trPr>
              <w:tc>
                <w:tcPr>
                  <w:tcW w:w="89" w:type="pct"/>
                  <w:vMerge w:val="continue"/>
                  <w:vAlign w:val="center"/>
                </w:tcPr>
                <w:p w14:paraId="3384DF4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p>
              </w:tc>
              <w:tc>
                <w:tcPr>
                  <w:tcW w:w="434" w:type="pct"/>
                  <w:vMerge w:val="continue"/>
                  <w:vAlign w:val="center"/>
                </w:tcPr>
                <w:p w14:paraId="0606A6C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p>
              </w:tc>
              <w:tc>
                <w:tcPr>
                  <w:tcW w:w="461" w:type="pct"/>
                  <w:vMerge w:val="continue"/>
                  <w:vAlign w:val="center"/>
                </w:tcPr>
                <w:p w14:paraId="41C0DE4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p>
              </w:tc>
              <w:tc>
                <w:tcPr>
                  <w:tcW w:w="445" w:type="pct"/>
                  <w:vMerge w:val="continue"/>
                  <w:vAlign w:val="center"/>
                </w:tcPr>
                <w:p w14:paraId="5EF0362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p>
              </w:tc>
              <w:tc>
                <w:tcPr>
                  <w:tcW w:w="466" w:type="pct"/>
                  <w:vMerge w:val="continue"/>
                  <w:vAlign w:val="center"/>
                </w:tcPr>
                <w:p w14:paraId="34B120A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p>
              </w:tc>
              <w:tc>
                <w:tcPr>
                  <w:tcW w:w="498" w:type="pct"/>
                  <w:vMerge w:val="continue"/>
                  <w:vAlign w:val="center"/>
                </w:tcPr>
                <w:p w14:paraId="7BC599E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p>
              </w:tc>
              <w:tc>
                <w:tcPr>
                  <w:tcW w:w="445" w:type="pct"/>
                  <w:vMerge w:val="continue"/>
                  <w:vAlign w:val="center"/>
                </w:tcPr>
                <w:p w14:paraId="7169083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p>
              </w:tc>
              <w:tc>
                <w:tcPr>
                  <w:tcW w:w="581" w:type="pct"/>
                  <w:vMerge w:val="continue"/>
                  <w:vAlign w:val="center"/>
                </w:tcPr>
                <w:p w14:paraId="7B55DDE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p>
              </w:tc>
              <w:tc>
                <w:tcPr>
                  <w:tcW w:w="225" w:type="pct"/>
                  <w:vMerge w:val="continue"/>
                  <w:vAlign w:val="center"/>
                </w:tcPr>
                <w:p w14:paraId="7491B78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p>
              </w:tc>
              <w:tc>
                <w:tcPr>
                  <w:tcW w:w="366" w:type="pct"/>
                  <w:vMerge w:val="continue"/>
                  <w:vAlign w:val="center"/>
                </w:tcPr>
                <w:p w14:paraId="183AD65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p>
              </w:tc>
              <w:tc>
                <w:tcPr>
                  <w:tcW w:w="358" w:type="pct"/>
                  <w:vAlign w:val="center"/>
                </w:tcPr>
                <w:p w14:paraId="76C55EB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r>
                    <w:rPr>
                      <w:rFonts w:hint="eastAsia"/>
                      <w:color w:val="auto"/>
                      <w:sz w:val="18"/>
                      <w:szCs w:val="18"/>
                    </w:rPr>
                    <w:t>氨氮</w:t>
                  </w:r>
                </w:p>
              </w:tc>
              <w:tc>
                <w:tcPr>
                  <w:tcW w:w="628" w:type="pct"/>
                  <w:vAlign w:val="center"/>
                </w:tcPr>
                <w:p w14:paraId="5FA1A85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r>
                    <w:rPr>
                      <w:rFonts w:hint="eastAsia"/>
                      <w:color w:val="auto"/>
                      <w:sz w:val="18"/>
                      <w:szCs w:val="18"/>
                    </w:rPr>
                    <w:t>5（8）</w:t>
                  </w:r>
                  <w:r>
                    <w:rPr>
                      <w:rFonts w:hint="eastAsia" w:eastAsiaTheme="minorEastAsia"/>
                      <w:color w:val="auto"/>
                      <w:kern w:val="0"/>
                      <w:sz w:val="18"/>
                      <w:szCs w:val="18"/>
                    </w:rPr>
                    <w:t>*</w:t>
                  </w:r>
                </w:p>
              </w:tc>
            </w:tr>
            <w:tr w14:paraId="3DA3D32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195" w:hRule="atLeast"/>
              </w:trPr>
              <w:tc>
                <w:tcPr>
                  <w:tcW w:w="89" w:type="pct"/>
                  <w:vMerge w:val="continue"/>
                  <w:vAlign w:val="center"/>
                </w:tcPr>
                <w:p w14:paraId="5303E4C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p>
              </w:tc>
              <w:tc>
                <w:tcPr>
                  <w:tcW w:w="434" w:type="pct"/>
                  <w:vMerge w:val="continue"/>
                  <w:vAlign w:val="center"/>
                </w:tcPr>
                <w:p w14:paraId="12A52FD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p>
              </w:tc>
              <w:tc>
                <w:tcPr>
                  <w:tcW w:w="461" w:type="pct"/>
                  <w:vMerge w:val="continue"/>
                  <w:vAlign w:val="center"/>
                </w:tcPr>
                <w:p w14:paraId="36057F0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p>
              </w:tc>
              <w:tc>
                <w:tcPr>
                  <w:tcW w:w="445" w:type="pct"/>
                  <w:vMerge w:val="continue"/>
                  <w:vAlign w:val="center"/>
                </w:tcPr>
                <w:p w14:paraId="41FACFD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p>
              </w:tc>
              <w:tc>
                <w:tcPr>
                  <w:tcW w:w="466" w:type="pct"/>
                  <w:vMerge w:val="continue"/>
                  <w:vAlign w:val="center"/>
                </w:tcPr>
                <w:p w14:paraId="7AAB2B4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p>
              </w:tc>
              <w:tc>
                <w:tcPr>
                  <w:tcW w:w="498" w:type="pct"/>
                  <w:vMerge w:val="continue"/>
                  <w:vAlign w:val="center"/>
                </w:tcPr>
                <w:p w14:paraId="3E4032F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p>
              </w:tc>
              <w:tc>
                <w:tcPr>
                  <w:tcW w:w="445" w:type="pct"/>
                  <w:vMerge w:val="continue"/>
                  <w:vAlign w:val="center"/>
                </w:tcPr>
                <w:p w14:paraId="3FB5B64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p>
              </w:tc>
              <w:tc>
                <w:tcPr>
                  <w:tcW w:w="581" w:type="pct"/>
                  <w:vMerge w:val="continue"/>
                  <w:vAlign w:val="center"/>
                </w:tcPr>
                <w:p w14:paraId="14EB374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p>
              </w:tc>
              <w:tc>
                <w:tcPr>
                  <w:tcW w:w="225" w:type="pct"/>
                  <w:vMerge w:val="continue"/>
                  <w:vAlign w:val="center"/>
                </w:tcPr>
                <w:p w14:paraId="3B0981A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p>
              </w:tc>
              <w:tc>
                <w:tcPr>
                  <w:tcW w:w="366" w:type="pct"/>
                  <w:vMerge w:val="continue"/>
                  <w:vAlign w:val="center"/>
                </w:tcPr>
                <w:p w14:paraId="0875FDE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p>
              </w:tc>
              <w:tc>
                <w:tcPr>
                  <w:tcW w:w="358" w:type="pct"/>
                  <w:vAlign w:val="center"/>
                </w:tcPr>
                <w:p w14:paraId="00A9392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r>
                    <w:rPr>
                      <w:rFonts w:hint="eastAsia"/>
                      <w:color w:val="auto"/>
                      <w:sz w:val="18"/>
                      <w:szCs w:val="18"/>
                    </w:rPr>
                    <w:t>总磷</w:t>
                  </w:r>
                </w:p>
              </w:tc>
              <w:tc>
                <w:tcPr>
                  <w:tcW w:w="628" w:type="pct"/>
                  <w:vAlign w:val="center"/>
                </w:tcPr>
                <w:p w14:paraId="44CF8D0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r>
                    <w:rPr>
                      <w:rFonts w:hint="eastAsia"/>
                      <w:color w:val="auto"/>
                      <w:sz w:val="18"/>
                      <w:szCs w:val="18"/>
                    </w:rPr>
                    <w:t>0.5</w:t>
                  </w:r>
                </w:p>
              </w:tc>
            </w:tr>
            <w:tr w14:paraId="28E08FA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149" w:hRule="atLeast"/>
              </w:trPr>
              <w:tc>
                <w:tcPr>
                  <w:tcW w:w="89" w:type="pct"/>
                  <w:vMerge w:val="continue"/>
                  <w:vAlign w:val="center"/>
                </w:tcPr>
                <w:p w14:paraId="45EC9F6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p>
              </w:tc>
              <w:tc>
                <w:tcPr>
                  <w:tcW w:w="434" w:type="pct"/>
                  <w:vMerge w:val="continue"/>
                  <w:vAlign w:val="center"/>
                </w:tcPr>
                <w:p w14:paraId="3069094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p>
              </w:tc>
              <w:tc>
                <w:tcPr>
                  <w:tcW w:w="461" w:type="pct"/>
                  <w:vMerge w:val="continue"/>
                  <w:vAlign w:val="center"/>
                </w:tcPr>
                <w:p w14:paraId="546E714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p>
              </w:tc>
              <w:tc>
                <w:tcPr>
                  <w:tcW w:w="445" w:type="pct"/>
                  <w:vMerge w:val="continue"/>
                  <w:vAlign w:val="center"/>
                </w:tcPr>
                <w:p w14:paraId="658AD5E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p>
              </w:tc>
              <w:tc>
                <w:tcPr>
                  <w:tcW w:w="466" w:type="pct"/>
                  <w:vMerge w:val="continue"/>
                  <w:vAlign w:val="center"/>
                </w:tcPr>
                <w:p w14:paraId="7E53F4B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p>
              </w:tc>
              <w:tc>
                <w:tcPr>
                  <w:tcW w:w="498" w:type="pct"/>
                  <w:vMerge w:val="continue"/>
                  <w:vAlign w:val="center"/>
                </w:tcPr>
                <w:p w14:paraId="2C635DE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p>
              </w:tc>
              <w:tc>
                <w:tcPr>
                  <w:tcW w:w="445" w:type="pct"/>
                  <w:vMerge w:val="continue"/>
                  <w:vAlign w:val="center"/>
                </w:tcPr>
                <w:p w14:paraId="11537ED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p>
              </w:tc>
              <w:tc>
                <w:tcPr>
                  <w:tcW w:w="581" w:type="pct"/>
                  <w:vMerge w:val="continue"/>
                  <w:vAlign w:val="center"/>
                </w:tcPr>
                <w:p w14:paraId="3B05B92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p>
              </w:tc>
              <w:tc>
                <w:tcPr>
                  <w:tcW w:w="225" w:type="pct"/>
                  <w:vMerge w:val="continue"/>
                  <w:vAlign w:val="center"/>
                </w:tcPr>
                <w:p w14:paraId="741B186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p>
              </w:tc>
              <w:tc>
                <w:tcPr>
                  <w:tcW w:w="366" w:type="pct"/>
                  <w:vMerge w:val="continue"/>
                  <w:vAlign w:val="center"/>
                </w:tcPr>
                <w:p w14:paraId="7AB603E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p>
              </w:tc>
              <w:tc>
                <w:tcPr>
                  <w:tcW w:w="358" w:type="pct"/>
                  <w:vAlign w:val="center"/>
                </w:tcPr>
                <w:p w14:paraId="48E11D1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r>
                    <w:rPr>
                      <w:rFonts w:hint="eastAsia"/>
                      <w:color w:val="auto"/>
                      <w:sz w:val="18"/>
                      <w:szCs w:val="18"/>
                    </w:rPr>
                    <w:t>总氮</w:t>
                  </w:r>
                </w:p>
              </w:tc>
              <w:tc>
                <w:tcPr>
                  <w:tcW w:w="628" w:type="pct"/>
                  <w:vAlign w:val="center"/>
                </w:tcPr>
                <w:p w14:paraId="7720E3D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color w:val="auto"/>
                      <w:sz w:val="18"/>
                      <w:szCs w:val="18"/>
                    </w:rPr>
                  </w:pPr>
                  <w:r>
                    <w:rPr>
                      <w:rFonts w:hint="eastAsia"/>
                      <w:color w:val="auto"/>
                      <w:sz w:val="18"/>
                      <w:szCs w:val="18"/>
                    </w:rPr>
                    <w:t>15</w:t>
                  </w:r>
                </w:p>
              </w:tc>
            </w:tr>
          </w:tbl>
          <w:p w14:paraId="144FD9C4">
            <w:pPr>
              <w:keepNext w:val="0"/>
              <w:keepLines w:val="0"/>
              <w:suppressLineNumbers w:val="0"/>
              <w:bidi w:val="0"/>
              <w:adjustRightInd w:val="0"/>
              <w:snapToGrid w:val="0"/>
              <w:spacing w:before="0" w:beforeAutospacing="0" w:after="0" w:afterAutospacing="0" w:line="240" w:lineRule="auto"/>
              <w:ind w:left="0" w:leftChars="0" w:right="0" w:firstLine="0" w:firstLineChars="0"/>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注</w:t>
            </w:r>
            <w:r>
              <w:rPr>
                <w:rFonts w:hint="eastAsia" w:eastAsiaTheme="minorEastAsia"/>
                <w:color w:val="auto"/>
                <w:kern w:val="0"/>
                <w:sz w:val="18"/>
                <w:szCs w:val="18"/>
              </w:rPr>
              <w:t>*</w:t>
            </w:r>
            <w:r>
              <w:rPr>
                <w:rFonts w:hint="default" w:ascii="Times New Roman" w:hAnsi="Times New Roman" w:eastAsia="宋体" w:cs="Times New Roman"/>
                <w:color w:val="auto"/>
                <w:sz w:val="18"/>
                <w:szCs w:val="18"/>
              </w:rPr>
              <w:t>：括号外数值为水温＞12℃时的控制指标，括号内数值为水温≤12℃时的控制指标。</w:t>
            </w:r>
          </w:p>
          <w:p w14:paraId="226F681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480" w:leftChars="200" w:right="0" w:rightChars="0"/>
              <w:textAlignment w:val="auto"/>
              <w:rPr>
                <w:rFonts w:hint="eastAsia"/>
                <w:b/>
                <w:bCs/>
                <w:color w:val="auto"/>
                <w:lang w:val="en-US" w:eastAsia="zh-CN"/>
              </w:rPr>
            </w:pPr>
            <w:r>
              <w:rPr>
                <w:rFonts w:hint="eastAsia"/>
                <w:b/>
                <w:bCs/>
                <w:color w:val="auto"/>
                <w:lang w:val="en-US" w:eastAsia="zh-CN"/>
              </w:rPr>
              <w:t>2.3废水污染防治技术可行性</w:t>
            </w:r>
          </w:p>
          <w:p w14:paraId="0B21DDF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82"/>
              <w:textAlignment w:val="auto"/>
              <w:rPr>
                <w:rFonts w:hint="eastAsia"/>
                <w:b/>
                <w:bCs/>
                <w:color w:val="auto"/>
              </w:rPr>
            </w:pPr>
            <w:r>
              <w:rPr>
                <w:rFonts w:hint="eastAsia"/>
                <w:color w:val="auto"/>
                <w:lang w:val="en-US" w:eastAsia="zh-CN"/>
              </w:rPr>
              <w:t>项目</w:t>
            </w:r>
            <w:r>
              <w:rPr>
                <w:rFonts w:hint="default"/>
                <w:color w:val="auto"/>
                <w:lang w:val="en-US" w:eastAsia="zh-CN"/>
              </w:rPr>
              <w:t>食生活污水经化粪池处理后接管</w:t>
            </w:r>
            <w:r>
              <w:rPr>
                <w:rFonts w:hint="eastAsia"/>
                <w:color w:val="auto"/>
                <w:lang w:val="en-US" w:eastAsia="zh-CN"/>
              </w:rPr>
              <w:t>新渡片</w:t>
            </w:r>
            <w:r>
              <w:rPr>
                <w:rFonts w:hint="default"/>
                <w:color w:val="auto"/>
                <w:lang w:val="en-US" w:eastAsia="zh-CN"/>
              </w:rPr>
              <w:t>区污水处理厂集中处理，</w:t>
            </w:r>
            <w:r>
              <w:rPr>
                <w:rFonts w:hint="eastAsia"/>
                <w:color w:val="auto"/>
                <w:lang w:val="en-US" w:eastAsia="zh-CN"/>
              </w:rPr>
              <w:t>参照</w:t>
            </w:r>
            <w:r>
              <w:rPr>
                <w:rFonts w:hint="default" w:ascii="Times New Roman" w:hAnsi="Times New Roman" w:eastAsia="宋体" w:cs="Times New Roman"/>
                <w:color w:val="auto"/>
                <w:lang w:val="en-US" w:eastAsia="zh-CN"/>
              </w:rPr>
              <w:t>《排污许可证申请与核发技术规范 石墨及其他非金属矿物制品制造》（HJ1119—2020）附录A可知</w:t>
            </w:r>
            <w:r>
              <w:rPr>
                <w:rFonts w:hint="eastAsia" w:ascii="Times New Roman" w:hAnsi="Times New Roman" w:eastAsia="宋体" w:cs="Times New Roman"/>
                <w:color w:val="auto"/>
                <w:lang w:val="en-US" w:eastAsia="zh-CN"/>
              </w:rPr>
              <w:t>，</w:t>
            </w:r>
            <w:r>
              <w:rPr>
                <w:rFonts w:hint="default"/>
                <w:color w:val="auto"/>
                <w:lang w:val="en-US" w:eastAsia="zh-CN"/>
              </w:rPr>
              <w:t>化粪池属于常规</w:t>
            </w:r>
            <w:r>
              <w:rPr>
                <w:rFonts w:hint="eastAsia"/>
                <w:color w:val="auto"/>
                <w:lang w:val="en-US" w:eastAsia="zh-CN"/>
              </w:rPr>
              <w:t>的生活污水</w:t>
            </w:r>
            <w:r>
              <w:rPr>
                <w:rFonts w:hint="default"/>
                <w:color w:val="auto"/>
                <w:lang w:val="en-US" w:eastAsia="zh-CN"/>
              </w:rPr>
              <w:t>处理方式，技术可行</w:t>
            </w:r>
            <w:r>
              <w:rPr>
                <w:rFonts w:hint="eastAsia"/>
                <w:color w:val="auto"/>
                <w:lang w:eastAsia="zh-CN"/>
              </w:rPr>
              <w:t>。</w:t>
            </w:r>
          </w:p>
          <w:p w14:paraId="3D1A211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82"/>
              <w:textAlignment w:val="auto"/>
              <w:rPr>
                <w:rFonts w:hint="eastAsia"/>
                <w:b/>
                <w:bCs/>
                <w:color w:val="auto"/>
              </w:rPr>
            </w:pPr>
            <w:r>
              <w:rPr>
                <w:rFonts w:hint="eastAsia"/>
                <w:b/>
                <w:bCs/>
                <w:color w:val="auto"/>
              </w:rPr>
              <w:t>2.</w:t>
            </w:r>
            <w:r>
              <w:rPr>
                <w:rFonts w:hint="eastAsia"/>
                <w:b/>
                <w:bCs/>
                <w:color w:val="auto"/>
                <w:lang w:val="en-US" w:eastAsia="zh-CN"/>
              </w:rPr>
              <w:t>4环境</w:t>
            </w:r>
            <w:r>
              <w:rPr>
                <w:rFonts w:hint="eastAsia"/>
                <w:b/>
                <w:bCs/>
                <w:color w:val="auto"/>
              </w:rPr>
              <w:t>监测计划</w:t>
            </w:r>
          </w:p>
          <w:p w14:paraId="6C458DCC">
            <w:pPr>
              <w:keepNext w:val="0"/>
              <w:keepLines w:val="0"/>
              <w:suppressLineNumbers w:val="0"/>
              <w:spacing w:before="0" w:beforeAutospacing="0" w:after="0" w:afterAutospacing="0" w:line="360" w:lineRule="auto"/>
              <w:ind w:left="0" w:right="0" w:firstLine="480" w:firstLineChars="200"/>
              <w:rPr>
                <w:rFonts w:hint="default" w:ascii="Times New Roman" w:hAnsi="Times New Roman" w:eastAsia="宋体" w:cs="Times New Roman"/>
                <w:color w:val="auto"/>
                <w:sz w:val="24"/>
                <w:szCs w:val="24"/>
              </w:rPr>
            </w:pPr>
            <w:r>
              <w:rPr>
                <w:rFonts w:hint="eastAsia"/>
                <w:color w:val="auto"/>
              </w:rPr>
              <w:t>建设单位为一般排污单位，</w:t>
            </w:r>
            <w:r>
              <w:rPr>
                <w:rFonts w:hint="eastAsia"/>
                <w:color w:val="auto"/>
                <w:lang w:val="en-US" w:eastAsia="zh-CN"/>
              </w:rPr>
              <w:t>参照</w:t>
            </w:r>
            <w:r>
              <w:rPr>
                <w:rFonts w:hint="eastAsia"/>
                <w:color w:val="auto"/>
                <w:kern w:val="0"/>
                <w:sz w:val="24"/>
              </w:rPr>
              <w:t>《排污单位自行监测技术指南</w:t>
            </w:r>
            <w:r>
              <w:rPr>
                <w:rFonts w:hint="eastAsia"/>
                <w:color w:val="auto"/>
                <w:kern w:val="0"/>
                <w:sz w:val="24"/>
                <w:lang w:val="en-US" w:eastAsia="zh-CN"/>
              </w:rPr>
              <w:t xml:space="preserve"> </w:t>
            </w:r>
            <w:r>
              <w:rPr>
                <w:rFonts w:hint="eastAsia"/>
                <w:color w:val="auto"/>
                <w:kern w:val="0"/>
                <w:sz w:val="24"/>
              </w:rPr>
              <w:t>总则》（HJ819-2017）</w:t>
            </w:r>
            <w:r>
              <w:rPr>
                <w:rFonts w:hint="eastAsia"/>
                <w:color w:val="auto"/>
                <w:kern w:val="0"/>
                <w:sz w:val="24"/>
                <w:lang w:val="en-US" w:eastAsia="zh-CN"/>
              </w:rPr>
              <w:t>的要求，项目</w:t>
            </w:r>
            <w:r>
              <w:rPr>
                <w:rFonts w:hint="eastAsia" w:ascii="Times New Roman" w:hAnsi="Times New Roman" w:eastAsia="宋体" w:cs="Times New Roman"/>
                <w:color w:val="auto"/>
                <w:sz w:val="24"/>
                <w:szCs w:val="24"/>
                <w:lang w:eastAsia="zh-CN"/>
              </w:rPr>
              <w:t>建成后</w:t>
            </w:r>
            <w:r>
              <w:rPr>
                <w:rFonts w:hint="eastAsia" w:cs="Times New Roman"/>
                <w:color w:val="auto"/>
                <w:sz w:val="24"/>
                <w:szCs w:val="24"/>
                <w:lang w:eastAsia="zh-CN"/>
              </w:rPr>
              <w:t>生活污水</w:t>
            </w:r>
            <w:r>
              <w:rPr>
                <w:rFonts w:hint="default" w:ascii="Times New Roman" w:hAnsi="Times New Roman" w:eastAsia="宋体" w:cs="Times New Roman"/>
                <w:color w:val="auto"/>
                <w:sz w:val="24"/>
                <w:szCs w:val="24"/>
              </w:rPr>
              <w:t>具体监测内容详见表</w:t>
            </w:r>
            <w:r>
              <w:rPr>
                <w:rFonts w:hint="eastAsia" w:ascii="Times New Roman" w:hAnsi="Times New Roman" w:eastAsia="宋体" w:cs="Times New Roman"/>
                <w:color w:val="auto"/>
                <w:sz w:val="24"/>
                <w:szCs w:val="24"/>
                <w:lang w:val="en-US" w:eastAsia="zh-CN"/>
              </w:rPr>
              <w:t>4</w:t>
            </w:r>
            <w:r>
              <w:rPr>
                <w:rFonts w:hint="eastAsia" w:cs="Times New Roman"/>
                <w:color w:val="auto"/>
                <w:sz w:val="24"/>
                <w:szCs w:val="24"/>
                <w:lang w:val="en-US" w:eastAsia="zh-CN"/>
              </w:rPr>
              <w:t>.2-4</w:t>
            </w:r>
            <w:r>
              <w:rPr>
                <w:rFonts w:hint="default" w:ascii="Times New Roman" w:hAnsi="Times New Roman" w:eastAsia="宋体" w:cs="Times New Roman"/>
                <w:color w:val="auto"/>
                <w:sz w:val="24"/>
                <w:szCs w:val="24"/>
              </w:rPr>
              <w:t>所示。</w:t>
            </w:r>
          </w:p>
          <w:p w14:paraId="1DC259A3">
            <w:pPr>
              <w:keepNext w:val="0"/>
              <w:keepLines w:val="0"/>
              <w:suppressLineNumbers w:val="0"/>
              <w:spacing w:before="156" w:beforeLines="50" w:beforeAutospacing="0" w:after="0" w:afterAutospacing="0" w:line="240" w:lineRule="auto"/>
              <w:ind w:left="0" w:right="0" w:firstLine="0" w:firstLineChars="0"/>
              <w:jc w:val="center"/>
              <w:rPr>
                <w:rFonts w:hint="default" w:ascii="Times New Roman" w:hAnsi="Times New Roman" w:eastAsia="宋体"/>
                <w:b/>
                <w:bCs/>
                <w:color w:val="auto"/>
              </w:rPr>
            </w:pPr>
            <w:r>
              <w:rPr>
                <w:rFonts w:hint="default" w:ascii="Times New Roman" w:hAnsi="Times New Roman" w:eastAsia="宋体"/>
                <w:b/>
                <w:bCs/>
                <w:color w:val="auto"/>
              </w:rPr>
              <w:t>表</w:t>
            </w:r>
            <w:r>
              <w:rPr>
                <w:rFonts w:hint="eastAsia" w:ascii="Times New Roman" w:hAnsi="Times New Roman" w:eastAsia="宋体"/>
                <w:b/>
                <w:bCs/>
                <w:color w:val="auto"/>
                <w:lang w:val="en-US" w:eastAsia="zh-CN"/>
              </w:rPr>
              <w:t>4.2-4</w:t>
            </w:r>
            <w:r>
              <w:rPr>
                <w:rFonts w:hint="default" w:ascii="Times New Roman" w:hAnsi="Times New Roman" w:eastAsia="宋体"/>
                <w:b/>
                <w:bCs/>
                <w:color w:val="auto"/>
              </w:rPr>
              <w:t xml:space="preserve"> </w:t>
            </w:r>
            <w:r>
              <w:rPr>
                <w:rFonts w:hint="eastAsia"/>
                <w:b/>
                <w:bCs/>
                <w:color w:val="auto"/>
                <w:lang w:eastAsia="zh-CN"/>
              </w:rPr>
              <w:t>拟建</w:t>
            </w:r>
            <w:r>
              <w:rPr>
                <w:rFonts w:hint="default" w:ascii="Times New Roman" w:hAnsi="Times New Roman" w:eastAsia="宋体"/>
                <w:b/>
                <w:bCs/>
                <w:color w:val="auto"/>
              </w:rPr>
              <w:t>项目环境监测一览表</w:t>
            </w:r>
          </w:p>
          <w:tbl>
            <w:tblPr>
              <w:tblStyle w:val="27"/>
              <w:tblW w:w="4998" w:type="pct"/>
              <w:tblInd w:w="5"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72"/>
              <w:gridCol w:w="2954"/>
              <w:gridCol w:w="4450"/>
              <w:gridCol w:w="2125"/>
              <w:gridCol w:w="2795"/>
            </w:tblGrid>
            <w:tr w14:paraId="5D11DDB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34" w:type="pct"/>
                  <w:tcBorders>
                    <w:tl2br w:val="nil"/>
                    <w:tr2bl w:val="nil"/>
                  </w:tcBorders>
                  <w:noWrap w:val="0"/>
                  <w:vAlign w:val="center"/>
                </w:tcPr>
                <w:p w14:paraId="1D91C8F6">
                  <w:pPr>
                    <w:keepNext w:val="0"/>
                    <w:keepLines w:val="0"/>
                    <w:widowControl/>
                    <w:suppressLineNumbers w:val="0"/>
                    <w:adjustRightInd/>
                    <w:snapToGrid/>
                    <w:spacing w:before="0" w:beforeAutospacing="0" w:after="0" w:afterAutospacing="0" w:line="240" w:lineRule="auto"/>
                    <w:ind w:left="0" w:right="0" w:firstLine="0" w:firstLineChars="0"/>
                    <w:jc w:val="center"/>
                    <w:textAlignment w:val="baseline"/>
                    <w:rPr>
                      <w:rFonts w:hint="default" w:ascii="Times New Roman" w:hAnsi="Times New Roman" w:eastAsia="宋体" w:cs="Times New Roman"/>
                      <w:b/>
                      <w:bCs w:val="0"/>
                      <w:color w:val="auto"/>
                      <w:kern w:val="0"/>
                      <w:sz w:val="18"/>
                      <w:szCs w:val="18"/>
                      <w:highlight w:val="none"/>
                      <w:lang w:val="en-US" w:eastAsia="zh-CN" w:bidi="ar-SA"/>
                    </w:rPr>
                  </w:pPr>
                  <w:r>
                    <w:rPr>
                      <w:rFonts w:hint="default" w:ascii="Times New Roman" w:hAnsi="Times New Roman" w:eastAsia="宋体" w:cs="Times New Roman"/>
                      <w:b/>
                      <w:bCs w:val="0"/>
                      <w:color w:val="auto"/>
                      <w:kern w:val="0"/>
                      <w:sz w:val="18"/>
                      <w:szCs w:val="18"/>
                      <w:highlight w:val="none"/>
                      <w:lang w:val="en-US" w:eastAsia="zh-CN" w:bidi="ar-SA"/>
                    </w:rPr>
                    <w:t>种类</w:t>
                  </w:r>
                </w:p>
              </w:tc>
              <w:tc>
                <w:tcPr>
                  <w:tcW w:w="1094" w:type="pct"/>
                  <w:tcBorders>
                    <w:tl2br w:val="nil"/>
                    <w:tr2bl w:val="nil"/>
                  </w:tcBorders>
                  <w:noWrap w:val="0"/>
                  <w:vAlign w:val="center"/>
                </w:tcPr>
                <w:p w14:paraId="67B3BE14">
                  <w:pPr>
                    <w:keepNext w:val="0"/>
                    <w:keepLines w:val="0"/>
                    <w:widowControl/>
                    <w:suppressLineNumbers w:val="0"/>
                    <w:adjustRightInd/>
                    <w:snapToGrid/>
                    <w:spacing w:before="0" w:beforeAutospacing="0" w:after="0" w:afterAutospacing="0" w:line="240" w:lineRule="auto"/>
                    <w:ind w:left="0" w:right="0" w:firstLine="0" w:firstLineChars="0"/>
                    <w:jc w:val="center"/>
                    <w:textAlignment w:val="baseline"/>
                    <w:rPr>
                      <w:rFonts w:hint="default" w:ascii="Times New Roman" w:hAnsi="Times New Roman" w:eastAsia="宋体" w:cs="Times New Roman"/>
                      <w:b/>
                      <w:bCs w:val="0"/>
                      <w:color w:val="auto"/>
                      <w:kern w:val="0"/>
                      <w:sz w:val="18"/>
                      <w:szCs w:val="18"/>
                      <w:highlight w:val="none"/>
                      <w:lang w:val="en-US" w:eastAsia="zh-CN" w:bidi="ar-SA"/>
                    </w:rPr>
                  </w:pPr>
                  <w:r>
                    <w:rPr>
                      <w:rFonts w:hint="default" w:ascii="Times New Roman" w:hAnsi="Times New Roman" w:eastAsia="宋体" w:cs="Times New Roman"/>
                      <w:b/>
                      <w:bCs w:val="0"/>
                      <w:color w:val="auto"/>
                      <w:kern w:val="0"/>
                      <w:sz w:val="18"/>
                      <w:szCs w:val="18"/>
                      <w:highlight w:val="none"/>
                      <w:lang w:val="en-US" w:eastAsia="zh-CN" w:bidi="ar-SA"/>
                    </w:rPr>
                    <w:t>监测点位</w:t>
                  </w:r>
                </w:p>
              </w:tc>
              <w:tc>
                <w:tcPr>
                  <w:tcW w:w="1648" w:type="pct"/>
                  <w:tcBorders>
                    <w:tl2br w:val="nil"/>
                    <w:tr2bl w:val="nil"/>
                  </w:tcBorders>
                  <w:noWrap w:val="0"/>
                  <w:vAlign w:val="center"/>
                </w:tcPr>
                <w:p w14:paraId="0FCE3F45">
                  <w:pPr>
                    <w:keepNext w:val="0"/>
                    <w:keepLines w:val="0"/>
                    <w:widowControl/>
                    <w:suppressLineNumbers w:val="0"/>
                    <w:adjustRightInd/>
                    <w:snapToGrid/>
                    <w:spacing w:before="0" w:beforeAutospacing="0" w:after="0" w:afterAutospacing="0" w:line="240" w:lineRule="auto"/>
                    <w:ind w:left="0" w:right="0" w:firstLine="0" w:firstLineChars="0"/>
                    <w:jc w:val="center"/>
                    <w:textAlignment w:val="baseline"/>
                    <w:rPr>
                      <w:rFonts w:hint="default" w:ascii="Times New Roman" w:hAnsi="Times New Roman" w:eastAsia="宋体" w:cs="Times New Roman"/>
                      <w:b/>
                      <w:bCs w:val="0"/>
                      <w:color w:val="auto"/>
                      <w:kern w:val="0"/>
                      <w:sz w:val="18"/>
                      <w:szCs w:val="18"/>
                      <w:highlight w:val="none"/>
                      <w:lang w:val="en-US" w:eastAsia="zh-CN" w:bidi="ar-SA"/>
                    </w:rPr>
                  </w:pPr>
                  <w:r>
                    <w:rPr>
                      <w:rFonts w:hint="default" w:ascii="Times New Roman" w:hAnsi="Times New Roman" w:eastAsia="宋体" w:cs="Times New Roman"/>
                      <w:b/>
                      <w:bCs w:val="0"/>
                      <w:color w:val="auto"/>
                      <w:kern w:val="0"/>
                      <w:sz w:val="18"/>
                      <w:szCs w:val="18"/>
                      <w:highlight w:val="none"/>
                      <w:lang w:val="en-US" w:eastAsia="zh-CN" w:bidi="ar-SA"/>
                    </w:rPr>
                    <w:t>监测因子</w:t>
                  </w:r>
                </w:p>
              </w:tc>
              <w:tc>
                <w:tcPr>
                  <w:tcW w:w="787" w:type="pct"/>
                  <w:tcBorders>
                    <w:tl2br w:val="nil"/>
                    <w:tr2bl w:val="nil"/>
                  </w:tcBorders>
                  <w:noWrap w:val="0"/>
                  <w:vAlign w:val="center"/>
                </w:tcPr>
                <w:p w14:paraId="4194058B">
                  <w:pPr>
                    <w:keepNext w:val="0"/>
                    <w:keepLines w:val="0"/>
                    <w:widowControl/>
                    <w:suppressLineNumbers w:val="0"/>
                    <w:adjustRightInd/>
                    <w:snapToGrid/>
                    <w:spacing w:before="0" w:beforeAutospacing="0" w:after="0" w:afterAutospacing="0" w:line="240" w:lineRule="auto"/>
                    <w:ind w:left="0" w:right="0" w:firstLine="0" w:firstLineChars="0"/>
                    <w:jc w:val="center"/>
                    <w:textAlignment w:val="baseline"/>
                    <w:rPr>
                      <w:rFonts w:hint="default" w:ascii="Times New Roman" w:hAnsi="Times New Roman" w:eastAsia="宋体" w:cs="Times New Roman"/>
                      <w:b/>
                      <w:bCs w:val="0"/>
                      <w:color w:val="auto"/>
                      <w:kern w:val="0"/>
                      <w:sz w:val="18"/>
                      <w:szCs w:val="18"/>
                      <w:highlight w:val="none"/>
                      <w:lang w:val="en-US" w:eastAsia="zh-CN" w:bidi="ar-SA"/>
                    </w:rPr>
                  </w:pPr>
                  <w:r>
                    <w:rPr>
                      <w:rFonts w:hint="default" w:ascii="Times New Roman" w:hAnsi="Times New Roman" w:eastAsia="宋体" w:cs="Times New Roman"/>
                      <w:b/>
                      <w:bCs w:val="0"/>
                      <w:color w:val="auto"/>
                      <w:kern w:val="0"/>
                      <w:sz w:val="18"/>
                      <w:szCs w:val="18"/>
                      <w:highlight w:val="none"/>
                      <w:lang w:val="en-US" w:eastAsia="zh-CN" w:bidi="ar-SA"/>
                    </w:rPr>
                    <w:t>监测频次</w:t>
                  </w:r>
                </w:p>
              </w:tc>
              <w:tc>
                <w:tcPr>
                  <w:tcW w:w="1035" w:type="pct"/>
                  <w:tcBorders>
                    <w:tl2br w:val="nil"/>
                    <w:tr2bl w:val="nil"/>
                  </w:tcBorders>
                  <w:noWrap w:val="0"/>
                  <w:vAlign w:val="center"/>
                </w:tcPr>
                <w:p w14:paraId="66D01461">
                  <w:pPr>
                    <w:keepNext w:val="0"/>
                    <w:keepLines w:val="0"/>
                    <w:widowControl/>
                    <w:suppressLineNumbers w:val="0"/>
                    <w:adjustRightInd/>
                    <w:snapToGrid/>
                    <w:spacing w:before="0" w:beforeAutospacing="0" w:after="0" w:afterAutospacing="0" w:line="240" w:lineRule="auto"/>
                    <w:ind w:left="0" w:right="0" w:firstLine="0" w:firstLineChars="0"/>
                    <w:jc w:val="center"/>
                    <w:textAlignment w:val="baseline"/>
                    <w:rPr>
                      <w:rFonts w:hint="default" w:ascii="Times New Roman" w:hAnsi="Times New Roman" w:eastAsia="宋体" w:cs="Times New Roman"/>
                      <w:b/>
                      <w:bCs w:val="0"/>
                      <w:color w:val="auto"/>
                      <w:kern w:val="0"/>
                      <w:sz w:val="18"/>
                      <w:szCs w:val="18"/>
                      <w:highlight w:val="none"/>
                      <w:lang w:val="en-US" w:eastAsia="zh-CN" w:bidi="ar-SA"/>
                    </w:rPr>
                  </w:pPr>
                  <w:r>
                    <w:rPr>
                      <w:rFonts w:hint="default" w:ascii="Times New Roman" w:hAnsi="Times New Roman" w:eastAsia="宋体" w:cs="Times New Roman"/>
                      <w:b/>
                      <w:bCs w:val="0"/>
                      <w:color w:val="auto"/>
                      <w:kern w:val="0"/>
                      <w:sz w:val="18"/>
                      <w:szCs w:val="18"/>
                      <w:highlight w:val="none"/>
                      <w:lang w:val="en-US" w:eastAsia="zh-CN" w:bidi="ar-SA"/>
                    </w:rPr>
                    <w:t>监测实施机构</w:t>
                  </w:r>
                </w:p>
              </w:tc>
            </w:tr>
            <w:tr w14:paraId="20A0212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434" w:type="pct"/>
                  <w:tcBorders>
                    <w:tl2br w:val="nil"/>
                    <w:tr2bl w:val="nil"/>
                  </w:tcBorders>
                  <w:noWrap w:val="0"/>
                  <w:vAlign w:val="center"/>
                </w:tcPr>
                <w:p w14:paraId="3C355141">
                  <w:pPr>
                    <w:keepNext w:val="0"/>
                    <w:keepLines w:val="0"/>
                    <w:widowControl/>
                    <w:suppressLineNumbers w:val="0"/>
                    <w:adjustRightInd/>
                    <w:snapToGrid/>
                    <w:spacing w:before="0" w:beforeAutospacing="0" w:after="0" w:afterAutospacing="0" w:line="240" w:lineRule="auto"/>
                    <w:ind w:left="0" w:right="0" w:firstLine="0" w:firstLineChars="0"/>
                    <w:jc w:val="center"/>
                    <w:textAlignment w:val="baseline"/>
                    <w:rPr>
                      <w:rFonts w:hint="default" w:ascii="Times New Roman" w:hAnsi="Times New Roman" w:eastAsia="宋体" w:cs="Times New Roman"/>
                      <w:b w:val="0"/>
                      <w:bCs/>
                      <w:color w:val="auto"/>
                      <w:kern w:val="0"/>
                      <w:sz w:val="18"/>
                      <w:szCs w:val="18"/>
                      <w:highlight w:val="none"/>
                      <w:lang w:val="en-US" w:eastAsia="zh-CN" w:bidi="ar-SA"/>
                    </w:rPr>
                  </w:pPr>
                  <w:r>
                    <w:rPr>
                      <w:rFonts w:hint="default" w:ascii="Times New Roman" w:hAnsi="Times New Roman" w:eastAsia="宋体" w:cs="Times New Roman"/>
                      <w:b w:val="0"/>
                      <w:bCs/>
                      <w:color w:val="auto"/>
                      <w:kern w:val="0"/>
                      <w:sz w:val="18"/>
                      <w:szCs w:val="18"/>
                      <w:highlight w:val="none"/>
                      <w:lang w:val="en-US" w:eastAsia="zh-CN" w:bidi="ar-SA"/>
                    </w:rPr>
                    <w:t>废水</w:t>
                  </w:r>
                </w:p>
              </w:tc>
              <w:tc>
                <w:tcPr>
                  <w:tcW w:w="1094" w:type="pct"/>
                  <w:tcBorders>
                    <w:tl2br w:val="nil"/>
                    <w:tr2bl w:val="nil"/>
                  </w:tcBorders>
                  <w:noWrap w:val="0"/>
                  <w:vAlign w:val="center"/>
                </w:tcPr>
                <w:p w14:paraId="2F536BF1">
                  <w:pPr>
                    <w:keepNext w:val="0"/>
                    <w:keepLines w:val="0"/>
                    <w:widowControl/>
                    <w:suppressLineNumbers w:val="0"/>
                    <w:spacing w:before="0" w:beforeAutospacing="0" w:after="0" w:afterAutospacing="0" w:line="240" w:lineRule="auto"/>
                    <w:ind w:left="0" w:right="0"/>
                    <w:jc w:val="center"/>
                    <w:textAlignment w:val="baseline"/>
                    <w:rPr>
                      <w:rFonts w:hint="default" w:ascii="Times New Roman" w:hAnsi="Times New Roman" w:eastAsia="宋体" w:cs="Times New Roman"/>
                      <w:b w:val="0"/>
                      <w:bCs/>
                      <w:color w:val="auto"/>
                      <w:kern w:val="0"/>
                      <w:sz w:val="18"/>
                      <w:szCs w:val="18"/>
                      <w:lang w:val="en-US" w:eastAsia="zh-CN" w:bidi="ar-SA"/>
                    </w:rPr>
                  </w:pPr>
                  <w:r>
                    <w:rPr>
                      <w:rFonts w:hint="default" w:ascii="Times New Roman" w:hAnsi="Times New Roman" w:eastAsia="宋体" w:cs="Times New Roman"/>
                      <w:b w:val="0"/>
                      <w:bCs/>
                      <w:color w:val="auto"/>
                      <w:kern w:val="0"/>
                      <w:sz w:val="18"/>
                      <w:szCs w:val="18"/>
                      <w:lang w:val="en-US" w:eastAsia="zh-CN" w:bidi="ar-SA"/>
                    </w:rPr>
                    <w:t>生活污水排放口</w:t>
                  </w:r>
                </w:p>
              </w:tc>
              <w:tc>
                <w:tcPr>
                  <w:tcW w:w="1648" w:type="pct"/>
                  <w:tcBorders>
                    <w:tl2br w:val="nil"/>
                    <w:tr2bl w:val="nil"/>
                  </w:tcBorders>
                  <w:noWrap w:val="0"/>
                  <w:vAlign w:val="center"/>
                </w:tcPr>
                <w:p w14:paraId="606DEF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baseline"/>
                    <w:rPr>
                      <w:rFonts w:hint="default" w:ascii="Times New Roman" w:hAnsi="Times New Roman" w:eastAsia="宋体" w:cs="Times New Roman"/>
                      <w:b w:val="0"/>
                      <w:bCs/>
                      <w:color w:val="auto"/>
                      <w:sz w:val="18"/>
                      <w:szCs w:val="18"/>
                      <w:highlight w:val="none"/>
                      <w:lang w:val="en-US" w:eastAsia="zh-CN"/>
                    </w:rPr>
                  </w:pPr>
                  <w:r>
                    <w:rPr>
                      <w:rFonts w:hint="default" w:ascii="Times New Roman" w:hAnsi="Times New Roman" w:eastAsia="宋体" w:cs="Times New Roman"/>
                      <w:b w:val="0"/>
                      <w:bCs/>
                      <w:color w:val="auto"/>
                      <w:sz w:val="18"/>
                      <w:szCs w:val="18"/>
                      <w:highlight w:val="none"/>
                      <w:lang w:val="en-US" w:eastAsia="zh-CN"/>
                    </w:rPr>
                    <w:t>COD、</w:t>
                  </w:r>
                  <w:r>
                    <w:rPr>
                      <w:rFonts w:hint="eastAsia" w:ascii="Times New Roman" w:hAnsi="Times New Roman" w:eastAsia="宋体" w:cs="Times New Roman"/>
                      <w:b w:val="0"/>
                      <w:bCs/>
                      <w:color w:val="auto"/>
                      <w:sz w:val="18"/>
                      <w:szCs w:val="18"/>
                      <w:highlight w:val="none"/>
                      <w:lang w:val="en-US" w:eastAsia="zh-CN"/>
                    </w:rPr>
                    <w:t>总氮</w:t>
                  </w:r>
                  <w:r>
                    <w:rPr>
                      <w:rFonts w:hint="default" w:ascii="Times New Roman" w:hAnsi="Times New Roman" w:eastAsia="宋体" w:cs="Times New Roman"/>
                      <w:b w:val="0"/>
                      <w:bCs/>
                      <w:color w:val="auto"/>
                      <w:sz w:val="18"/>
                      <w:szCs w:val="18"/>
                      <w:highlight w:val="none"/>
                      <w:lang w:val="en-US" w:eastAsia="zh-CN"/>
                    </w:rPr>
                    <w:t>、SS、氨氮</w:t>
                  </w:r>
                  <w:r>
                    <w:rPr>
                      <w:rFonts w:hint="eastAsia" w:ascii="Times New Roman" w:hAnsi="Times New Roman" w:eastAsia="宋体" w:cs="Times New Roman"/>
                      <w:b w:val="0"/>
                      <w:bCs/>
                      <w:color w:val="auto"/>
                      <w:sz w:val="18"/>
                      <w:szCs w:val="18"/>
                      <w:highlight w:val="none"/>
                      <w:lang w:val="en-US" w:eastAsia="zh-CN"/>
                    </w:rPr>
                    <w:t>、总磷</w:t>
                  </w:r>
                </w:p>
              </w:tc>
              <w:tc>
                <w:tcPr>
                  <w:tcW w:w="787" w:type="pct"/>
                  <w:tcBorders>
                    <w:tl2br w:val="nil"/>
                    <w:tr2bl w:val="nil"/>
                  </w:tcBorders>
                  <w:noWrap w:val="0"/>
                  <w:vAlign w:val="center"/>
                </w:tcPr>
                <w:p w14:paraId="0EB87383">
                  <w:pPr>
                    <w:keepNext w:val="0"/>
                    <w:keepLines w:val="0"/>
                    <w:widowControl/>
                    <w:suppressLineNumbers w:val="0"/>
                    <w:spacing w:before="0" w:beforeAutospacing="0" w:after="0" w:afterAutospacing="0" w:line="240" w:lineRule="auto"/>
                    <w:ind w:left="0" w:right="0"/>
                    <w:jc w:val="center"/>
                    <w:textAlignment w:val="baseline"/>
                    <w:rPr>
                      <w:rFonts w:hint="default" w:ascii="Times New Roman" w:hAnsi="Times New Roman" w:eastAsia="宋体" w:cs="Times New Roman"/>
                      <w:b w:val="0"/>
                      <w:bCs/>
                      <w:color w:val="auto"/>
                      <w:kern w:val="0"/>
                      <w:sz w:val="18"/>
                      <w:szCs w:val="18"/>
                      <w:highlight w:val="none"/>
                      <w:lang w:val="en-US" w:eastAsia="zh-CN" w:bidi="ar-SA"/>
                    </w:rPr>
                  </w:pPr>
                  <w:r>
                    <w:rPr>
                      <w:rFonts w:hint="default" w:ascii="Times New Roman" w:hAnsi="Times New Roman" w:eastAsia="宋体" w:cs="Times New Roman"/>
                      <w:b w:val="0"/>
                      <w:bCs/>
                      <w:color w:val="auto"/>
                      <w:kern w:val="0"/>
                      <w:sz w:val="18"/>
                      <w:szCs w:val="18"/>
                      <w:lang w:val="en-US" w:eastAsia="zh-CN" w:bidi="ar-SA"/>
                    </w:rPr>
                    <w:t>1次/年</w:t>
                  </w:r>
                </w:p>
              </w:tc>
              <w:tc>
                <w:tcPr>
                  <w:tcW w:w="1035" w:type="pct"/>
                  <w:tcBorders>
                    <w:tl2br w:val="nil"/>
                    <w:tr2bl w:val="nil"/>
                  </w:tcBorders>
                  <w:noWrap w:val="0"/>
                  <w:vAlign w:val="center"/>
                </w:tcPr>
                <w:p w14:paraId="4B588BC8">
                  <w:pPr>
                    <w:keepNext w:val="0"/>
                    <w:keepLines w:val="0"/>
                    <w:widowControl/>
                    <w:suppressLineNumbers w:val="0"/>
                    <w:adjustRightInd/>
                    <w:snapToGrid/>
                    <w:spacing w:before="0" w:beforeAutospacing="0" w:after="0" w:afterAutospacing="0" w:line="240" w:lineRule="auto"/>
                    <w:ind w:left="0" w:right="0" w:firstLine="0" w:firstLineChars="0"/>
                    <w:jc w:val="center"/>
                    <w:textAlignment w:val="baseline"/>
                    <w:rPr>
                      <w:rFonts w:hint="default" w:ascii="Times New Roman" w:hAnsi="Times New Roman" w:eastAsia="宋体" w:cs="Times New Roman"/>
                      <w:b w:val="0"/>
                      <w:bCs/>
                      <w:color w:val="auto"/>
                      <w:kern w:val="0"/>
                      <w:sz w:val="18"/>
                      <w:szCs w:val="18"/>
                      <w:highlight w:val="none"/>
                      <w:lang w:val="en-US" w:eastAsia="zh-CN" w:bidi="ar-SA"/>
                    </w:rPr>
                  </w:pPr>
                  <w:r>
                    <w:rPr>
                      <w:rFonts w:hint="default" w:ascii="Times New Roman" w:hAnsi="Times New Roman" w:eastAsia="宋体" w:cs="Times New Roman"/>
                      <w:b w:val="0"/>
                      <w:bCs/>
                      <w:color w:val="auto"/>
                      <w:kern w:val="0"/>
                      <w:sz w:val="18"/>
                      <w:szCs w:val="18"/>
                      <w:highlight w:val="none"/>
                      <w:lang w:val="en-US" w:eastAsia="zh-CN" w:bidi="ar-SA"/>
                    </w:rPr>
                    <w:t>有资质单位</w:t>
                  </w:r>
                </w:p>
              </w:tc>
            </w:tr>
          </w:tbl>
          <w:p w14:paraId="7A97BC50">
            <w:pPr>
              <w:keepNext w:val="0"/>
              <w:keepLines w:val="0"/>
              <w:suppressLineNumbers w:val="0"/>
              <w:spacing w:before="0" w:beforeAutospacing="0" w:after="0" w:afterAutospacing="0"/>
              <w:ind w:left="0" w:right="0" w:firstLine="482"/>
              <w:rPr>
                <w:rFonts w:hint="eastAsia" w:ascii="Times New Roman" w:hAnsi="Times New Roman" w:eastAsia="宋体"/>
                <w:b/>
                <w:bCs/>
                <w:color w:val="auto"/>
                <w:lang w:val="en-US" w:eastAsia="zh-CN"/>
              </w:rPr>
            </w:pPr>
          </w:p>
          <w:p w14:paraId="6E8EE57A">
            <w:pPr>
              <w:keepNext w:val="0"/>
              <w:keepLines w:val="0"/>
              <w:suppressLineNumbers w:val="0"/>
              <w:spacing w:before="0" w:beforeAutospacing="0" w:after="0" w:afterAutospacing="0"/>
              <w:ind w:left="0" w:right="0" w:firstLine="482"/>
              <w:rPr>
                <w:rFonts w:hint="eastAsia" w:ascii="Times New Roman" w:hAnsi="Times New Roman" w:eastAsia="宋体"/>
                <w:b/>
                <w:bCs/>
                <w:color w:val="auto"/>
                <w:lang w:val="en-US" w:eastAsia="zh-CN"/>
              </w:rPr>
            </w:pPr>
          </w:p>
          <w:p w14:paraId="23DD720C">
            <w:pPr>
              <w:keepNext w:val="0"/>
              <w:keepLines w:val="0"/>
              <w:suppressLineNumbers w:val="0"/>
              <w:spacing w:before="0" w:beforeAutospacing="0" w:after="0" w:afterAutospacing="0"/>
              <w:ind w:left="0" w:right="0" w:firstLine="482"/>
              <w:rPr>
                <w:rFonts w:hint="eastAsia" w:ascii="Times New Roman" w:hAnsi="Times New Roman" w:eastAsia="宋体"/>
                <w:b/>
                <w:bCs/>
                <w:color w:val="auto"/>
                <w:lang w:val="en-US" w:eastAsia="zh-CN"/>
              </w:rPr>
            </w:pPr>
            <w:r>
              <w:rPr>
                <w:rFonts w:hint="eastAsia" w:ascii="Times New Roman" w:hAnsi="Times New Roman" w:eastAsia="宋体"/>
                <w:b/>
                <w:bCs/>
                <w:color w:val="auto"/>
                <w:lang w:val="en-US" w:eastAsia="zh-CN"/>
              </w:rPr>
              <w:t>2.</w:t>
            </w:r>
            <w:r>
              <w:rPr>
                <w:rFonts w:hint="eastAsia"/>
                <w:b/>
                <w:bCs/>
                <w:color w:val="auto"/>
                <w:lang w:val="en-US" w:eastAsia="zh-CN"/>
              </w:rPr>
              <w:t>5</w:t>
            </w:r>
            <w:r>
              <w:rPr>
                <w:rFonts w:hint="eastAsia" w:ascii="Times New Roman" w:hAnsi="Times New Roman" w:eastAsia="宋体"/>
                <w:b/>
                <w:bCs/>
                <w:color w:val="auto"/>
                <w:lang w:val="en-US" w:eastAsia="zh-CN"/>
              </w:rPr>
              <w:t xml:space="preserve"> 依托污水</w:t>
            </w:r>
            <w:r>
              <w:rPr>
                <w:rFonts w:hint="eastAsia"/>
                <w:b/>
                <w:bCs/>
                <w:color w:val="auto"/>
                <w:lang w:val="en-US" w:eastAsia="zh-CN"/>
              </w:rPr>
              <w:t>集中</w:t>
            </w:r>
            <w:r>
              <w:rPr>
                <w:rFonts w:hint="eastAsia" w:ascii="Times New Roman" w:hAnsi="Times New Roman" w:eastAsia="宋体"/>
                <w:b/>
                <w:bCs/>
                <w:color w:val="auto"/>
                <w:lang w:val="en-US" w:eastAsia="zh-CN"/>
              </w:rPr>
              <w:t>处理设施的环</w:t>
            </w:r>
            <w:r>
              <w:rPr>
                <w:rFonts w:hint="eastAsia"/>
                <w:b/>
                <w:bCs/>
                <w:color w:val="auto"/>
                <w:lang w:val="en-US" w:eastAsia="zh-CN"/>
              </w:rPr>
              <w:t>境</w:t>
            </w:r>
            <w:r>
              <w:rPr>
                <w:rFonts w:hint="eastAsia" w:ascii="Times New Roman" w:hAnsi="Times New Roman" w:eastAsia="宋体"/>
                <w:b/>
                <w:bCs/>
                <w:color w:val="auto"/>
                <w:lang w:val="en-US" w:eastAsia="zh-CN"/>
              </w:rPr>
              <w:t>可行性分析</w:t>
            </w:r>
          </w:p>
          <w:p w14:paraId="7B3A90DB">
            <w:pPr>
              <w:keepNext w:val="0"/>
              <w:keepLines w:val="0"/>
              <w:suppressLineNumbers w:val="0"/>
              <w:adjustRightInd w:val="0"/>
              <w:snapToGrid w:val="0"/>
              <w:spacing w:before="0" w:beforeAutospacing="0" w:after="0" w:afterAutospacing="0" w:line="360" w:lineRule="auto"/>
              <w:ind w:left="0" w:right="0" w:firstLine="480" w:firstLineChars="200"/>
              <w:rPr>
                <w:rFonts w:hint="default" w:ascii="Times New Roman" w:hAnsiTheme="minorEastAsia" w:eastAsiaTheme="minorEastAsia"/>
                <w:color w:val="auto"/>
                <w:kern w:val="0"/>
                <w:sz w:val="24"/>
                <w:lang w:val="en-US" w:eastAsia="zh-CN"/>
              </w:rPr>
            </w:pPr>
            <w:r>
              <w:rPr>
                <w:rFonts w:hint="default" w:ascii="Times New Roman" w:hAnsiTheme="minorEastAsia" w:eastAsiaTheme="minorEastAsia"/>
                <w:color w:val="auto"/>
                <w:kern w:val="0"/>
                <w:sz w:val="24"/>
                <w:lang w:val="en-US" w:eastAsia="zh-CN"/>
              </w:rPr>
              <w:t>（1）厂区排水去向分析</w:t>
            </w:r>
          </w:p>
          <w:p w14:paraId="403017F5">
            <w:pPr>
              <w:keepNext w:val="0"/>
              <w:keepLines w:val="0"/>
              <w:suppressLineNumbers w:val="0"/>
              <w:adjustRightInd w:val="0"/>
              <w:snapToGrid w:val="0"/>
              <w:spacing w:before="0" w:beforeAutospacing="0" w:after="0" w:afterAutospacing="0" w:line="360" w:lineRule="auto"/>
              <w:ind w:left="0" w:right="0" w:firstLine="480" w:firstLineChars="200"/>
              <w:rPr>
                <w:rFonts w:hint="default" w:ascii="Times New Roman" w:hAnsiTheme="minorEastAsia" w:eastAsiaTheme="minorEastAsia"/>
                <w:color w:val="auto"/>
                <w:kern w:val="0"/>
                <w:sz w:val="24"/>
                <w:lang w:val="en-US" w:eastAsia="zh-CN"/>
              </w:rPr>
            </w:pPr>
            <w:r>
              <w:rPr>
                <w:rFonts w:hint="default" w:ascii="Times New Roman" w:hAnsiTheme="minorEastAsia" w:eastAsiaTheme="minorEastAsia"/>
                <w:color w:val="auto"/>
                <w:kern w:val="0"/>
                <w:sz w:val="24"/>
                <w:lang w:val="en-US" w:eastAsia="zh-CN"/>
              </w:rPr>
              <w:t>本项目实施后，</w:t>
            </w:r>
            <w:r>
              <w:rPr>
                <w:rFonts w:hint="default"/>
                <w:color w:val="auto"/>
                <w:lang w:val="en-US" w:eastAsia="zh-CN"/>
              </w:rPr>
              <w:t>生活污水经化粪池处理</w:t>
            </w:r>
            <w:r>
              <w:rPr>
                <w:rFonts w:hint="eastAsia"/>
                <w:color w:val="auto"/>
                <w:lang w:val="en-US" w:eastAsia="zh-CN"/>
              </w:rPr>
              <w:t>达接管标准</w:t>
            </w:r>
            <w:r>
              <w:rPr>
                <w:rFonts w:hint="default"/>
                <w:color w:val="auto"/>
                <w:lang w:val="en-US" w:eastAsia="zh-CN"/>
              </w:rPr>
              <w:t>后</w:t>
            </w:r>
            <w:r>
              <w:rPr>
                <w:rFonts w:hint="default" w:ascii="Times New Roman" w:hAnsiTheme="minorEastAsia" w:eastAsiaTheme="minorEastAsia"/>
                <w:color w:val="auto"/>
                <w:kern w:val="0"/>
                <w:sz w:val="24"/>
                <w:lang w:val="en-US" w:eastAsia="zh-CN"/>
              </w:rPr>
              <w:t>排入新渡片区污水处理厂，尾水排入夏码大沟最终汇入盐河。</w:t>
            </w:r>
          </w:p>
          <w:p w14:paraId="5BAA5AE2">
            <w:pPr>
              <w:keepNext w:val="0"/>
              <w:keepLines w:val="0"/>
              <w:suppressLineNumbers w:val="0"/>
              <w:adjustRightInd w:val="0"/>
              <w:snapToGrid w:val="0"/>
              <w:spacing w:before="0" w:beforeAutospacing="0" w:after="0" w:afterAutospacing="0" w:line="360" w:lineRule="auto"/>
              <w:ind w:left="0" w:right="0" w:firstLine="480" w:firstLineChars="200"/>
              <w:rPr>
                <w:rFonts w:hint="default" w:ascii="Times New Roman" w:hAnsiTheme="minorEastAsia" w:eastAsiaTheme="minorEastAsia"/>
                <w:color w:val="auto"/>
                <w:kern w:val="0"/>
                <w:sz w:val="24"/>
                <w:lang w:val="en-US" w:eastAsia="zh-CN"/>
              </w:rPr>
            </w:pPr>
            <w:r>
              <w:rPr>
                <w:rFonts w:hint="default" w:ascii="Times New Roman" w:hAnsiTheme="minorEastAsia" w:eastAsiaTheme="minorEastAsia"/>
                <w:color w:val="auto"/>
                <w:kern w:val="0"/>
                <w:sz w:val="24"/>
                <w:lang w:val="en-US" w:eastAsia="zh-CN"/>
              </w:rPr>
              <w:t>（2）废水处理依托可行性分析</w:t>
            </w:r>
          </w:p>
          <w:p w14:paraId="4FBA4602">
            <w:pPr>
              <w:keepNext w:val="0"/>
              <w:keepLines w:val="0"/>
              <w:suppressLineNumbers w:val="0"/>
              <w:adjustRightInd w:val="0"/>
              <w:snapToGrid w:val="0"/>
              <w:spacing w:before="0" w:beforeAutospacing="0" w:after="0" w:afterAutospacing="0" w:line="360" w:lineRule="auto"/>
              <w:ind w:left="0" w:right="0" w:firstLine="480" w:firstLineChars="200"/>
              <w:rPr>
                <w:rFonts w:hint="default" w:ascii="Times New Roman" w:hAnsiTheme="minorEastAsia" w:eastAsiaTheme="minorEastAsia"/>
                <w:color w:val="auto"/>
                <w:kern w:val="0"/>
                <w:sz w:val="24"/>
                <w:lang w:val="en-US" w:eastAsia="zh-CN"/>
              </w:rPr>
            </w:pPr>
            <w:r>
              <w:rPr>
                <w:rFonts w:hint="default" w:ascii="Times New Roman" w:hAnsiTheme="minorEastAsia" w:eastAsiaTheme="minorEastAsia"/>
                <w:color w:val="auto"/>
                <w:kern w:val="0"/>
                <w:sz w:val="24"/>
                <w:lang w:val="en-US" w:eastAsia="zh-CN"/>
              </w:rPr>
              <w:t>1)新渡片区污水处理厂简介</w:t>
            </w:r>
          </w:p>
          <w:p w14:paraId="3CB56B4C">
            <w:pPr>
              <w:keepNext w:val="0"/>
              <w:keepLines w:val="0"/>
              <w:suppressLineNumbers w:val="0"/>
              <w:adjustRightInd w:val="0"/>
              <w:snapToGrid w:val="0"/>
              <w:spacing w:before="0" w:beforeAutospacing="0" w:after="0" w:afterAutospacing="0" w:line="360" w:lineRule="auto"/>
              <w:ind w:left="0" w:right="0" w:firstLine="480" w:firstLineChars="200"/>
              <w:rPr>
                <w:rFonts w:hint="default" w:ascii="Times New Roman" w:hAnsiTheme="minorEastAsia" w:eastAsiaTheme="minorEastAsia"/>
                <w:color w:val="auto"/>
                <w:kern w:val="0"/>
                <w:sz w:val="24"/>
                <w:lang w:val="en-US" w:eastAsia="zh-CN"/>
              </w:rPr>
            </w:pPr>
            <w:r>
              <w:rPr>
                <w:rFonts w:hint="default" w:ascii="Times New Roman" w:hAnsiTheme="minorEastAsia" w:eastAsiaTheme="minorEastAsia"/>
                <w:color w:val="auto"/>
                <w:kern w:val="0"/>
                <w:sz w:val="24"/>
                <w:lang w:val="en-US" w:eastAsia="zh-CN"/>
              </w:rPr>
              <w:t>新渡片区污水处理厂由淮安</w:t>
            </w:r>
            <w:r>
              <w:rPr>
                <w:rFonts w:hint="eastAsia" w:hAnsiTheme="minorEastAsia" w:eastAsiaTheme="minorEastAsia"/>
                <w:color w:val="auto"/>
                <w:kern w:val="0"/>
                <w:sz w:val="24"/>
                <w:lang w:val="en-US" w:eastAsia="zh-CN"/>
              </w:rPr>
              <w:t>青</w:t>
            </w:r>
            <w:r>
              <w:rPr>
                <w:rFonts w:hint="default" w:ascii="Times New Roman" w:hAnsiTheme="minorEastAsia" w:eastAsiaTheme="minorEastAsia"/>
                <w:color w:val="auto"/>
                <w:kern w:val="0"/>
                <w:sz w:val="24"/>
                <w:lang w:val="en-US" w:eastAsia="zh-CN"/>
              </w:rPr>
              <w:t>园水务有限公司投资兴建，地址</w:t>
            </w:r>
            <w:r>
              <w:rPr>
                <w:rFonts w:hint="eastAsia" w:hAnsiTheme="minorEastAsia" w:eastAsiaTheme="minorEastAsia"/>
                <w:color w:val="auto"/>
                <w:kern w:val="0"/>
                <w:sz w:val="24"/>
                <w:lang w:val="en-US" w:eastAsia="zh-CN"/>
              </w:rPr>
              <w:t>位于</w:t>
            </w:r>
            <w:r>
              <w:rPr>
                <w:rFonts w:hint="default" w:ascii="Times New Roman" w:hAnsiTheme="minorEastAsia" w:eastAsiaTheme="minorEastAsia"/>
                <w:color w:val="auto"/>
                <w:kern w:val="0"/>
                <w:sz w:val="24"/>
                <w:lang w:val="en-US" w:eastAsia="zh-CN"/>
              </w:rPr>
              <w:t>淮阴区临河路南侧，洪东路东侧，盐河路北侧。新渡片区污水处理厂于2013年12月30日取得环评批复，2014年开始建设，目前已建成。新渡片区污水处理厂设计处理总规模为4万m</w:t>
            </w:r>
            <w:r>
              <w:rPr>
                <w:rFonts w:hint="default" w:ascii="Times New Roman" w:hAnsiTheme="minorEastAsia" w:eastAsiaTheme="minorEastAsia"/>
                <w:color w:val="auto"/>
                <w:kern w:val="0"/>
                <w:sz w:val="24"/>
                <w:vertAlign w:val="superscript"/>
                <w:lang w:val="en-US" w:eastAsia="zh-CN"/>
              </w:rPr>
              <w:t>3</w:t>
            </w:r>
            <w:r>
              <w:rPr>
                <w:rFonts w:hint="default" w:ascii="Times New Roman" w:hAnsiTheme="minorEastAsia" w:eastAsiaTheme="minorEastAsia"/>
                <w:color w:val="auto"/>
                <w:kern w:val="0"/>
                <w:sz w:val="24"/>
                <w:lang w:val="en-US" w:eastAsia="zh-CN"/>
              </w:rPr>
              <w:t>/d，分阶段进行建设，一期建设规模为2万m</w:t>
            </w:r>
            <w:r>
              <w:rPr>
                <w:rFonts w:hint="default" w:ascii="Times New Roman" w:hAnsiTheme="minorEastAsia" w:eastAsiaTheme="minorEastAsia"/>
                <w:color w:val="auto"/>
                <w:kern w:val="0"/>
                <w:sz w:val="24"/>
                <w:vertAlign w:val="superscript"/>
                <w:lang w:val="en-US" w:eastAsia="zh-CN"/>
              </w:rPr>
              <w:t>3</w:t>
            </w:r>
            <w:r>
              <w:rPr>
                <w:rFonts w:hint="default" w:ascii="Times New Roman" w:hAnsiTheme="minorEastAsia" w:eastAsiaTheme="minorEastAsia"/>
                <w:color w:val="auto"/>
                <w:kern w:val="0"/>
                <w:sz w:val="24"/>
                <w:lang w:val="en-US" w:eastAsia="zh-CN"/>
              </w:rPr>
              <w:t>/d，二期2020年扩建至4万m</w:t>
            </w:r>
            <w:r>
              <w:rPr>
                <w:rFonts w:hint="default" w:ascii="Times New Roman" w:hAnsiTheme="minorEastAsia" w:eastAsiaTheme="minorEastAsia"/>
                <w:color w:val="auto"/>
                <w:kern w:val="0"/>
                <w:sz w:val="24"/>
                <w:vertAlign w:val="superscript"/>
                <w:lang w:val="en-US" w:eastAsia="zh-CN"/>
              </w:rPr>
              <w:t>3</w:t>
            </w:r>
            <w:r>
              <w:rPr>
                <w:rFonts w:hint="default" w:ascii="Times New Roman" w:hAnsiTheme="minorEastAsia" w:eastAsiaTheme="minorEastAsia"/>
                <w:color w:val="auto"/>
                <w:kern w:val="0"/>
                <w:sz w:val="24"/>
                <w:lang w:val="en-US" w:eastAsia="zh-CN"/>
              </w:rPr>
              <w:t>/d。</w:t>
            </w:r>
          </w:p>
          <w:p w14:paraId="4405E938">
            <w:pPr>
              <w:keepNext w:val="0"/>
              <w:keepLines w:val="0"/>
              <w:suppressLineNumbers w:val="0"/>
              <w:adjustRightInd w:val="0"/>
              <w:snapToGrid w:val="0"/>
              <w:spacing w:before="0" w:beforeAutospacing="0" w:after="0" w:afterAutospacing="0" w:line="360" w:lineRule="auto"/>
              <w:ind w:left="0" w:right="0" w:firstLine="480" w:firstLineChars="200"/>
              <w:rPr>
                <w:rFonts w:hint="default" w:ascii="Times New Roman" w:hAnsiTheme="minorEastAsia" w:eastAsiaTheme="minorEastAsia"/>
                <w:color w:val="auto"/>
                <w:kern w:val="0"/>
                <w:sz w:val="24"/>
                <w:lang w:val="en-US" w:eastAsia="zh-CN"/>
              </w:rPr>
            </w:pPr>
            <w:r>
              <w:rPr>
                <w:rFonts w:hint="default" w:ascii="Times New Roman" w:hAnsiTheme="minorEastAsia" w:eastAsiaTheme="minorEastAsia"/>
                <w:color w:val="auto"/>
                <w:kern w:val="0"/>
                <w:sz w:val="24"/>
                <w:lang w:val="en-US" w:eastAsia="zh-CN"/>
              </w:rPr>
              <w:t>新渡片区污水处理厂服务范围为淮安市淮阴区新渡工业集中区规划新渡片区。污水干管两条：第一条污水干管沿着飞耀路由北向南，主要收集省道327以北，宁连公路以南规划建成区污水；第二条污水干管沿飞耀路由南向北，主要收集大晋路以南、宁连公路以东、盐河以北及康马路以西规划建成区污水。</w:t>
            </w:r>
          </w:p>
          <w:p w14:paraId="3D934201">
            <w:pPr>
              <w:keepNext w:val="0"/>
              <w:keepLines w:val="0"/>
              <w:suppressLineNumbers w:val="0"/>
              <w:adjustRightInd w:val="0"/>
              <w:snapToGrid w:val="0"/>
              <w:spacing w:before="0" w:beforeAutospacing="0" w:after="0" w:afterAutospacing="0" w:line="360" w:lineRule="auto"/>
              <w:ind w:left="0" w:right="0" w:firstLine="480" w:firstLineChars="200"/>
              <w:rPr>
                <w:rFonts w:hint="default" w:ascii="Times New Roman" w:hAnsiTheme="minorEastAsia" w:eastAsiaTheme="minorEastAsia"/>
                <w:color w:val="auto"/>
                <w:kern w:val="0"/>
                <w:sz w:val="24"/>
                <w:lang w:val="en-US" w:eastAsia="zh-CN"/>
              </w:rPr>
            </w:pPr>
            <w:r>
              <w:rPr>
                <w:rFonts w:hint="default" w:ascii="Times New Roman" w:hAnsiTheme="minorEastAsia" w:eastAsiaTheme="minorEastAsia"/>
                <w:color w:val="auto"/>
                <w:kern w:val="0"/>
                <w:sz w:val="24"/>
                <w:lang w:val="en-US" w:eastAsia="zh-CN"/>
              </w:rPr>
              <w:t>一期工程设计建设规模为2万m</w:t>
            </w:r>
            <w:r>
              <w:rPr>
                <w:rFonts w:hint="default" w:ascii="Times New Roman" w:hAnsiTheme="minorEastAsia" w:eastAsiaTheme="minorEastAsia"/>
                <w:color w:val="auto"/>
                <w:kern w:val="0"/>
                <w:sz w:val="24"/>
                <w:vertAlign w:val="superscript"/>
                <w:lang w:val="en-US" w:eastAsia="zh-CN"/>
              </w:rPr>
              <w:t>3</w:t>
            </w:r>
            <w:r>
              <w:rPr>
                <w:rFonts w:hint="default" w:ascii="Times New Roman" w:hAnsiTheme="minorEastAsia" w:eastAsiaTheme="minorEastAsia"/>
                <w:color w:val="auto"/>
                <w:kern w:val="0"/>
                <w:sz w:val="24"/>
                <w:lang w:val="en-US" w:eastAsia="zh-CN"/>
              </w:rPr>
              <w:t>/d</w:t>
            </w:r>
            <w:r>
              <w:rPr>
                <w:rFonts w:hint="eastAsia" w:hAnsiTheme="minorEastAsia" w:eastAsiaTheme="minorEastAsia"/>
                <w:color w:val="auto"/>
                <w:kern w:val="0"/>
                <w:sz w:val="24"/>
                <w:lang w:val="en-US" w:eastAsia="zh-CN"/>
              </w:rPr>
              <w:t>（</w:t>
            </w:r>
            <w:r>
              <w:rPr>
                <w:rFonts w:hint="eastAsia" w:hAnsiTheme="minorEastAsia" w:eastAsiaTheme="minorEastAsia"/>
                <w:color w:val="auto"/>
                <w:kern w:val="0"/>
                <w:sz w:val="24"/>
                <w:lang w:val="en-US" w:eastAsia="zh-CN"/>
              </w:rPr>
              <w:t>已建成</w:t>
            </w:r>
            <w:r>
              <w:rPr>
                <w:rFonts w:hint="eastAsia" w:hAnsiTheme="minorEastAsia" w:eastAsiaTheme="minorEastAsia"/>
                <w:color w:val="auto"/>
                <w:kern w:val="0"/>
                <w:sz w:val="24"/>
                <w:lang w:val="en-US" w:eastAsia="zh-CN"/>
              </w:rPr>
              <w:t>）</w:t>
            </w:r>
            <w:r>
              <w:rPr>
                <w:rFonts w:hint="default" w:ascii="Times New Roman" w:hAnsiTheme="minorEastAsia" w:eastAsiaTheme="minorEastAsia"/>
                <w:color w:val="auto"/>
                <w:kern w:val="0"/>
                <w:sz w:val="24"/>
                <w:lang w:val="en-US" w:eastAsia="zh-CN"/>
              </w:rPr>
              <w:t>。提标改造后工艺为：预处理+改良AAO+二沉池+磁絮凝沉淀池+活性砂滤池+次氯酸钠消毒。</w:t>
            </w:r>
          </w:p>
          <w:p w14:paraId="1114ED4E">
            <w:pPr>
              <w:keepNext w:val="0"/>
              <w:keepLines w:val="0"/>
              <w:suppressLineNumbers w:val="0"/>
              <w:adjustRightInd w:val="0"/>
              <w:snapToGrid w:val="0"/>
              <w:spacing w:before="0" w:beforeAutospacing="0" w:after="0" w:afterAutospacing="0" w:line="360" w:lineRule="auto"/>
              <w:ind w:left="0" w:right="0" w:firstLine="480" w:firstLineChars="200"/>
              <w:rPr>
                <w:rFonts w:hint="default" w:ascii="Times New Roman" w:hAnsiTheme="minorEastAsia" w:eastAsiaTheme="minorEastAsia"/>
                <w:color w:val="auto"/>
                <w:kern w:val="0"/>
                <w:sz w:val="24"/>
                <w:lang w:val="en-US" w:eastAsia="zh-CN"/>
              </w:rPr>
            </w:pPr>
            <w:r>
              <w:rPr>
                <w:rFonts w:hint="default" w:ascii="Times New Roman" w:hAnsiTheme="minorEastAsia" w:eastAsiaTheme="minorEastAsia"/>
                <w:color w:val="auto"/>
                <w:kern w:val="0"/>
                <w:sz w:val="24"/>
                <w:lang w:val="en-US" w:eastAsia="zh-CN"/>
              </w:rPr>
              <w:t>新渡片区污水处理厂尾水排水执行《城镇污水处理厂污染物排放标准》(GB18918-2002)中一级A标准，尾水排入夏码大沟</w:t>
            </w:r>
            <w:r>
              <w:rPr>
                <w:rFonts w:hint="eastAsia" w:ascii="Times New Roman" w:hAnsiTheme="minorEastAsia" w:eastAsiaTheme="minorEastAsia"/>
                <w:color w:val="auto"/>
                <w:kern w:val="0"/>
                <w:sz w:val="24"/>
                <w:lang w:val="en-US" w:eastAsia="zh-CN"/>
              </w:rPr>
              <w:t>最终排入盐河</w:t>
            </w:r>
            <w:r>
              <w:rPr>
                <w:rFonts w:hint="default" w:ascii="Times New Roman" w:hAnsiTheme="minorEastAsia" w:eastAsiaTheme="minorEastAsia"/>
                <w:color w:val="auto"/>
                <w:kern w:val="0"/>
                <w:sz w:val="24"/>
                <w:lang w:val="en-US" w:eastAsia="zh-CN"/>
              </w:rPr>
              <w:t>。</w:t>
            </w:r>
          </w:p>
          <w:p w14:paraId="372B87F6">
            <w:pPr>
              <w:keepNext w:val="0"/>
              <w:keepLines w:val="0"/>
              <w:suppressLineNumbers w:val="0"/>
              <w:spacing w:before="0" w:beforeAutospacing="0" w:after="0" w:afterAutospacing="0"/>
              <w:ind w:left="0" w:right="0"/>
              <w:rPr>
                <w:rFonts w:hint="default"/>
                <w:color w:val="auto"/>
              </w:rPr>
            </w:pPr>
            <w:r>
              <w:rPr>
                <w:rFonts w:hint="default"/>
                <w:color w:val="auto"/>
              </w:rPr>
              <w:t>2)接管可行性分析</w:t>
            </w:r>
          </w:p>
          <w:p w14:paraId="6226426B">
            <w:pPr>
              <w:keepNext w:val="0"/>
              <w:keepLines w:val="0"/>
              <w:suppressLineNumbers w:val="0"/>
              <w:spacing w:before="0" w:beforeAutospacing="0" w:after="0" w:afterAutospacing="0"/>
              <w:ind w:left="0" w:right="0"/>
              <w:rPr>
                <w:rFonts w:hint="default"/>
                <w:color w:val="auto"/>
              </w:rPr>
            </w:pPr>
            <w:r>
              <w:rPr>
                <w:rFonts w:hint="default"/>
                <w:color w:val="auto"/>
              </w:rPr>
              <w:t>A.水质、水量接管可行性分析</w:t>
            </w:r>
          </w:p>
          <w:p w14:paraId="5FAFECCC">
            <w:pPr>
              <w:keepNext w:val="0"/>
              <w:keepLines w:val="0"/>
              <w:suppressLineNumbers w:val="0"/>
              <w:spacing w:before="0" w:beforeAutospacing="0" w:after="0" w:afterAutospacing="0"/>
              <w:ind w:left="0" w:right="0"/>
              <w:rPr>
                <w:rFonts w:hint="default"/>
                <w:color w:val="auto"/>
              </w:rPr>
            </w:pPr>
            <w:r>
              <w:rPr>
                <w:rFonts w:hint="default"/>
                <w:color w:val="auto"/>
              </w:rPr>
              <w:t>本项目废水产生及排放情况见表4.</w:t>
            </w:r>
            <w:r>
              <w:rPr>
                <w:rFonts w:hint="eastAsia"/>
                <w:color w:val="auto"/>
                <w:lang w:val="en-US" w:eastAsia="zh-CN"/>
              </w:rPr>
              <w:t>2-1</w:t>
            </w:r>
            <w:r>
              <w:rPr>
                <w:rFonts w:hint="default"/>
                <w:color w:val="auto"/>
              </w:rPr>
              <w:t>、表</w:t>
            </w:r>
            <w:r>
              <w:rPr>
                <w:rFonts w:hint="eastAsia"/>
                <w:color w:val="auto"/>
                <w:lang w:val="en-US" w:eastAsia="zh-CN"/>
              </w:rPr>
              <w:t>4.2-2、表4.2-3</w:t>
            </w:r>
            <w:r>
              <w:rPr>
                <w:rFonts w:hint="default"/>
                <w:color w:val="auto"/>
              </w:rPr>
              <w:t>所述。本项目废水污染物排放浓度见表4.</w:t>
            </w:r>
            <w:r>
              <w:rPr>
                <w:rFonts w:hint="eastAsia"/>
                <w:color w:val="auto"/>
                <w:lang w:val="en-US" w:eastAsia="zh-CN"/>
              </w:rPr>
              <w:t>2-4</w:t>
            </w:r>
            <w:r>
              <w:rPr>
                <w:rFonts w:hint="default"/>
                <w:color w:val="auto"/>
              </w:rPr>
              <w:t>。</w:t>
            </w:r>
          </w:p>
          <w:p w14:paraId="0DA367D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eastAsiaTheme="minorEastAsia"/>
                <w:b/>
                <w:color w:val="auto"/>
                <w:sz w:val="24"/>
              </w:rPr>
            </w:pPr>
            <w:r>
              <w:rPr>
                <w:rFonts w:hint="default" w:hAnsiTheme="minorEastAsia" w:eastAsiaTheme="minorEastAsia"/>
                <w:b/>
                <w:color w:val="auto"/>
                <w:sz w:val="24"/>
              </w:rPr>
              <w:t>表</w:t>
            </w:r>
            <w:r>
              <w:rPr>
                <w:rFonts w:hint="default" w:eastAsiaTheme="minorEastAsia"/>
                <w:b/>
                <w:color w:val="auto"/>
                <w:sz w:val="24"/>
              </w:rPr>
              <w:t>4.2-</w:t>
            </w:r>
            <w:r>
              <w:rPr>
                <w:rFonts w:hint="eastAsia" w:eastAsiaTheme="minorEastAsia"/>
                <w:b/>
                <w:color w:val="auto"/>
                <w:sz w:val="24"/>
                <w:lang w:val="en-US" w:eastAsia="zh-CN"/>
              </w:rPr>
              <w:t>4</w:t>
            </w:r>
            <w:r>
              <w:rPr>
                <w:rFonts w:hint="default" w:eastAsiaTheme="minorEastAsia"/>
                <w:b/>
                <w:color w:val="auto"/>
                <w:sz w:val="24"/>
              </w:rPr>
              <w:t xml:space="preserve">  </w:t>
            </w:r>
            <w:r>
              <w:rPr>
                <w:rFonts w:hint="default" w:hAnsiTheme="minorEastAsia" w:eastAsiaTheme="minorEastAsia"/>
                <w:b/>
                <w:color w:val="auto"/>
                <w:sz w:val="24"/>
              </w:rPr>
              <w:t>本项目废水污染物排放浓度一览表</w:t>
            </w:r>
          </w:p>
          <w:tbl>
            <w:tblPr>
              <w:tblStyle w:val="27"/>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3656"/>
              <w:gridCol w:w="2967"/>
              <w:gridCol w:w="4781"/>
              <w:gridCol w:w="2092"/>
            </w:tblGrid>
            <w:tr w14:paraId="20F9625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2453" w:type="pct"/>
                  <w:gridSpan w:val="2"/>
                  <w:tcBorders>
                    <w:tl2br w:val="nil"/>
                    <w:tr2bl w:val="nil"/>
                  </w:tcBorders>
                  <w:vAlign w:val="center"/>
                </w:tcPr>
                <w:p w14:paraId="59AB94B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b/>
                      <w:bCs/>
                      <w:color w:val="auto"/>
                      <w:sz w:val="18"/>
                      <w:szCs w:val="18"/>
                    </w:rPr>
                  </w:pPr>
                  <w:r>
                    <w:rPr>
                      <w:rFonts w:hint="default"/>
                      <w:b/>
                      <w:bCs/>
                      <w:color w:val="auto"/>
                      <w:sz w:val="18"/>
                      <w:szCs w:val="18"/>
                    </w:rPr>
                    <w:t>废水污染物排放状况</w:t>
                  </w:r>
                </w:p>
              </w:tc>
              <w:tc>
                <w:tcPr>
                  <w:tcW w:w="1771" w:type="pct"/>
                  <w:vMerge w:val="restart"/>
                  <w:tcBorders>
                    <w:tl2br w:val="nil"/>
                    <w:tr2bl w:val="nil"/>
                  </w:tcBorders>
                  <w:vAlign w:val="center"/>
                </w:tcPr>
                <w:p w14:paraId="4440517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b/>
                      <w:bCs/>
                      <w:color w:val="auto"/>
                      <w:sz w:val="18"/>
                      <w:szCs w:val="18"/>
                    </w:rPr>
                  </w:pPr>
                  <w:r>
                    <w:rPr>
                      <w:rFonts w:hint="default"/>
                      <w:b/>
                      <w:bCs/>
                      <w:color w:val="auto"/>
                      <w:sz w:val="18"/>
                      <w:szCs w:val="18"/>
                    </w:rPr>
                    <w:t>新渡片区污水处理厂接管标准</w:t>
                  </w:r>
                </w:p>
              </w:tc>
              <w:tc>
                <w:tcPr>
                  <w:tcW w:w="775" w:type="pct"/>
                  <w:vMerge w:val="restart"/>
                  <w:tcBorders>
                    <w:tl2br w:val="nil"/>
                    <w:tr2bl w:val="nil"/>
                  </w:tcBorders>
                  <w:vAlign w:val="center"/>
                </w:tcPr>
                <w:p w14:paraId="456B6C1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b/>
                      <w:bCs/>
                      <w:color w:val="auto"/>
                      <w:sz w:val="18"/>
                      <w:szCs w:val="18"/>
                    </w:rPr>
                  </w:pPr>
                  <w:r>
                    <w:rPr>
                      <w:rFonts w:hint="default"/>
                      <w:b/>
                      <w:bCs/>
                      <w:color w:val="auto"/>
                      <w:sz w:val="18"/>
                      <w:szCs w:val="18"/>
                    </w:rPr>
                    <w:t>达标情况</w:t>
                  </w:r>
                </w:p>
              </w:tc>
            </w:tr>
            <w:tr w14:paraId="587F42D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1354" w:type="pct"/>
                  <w:tcBorders>
                    <w:tl2br w:val="nil"/>
                    <w:tr2bl w:val="nil"/>
                  </w:tcBorders>
                  <w:vAlign w:val="center"/>
                </w:tcPr>
                <w:p w14:paraId="4C10A2A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eastAsia="宋体"/>
                      <w:b/>
                      <w:bCs/>
                      <w:color w:val="auto"/>
                      <w:sz w:val="18"/>
                      <w:szCs w:val="18"/>
                      <w:lang w:val="en-US" w:eastAsia="zh-CN"/>
                    </w:rPr>
                  </w:pPr>
                  <w:r>
                    <w:rPr>
                      <w:rFonts w:hint="eastAsia" w:eastAsia="宋体"/>
                      <w:b/>
                      <w:bCs/>
                      <w:color w:val="auto"/>
                      <w:sz w:val="18"/>
                      <w:szCs w:val="18"/>
                      <w:lang w:val="en-US" w:eastAsia="zh-CN"/>
                    </w:rPr>
                    <w:t>污染物</w:t>
                  </w:r>
                </w:p>
              </w:tc>
              <w:tc>
                <w:tcPr>
                  <w:tcW w:w="1099" w:type="pct"/>
                  <w:tcBorders>
                    <w:tl2br w:val="nil"/>
                    <w:tr2bl w:val="nil"/>
                  </w:tcBorders>
                  <w:vAlign w:val="center"/>
                </w:tcPr>
                <w:p w14:paraId="0659F0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b/>
                      <w:bCs/>
                      <w:color w:val="auto"/>
                      <w:sz w:val="18"/>
                      <w:szCs w:val="18"/>
                    </w:rPr>
                  </w:pPr>
                  <w:r>
                    <w:rPr>
                      <w:rFonts w:hint="default"/>
                      <w:b/>
                      <w:bCs/>
                      <w:color w:val="auto"/>
                      <w:sz w:val="18"/>
                      <w:szCs w:val="18"/>
                    </w:rPr>
                    <w:t>浓度(mg/L)</w:t>
                  </w:r>
                </w:p>
              </w:tc>
              <w:tc>
                <w:tcPr>
                  <w:tcW w:w="1771" w:type="pct"/>
                  <w:vMerge w:val="continue"/>
                  <w:tcBorders>
                    <w:tl2br w:val="nil"/>
                    <w:tr2bl w:val="nil"/>
                  </w:tcBorders>
                  <w:vAlign w:val="center"/>
                </w:tcPr>
                <w:p w14:paraId="778EA4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color w:val="auto"/>
                      <w:sz w:val="18"/>
                      <w:szCs w:val="18"/>
                    </w:rPr>
                  </w:pPr>
                </w:p>
              </w:tc>
              <w:tc>
                <w:tcPr>
                  <w:tcW w:w="775" w:type="pct"/>
                  <w:vMerge w:val="continue"/>
                  <w:tcBorders>
                    <w:tl2br w:val="nil"/>
                    <w:tr2bl w:val="nil"/>
                  </w:tcBorders>
                  <w:vAlign w:val="center"/>
                </w:tcPr>
                <w:p w14:paraId="6844543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color w:val="auto"/>
                      <w:sz w:val="18"/>
                      <w:szCs w:val="18"/>
                    </w:rPr>
                  </w:pPr>
                </w:p>
              </w:tc>
            </w:tr>
            <w:tr w14:paraId="47E36B5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43" w:hRule="atLeast"/>
                <w:jc w:val="center"/>
              </w:trPr>
              <w:tc>
                <w:tcPr>
                  <w:tcW w:w="1354" w:type="pct"/>
                  <w:tcBorders>
                    <w:tl2br w:val="nil"/>
                    <w:tr2bl w:val="nil"/>
                  </w:tcBorders>
                  <w:vAlign w:val="center"/>
                </w:tcPr>
                <w:p w14:paraId="1164372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eastAsia="宋体"/>
                      <w:color w:val="auto"/>
                      <w:sz w:val="18"/>
                      <w:szCs w:val="18"/>
                      <w:lang w:eastAsia="zh-CN"/>
                    </w:rPr>
                  </w:pPr>
                  <w:r>
                    <w:rPr>
                      <w:rFonts w:hint="eastAsia"/>
                      <w:color w:val="auto"/>
                      <w:sz w:val="18"/>
                      <w:szCs w:val="18"/>
                      <w:lang w:eastAsia="zh-CN"/>
                    </w:rPr>
                    <w:t>废水量</w:t>
                  </w:r>
                </w:p>
              </w:tc>
              <w:tc>
                <w:tcPr>
                  <w:tcW w:w="1099" w:type="pct"/>
                  <w:tcBorders>
                    <w:tl2br w:val="nil"/>
                    <w:tr2bl w:val="nil"/>
                  </w:tcBorders>
                  <w:vAlign w:val="center"/>
                </w:tcPr>
                <w:p w14:paraId="690492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eastAsia="宋体"/>
                      <w:color w:val="auto"/>
                      <w:sz w:val="18"/>
                      <w:szCs w:val="18"/>
                      <w:lang w:val="en-US" w:eastAsia="zh-CN"/>
                    </w:rPr>
                  </w:pPr>
                  <w:r>
                    <w:rPr>
                      <w:rFonts w:hint="eastAsia" w:eastAsia="宋体"/>
                      <w:color w:val="auto"/>
                      <w:sz w:val="18"/>
                      <w:szCs w:val="18"/>
                      <w:lang w:val="en-US" w:eastAsia="zh-CN"/>
                    </w:rPr>
                    <w:t>0.54</w:t>
                  </w:r>
                  <w:r>
                    <w:rPr>
                      <w:rFonts w:hint="eastAsia" w:ascii="Times New Roman" w:hAnsiTheme="minorEastAsia" w:eastAsiaTheme="minorEastAsia"/>
                      <w:color w:val="auto"/>
                      <w:kern w:val="0"/>
                      <w:sz w:val="18"/>
                      <w:szCs w:val="18"/>
                      <w:highlight w:val="none"/>
                      <w:lang w:val="en-US" w:eastAsia="zh-CN"/>
                    </w:rPr>
                    <w:t>m</w:t>
                  </w:r>
                  <w:r>
                    <w:rPr>
                      <w:rFonts w:hint="eastAsia" w:ascii="Times New Roman" w:hAnsiTheme="minorEastAsia" w:eastAsiaTheme="minorEastAsia"/>
                      <w:color w:val="auto"/>
                      <w:kern w:val="0"/>
                      <w:sz w:val="18"/>
                      <w:szCs w:val="18"/>
                      <w:highlight w:val="none"/>
                      <w:vertAlign w:val="superscript"/>
                      <w:lang w:val="en-US" w:eastAsia="zh-CN"/>
                    </w:rPr>
                    <w:t>3</w:t>
                  </w:r>
                  <w:r>
                    <w:rPr>
                      <w:rFonts w:hint="eastAsia" w:ascii="Times New Roman" w:hAnsiTheme="minorEastAsia" w:eastAsiaTheme="minorEastAsia"/>
                      <w:color w:val="auto"/>
                      <w:kern w:val="0"/>
                      <w:sz w:val="18"/>
                      <w:szCs w:val="18"/>
                      <w:highlight w:val="none"/>
                      <w:lang w:val="en-US" w:eastAsia="zh-CN"/>
                    </w:rPr>
                    <w:t>/d</w:t>
                  </w:r>
                </w:p>
              </w:tc>
              <w:tc>
                <w:tcPr>
                  <w:tcW w:w="1771" w:type="pct"/>
                  <w:tcBorders>
                    <w:tl2br w:val="nil"/>
                    <w:tr2bl w:val="nil"/>
                  </w:tcBorders>
                  <w:vAlign w:val="center"/>
                </w:tcPr>
                <w:p w14:paraId="20DE5EA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eastAsia="宋体"/>
                      <w:color w:val="auto"/>
                      <w:sz w:val="18"/>
                      <w:szCs w:val="18"/>
                      <w:lang w:val="en-US" w:eastAsia="zh-CN"/>
                    </w:rPr>
                  </w:pPr>
                  <w:r>
                    <w:rPr>
                      <w:rFonts w:hint="eastAsia" w:ascii="Times New Roman" w:hAnsiTheme="minorEastAsia" w:eastAsiaTheme="minorEastAsia"/>
                      <w:color w:val="auto"/>
                      <w:kern w:val="0"/>
                      <w:sz w:val="18"/>
                      <w:szCs w:val="18"/>
                      <w:highlight w:val="none"/>
                      <w:lang w:val="en-US" w:eastAsia="zh-CN"/>
                    </w:rPr>
                    <w:t>剩余处理能力为</w:t>
                  </w:r>
                  <w:r>
                    <w:rPr>
                      <w:rFonts w:hint="eastAsia" w:hAnsiTheme="minorEastAsia" w:eastAsiaTheme="minorEastAsia"/>
                      <w:color w:val="auto"/>
                      <w:kern w:val="0"/>
                      <w:sz w:val="18"/>
                      <w:szCs w:val="18"/>
                      <w:highlight w:val="none"/>
                      <w:lang w:val="en-US" w:eastAsia="zh-CN"/>
                    </w:rPr>
                    <w:t>9</w:t>
                  </w:r>
                  <w:r>
                    <w:rPr>
                      <w:rFonts w:hint="eastAsia" w:ascii="Times New Roman" w:hAnsiTheme="minorEastAsia" w:eastAsiaTheme="minorEastAsia"/>
                      <w:color w:val="auto"/>
                      <w:kern w:val="0"/>
                      <w:sz w:val="18"/>
                      <w:szCs w:val="18"/>
                      <w:highlight w:val="none"/>
                      <w:lang w:val="en-US" w:eastAsia="zh-CN"/>
                    </w:rPr>
                    <w:t>000</w:t>
                  </w:r>
                  <w:r>
                    <w:rPr>
                      <w:rFonts w:hint="eastAsia" w:ascii="Times New Roman" w:hAnsiTheme="minorEastAsia" w:eastAsiaTheme="minorEastAsia"/>
                      <w:color w:val="auto"/>
                      <w:kern w:val="0"/>
                      <w:sz w:val="18"/>
                      <w:szCs w:val="18"/>
                      <w:highlight w:val="none"/>
                      <w:lang w:val="en-US" w:eastAsia="zh-CN"/>
                    </w:rPr>
                    <w:t>m</w:t>
                  </w:r>
                  <w:r>
                    <w:rPr>
                      <w:rFonts w:hint="eastAsia" w:ascii="Times New Roman" w:hAnsiTheme="minorEastAsia" w:eastAsiaTheme="minorEastAsia"/>
                      <w:color w:val="auto"/>
                      <w:kern w:val="0"/>
                      <w:sz w:val="18"/>
                      <w:szCs w:val="18"/>
                      <w:highlight w:val="none"/>
                      <w:vertAlign w:val="superscript"/>
                      <w:lang w:val="en-US" w:eastAsia="zh-CN"/>
                    </w:rPr>
                    <w:t>3</w:t>
                  </w:r>
                  <w:r>
                    <w:rPr>
                      <w:rFonts w:hint="eastAsia" w:ascii="Times New Roman" w:hAnsiTheme="minorEastAsia" w:eastAsiaTheme="minorEastAsia"/>
                      <w:color w:val="auto"/>
                      <w:kern w:val="0"/>
                      <w:sz w:val="18"/>
                      <w:szCs w:val="18"/>
                      <w:highlight w:val="none"/>
                      <w:lang w:val="en-US" w:eastAsia="zh-CN"/>
                    </w:rPr>
                    <w:t>/d</w:t>
                  </w:r>
                </w:p>
              </w:tc>
              <w:tc>
                <w:tcPr>
                  <w:tcW w:w="775" w:type="pct"/>
                  <w:tcBorders>
                    <w:tl2br w:val="nil"/>
                    <w:tr2bl w:val="nil"/>
                  </w:tcBorders>
                  <w:vAlign w:val="center"/>
                </w:tcPr>
                <w:p w14:paraId="6A97B7A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eastAsia="宋体"/>
                      <w:color w:val="auto"/>
                      <w:sz w:val="18"/>
                      <w:szCs w:val="18"/>
                      <w:lang w:val="en-US" w:eastAsia="zh-CN"/>
                    </w:rPr>
                  </w:pPr>
                  <w:r>
                    <w:rPr>
                      <w:rFonts w:hint="eastAsia"/>
                      <w:color w:val="auto"/>
                      <w:sz w:val="18"/>
                      <w:szCs w:val="18"/>
                      <w:lang w:eastAsia="zh-CN"/>
                    </w:rPr>
                    <w:t>达标</w:t>
                  </w:r>
                </w:p>
              </w:tc>
            </w:tr>
            <w:tr w14:paraId="27A9E41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43" w:hRule="atLeast"/>
                <w:jc w:val="center"/>
              </w:trPr>
              <w:tc>
                <w:tcPr>
                  <w:tcW w:w="1354" w:type="pct"/>
                  <w:tcBorders>
                    <w:tl2br w:val="nil"/>
                    <w:tr2bl w:val="nil"/>
                  </w:tcBorders>
                  <w:vAlign w:val="center"/>
                </w:tcPr>
                <w:p w14:paraId="7640CFC0">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color w:val="auto"/>
                      <w:sz w:val="18"/>
                      <w:szCs w:val="18"/>
                    </w:rPr>
                  </w:pPr>
                  <w:r>
                    <w:rPr>
                      <w:rFonts w:hint="eastAsia"/>
                      <w:bCs/>
                      <w:color w:val="auto"/>
                      <w:sz w:val="18"/>
                      <w:szCs w:val="18"/>
                    </w:rPr>
                    <w:t>COD</w:t>
                  </w:r>
                </w:p>
              </w:tc>
              <w:tc>
                <w:tcPr>
                  <w:tcW w:w="1099" w:type="pct"/>
                  <w:tcBorders>
                    <w:tl2br w:val="nil"/>
                    <w:tr2bl w:val="nil"/>
                  </w:tcBorders>
                  <w:vAlign w:val="center"/>
                </w:tcPr>
                <w:p w14:paraId="55B22675">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color w:val="auto"/>
                      <w:sz w:val="18"/>
                      <w:szCs w:val="18"/>
                    </w:rPr>
                  </w:pPr>
                  <w:r>
                    <w:rPr>
                      <w:rFonts w:hint="eastAsia" w:ascii="Times New Roman" w:hAnsi="Times New Roman" w:eastAsia="宋体"/>
                      <w:bCs/>
                      <w:color w:val="auto"/>
                      <w:sz w:val="18"/>
                      <w:szCs w:val="18"/>
                      <w:lang w:val="en-US" w:eastAsia="zh-CN"/>
                    </w:rPr>
                    <w:t>280</w:t>
                  </w:r>
                </w:p>
              </w:tc>
              <w:tc>
                <w:tcPr>
                  <w:tcW w:w="1771" w:type="pct"/>
                  <w:tcBorders>
                    <w:tl2br w:val="nil"/>
                    <w:tr2bl w:val="nil"/>
                  </w:tcBorders>
                  <w:vAlign w:val="center"/>
                </w:tcPr>
                <w:p w14:paraId="79FDF952">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color w:val="auto"/>
                      <w:sz w:val="18"/>
                      <w:szCs w:val="18"/>
                    </w:rPr>
                  </w:pPr>
                  <w:r>
                    <w:rPr>
                      <w:rFonts w:hint="eastAsia"/>
                      <w:color w:val="auto"/>
                      <w:sz w:val="18"/>
                      <w:szCs w:val="18"/>
                      <w:lang w:val="en-US" w:eastAsia="zh-CN"/>
                    </w:rPr>
                    <w:t>450</w:t>
                  </w:r>
                </w:p>
              </w:tc>
              <w:tc>
                <w:tcPr>
                  <w:tcW w:w="775" w:type="pct"/>
                  <w:tcBorders>
                    <w:tl2br w:val="nil"/>
                    <w:tr2bl w:val="nil"/>
                  </w:tcBorders>
                  <w:vAlign w:val="center"/>
                </w:tcPr>
                <w:p w14:paraId="48F363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eastAsia="宋体"/>
                      <w:color w:val="auto"/>
                      <w:sz w:val="18"/>
                      <w:szCs w:val="18"/>
                      <w:lang w:eastAsia="zh-CN"/>
                    </w:rPr>
                  </w:pPr>
                  <w:r>
                    <w:rPr>
                      <w:rFonts w:hint="eastAsia"/>
                      <w:color w:val="auto"/>
                      <w:sz w:val="18"/>
                      <w:szCs w:val="18"/>
                      <w:lang w:eastAsia="zh-CN"/>
                    </w:rPr>
                    <w:t>达标</w:t>
                  </w:r>
                </w:p>
              </w:tc>
            </w:tr>
            <w:tr w14:paraId="44B3EDE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43" w:hRule="atLeast"/>
                <w:jc w:val="center"/>
              </w:trPr>
              <w:tc>
                <w:tcPr>
                  <w:tcW w:w="1354" w:type="pct"/>
                  <w:tcBorders>
                    <w:tl2br w:val="nil"/>
                    <w:tr2bl w:val="nil"/>
                  </w:tcBorders>
                  <w:vAlign w:val="center"/>
                </w:tcPr>
                <w:p w14:paraId="65C0EDE4">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color w:val="auto"/>
                      <w:sz w:val="18"/>
                      <w:szCs w:val="18"/>
                    </w:rPr>
                  </w:pPr>
                  <w:r>
                    <w:rPr>
                      <w:rFonts w:hint="eastAsia"/>
                      <w:bCs/>
                      <w:color w:val="auto"/>
                      <w:sz w:val="18"/>
                      <w:szCs w:val="18"/>
                    </w:rPr>
                    <w:t>SS</w:t>
                  </w:r>
                </w:p>
              </w:tc>
              <w:tc>
                <w:tcPr>
                  <w:tcW w:w="1099" w:type="pct"/>
                  <w:tcBorders>
                    <w:tl2br w:val="nil"/>
                    <w:tr2bl w:val="nil"/>
                  </w:tcBorders>
                  <w:vAlign w:val="center"/>
                </w:tcPr>
                <w:p w14:paraId="0C853B01">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color w:val="auto"/>
                      <w:sz w:val="18"/>
                      <w:szCs w:val="18"/>
                    </w:rPr>
                  </w:pPr>
                  <w:r>
                    <w:rPr>
                      <w:rFonts w:hint="eastAsia" w:ascii="Times New Roman" w:hAnsi="Times New Roman" w:eastAsia="宋体"/>
                      <w:bCs/>
                      <w:color w:val="auto"/>
                      <w:sz w:val="18"/>
                      <w:szCs w:val="18"/>
                      <w:lang w:val="en-US" w:eastAsia="zh-CN"/>
                    </w:rPr>
                    <w:t>200</w:t>
                  </w:r>
                </w:p>
              </w:tc>
              <w:tc>
                <w:tcPr>
                  <w:tcW w:w="1771" w:type="pct"/>
                  <w:tcBorders>
                    <w:tl2br w:val="nil"/>
                    <w:tr2bl w:val="nil"/>
                  </w:tcBorders>
                  <w:vAlign w:val="center"/>
                </w:tcPr>
                <w:p w14:paraId="448F28C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color w:val="auto"/>
                      <w:sz w:val="18"/>
                      <w:szCs w:val="18"/>
                    </w:rPr>
                  </w:pPr>
                  <w:r>
                    <w:rPr>
                      <w:rFonts w:hint="eastAsia"/>
                      <w:color w:val="auto"/>
                      <w:sz w:val="18"/>
                      <w:szCs w:val="18"/>
                      <w:lang w:val="en-US" w:eastAsia="zh-CN"/>
                    </w:rPr>
                    <w:t>200</w:t>
                  </w:r>
                </w:p>
              </w:tc>
              <w:tc>
                <w:tcPr>
                  <w:tcW w:w="775" w:type="pct"/>
                  <w:tcBorders>
                    <w:tl2br w:val="nil"/>
                    <w:tr2bl w:val="nil"/>
                  </w:tcBorders>
                  <w:vAlign w:val="center"/>
                </w:tcPr>
                <w:p w14:paraId="13FC9E3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color w:val="auto"/>
                      <w:sz w:val="18"/>
                      <w:szCs w:val="18"/>
                    </w:rPr>
                  </w:pPr>
                  <w:r>
                    <w:rPr>
                      <w:rFonts w:hint="eastAsia"/>
                      <w:color w:val="auto"/>
                      <w:sz w:val="18"/>
                      <w:szCs w:val="18"/>
                      <w:lang w:eastAsia="zh-CN"/>
                    </w:rPr>
                    <w:t>达标</w:t>
                  </w:r>
                </w:p>
              </w:tc>
            </w:tr>
            <w:tr w14:paraId="50DF080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43" w:hRule="atLeast"/>
                <w:jc w:val="center"/>
              </w:trPr>
              <w:tc>
                <w:tcPr>
                  <w:tcW w:w="1354" w:type="pct"/>
                  <w:tcBorders>
                    <w:tl2br w:val="nil"/>
                    <w:tr2bl w:val="nil"/>
                  </w:tcBorders>
                  <w:vAlign w:val="center"/>
                </w:tcPr>
                <w:p w14:paraId="38AB2E1D">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color w:val="auto"/>
                      <w:sz w:val="18"/>
                      <w:szCs w:val="18"/>
                    </w:rPr>
                  </w:pPr>
                  <w:r>
                    <w:rPr>
                      <w:rFonts w:hint="eastAsia"/>
                      <w:bCs/>
                      <w:color w:val="auto"/>
                      <w:sz w:val="18"/>
                      <w:szCs w:val="18"/>
                      <w:lang w:val="en-US" w:eastAsia="zh-CN"/>
                    </w:rPr>
                    <w:t>氨氮</w:t>
                  </w:r>
                </w:p>
              </w:tc>
              <w:tc>
                <w:tcPr>
                  <w:tcW w:w="1099" w:type="pct"/>
                  <w:tcBorders>
                    <w:tl2br w:val="nil"/>
                    <w:tr2bl w:val="nil"/>
                  </w:tcBorders>
                  <w:vAlign w:val="center"/>
                </w:tcPr>
                <w:p w14:paraId="47BA1151">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color w:val="auto"/>
                      <w:sz w:val="18"/>
                      <w:szCs w:val="18"/>
                    </w:rPr>
                  </w:pPr>
                  <w:r>
                    <w:rPr>
                      <w:rFonts w:hint="eastAsia" w:ascii="Times New Roman" w:hAnsi="Times New Roman" w:eastAsia="宋体"/>
                      <w:bCs/>
                      <w:color w:val="auto"/>
                      <w:sz w:val="18"/>
                      <w:szCs w:val="18"/>
                      <w:lang w:val="en-US" w:eastAsia="zh-CN"/>
                    </w:rPr>
                    <w:t>30</w:t>
                  </w:r>
                </w:p>
              </w:tc>
              <w:tc>
                <w:tcPr>
                  <w:tcW w:w="1771" w:type="pct"/>
                  <w:tcBorders>
                    <w:tl2br w:val="nil"/>
                    <w:tr2bl w:val="nil"/>
                  </w:tcBorders>
                  <w:vAlign w:val="center"/>
                </w:tcPr>
                <w:p w14:paraId="4B78FCD4">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color w:val="auto"/>
                      <w:sz w:val="18"/>
                      <w:szCs w:val="18"/>
                    </w:rPr>
                  </w:pPr>
                  <w:r>
                    <w:rPr>
                      <w:rFonts w:hint="eastAsia"/>
                      <w:bCs/>
                      <w:color w:val="auto"/>
                      <w:sz w:val="18"/>
                      <w:szCs w:val="18"/>
                      <w:lang w:val="en-US" w:eastAsia="zh-CN"/>
                    </w:rPr>
                    <w:t>45</w:t>
                  </w:r>
                </w:p>
              </w:tc>
              <w:tc>
                <w:tcPr>
                  <w:tcW w:w="775" w:type="pct"/>
                  <w:tcBorders>
                    <w:tl2br w:val="nil"/>
                    <w:tr2bl w:val="nil"/>
                  </w:tcBorders>
                  <w:vAlign w:val="center"/>
                </w:tcPr>
                <w:p w14:paraId="7ABFC70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color w:val="auto"/>
                      <w:sz w:val="18"/>
                      <w:szCs w:val="18"/>
                    </w:rPr>
                  </w:pPr>
                  <w:r>
                    <w:rPr>
                      <w:rFonts w:hint="eastAsia"/>
                      <w:color w:val="auto"/>
                      <w:sz w:val="18"/>
                      <w:szCs w:val="18"/>
                      <w:lang w:eastAsia="zh-CN"/>
                    </w:rPr>
                    <w:t>达标</w:t>
                  </w:r>
                </w:p>
              </w:tc>
            </w:tr>
            <w:tr w14:paraId="564DD0F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43" w:hRule="atLeast"/>
                <w:jc w:val="center"/>
              </w:trPr>
              <w:tc>
                <w:tcPr>
                  <w:tcW w:w="1354" w:type="pct"/>
                  <w:tcBorders>
                    <w:tl2br w:val="nil"/>
                    <w:tr2bl w:val="nil"/>
                  </w:tcBorders>
                  <w:vAlign w:val="center"/>
                </w:tcPr>
                <w:p w14:paraId="491DF3AD">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color w:val="auto"/>
                      <w:sz w:val="18"/>
                      <w:szCs w:val="18"/>
                    </w:rPr>
                  </w:pPr>
                  <w:r>
                    <w:rPr>
                      <w:rFonts w:hint="eastAsia"/>
                      <w:bCs/>
                      <w:color w:val="auto"/>
                      <w:sz w:val="18"/>
                      <w:szCs w:val="18"/>
                      <w:lang w:val="en-US" w:eastAsia="zh-CN"/>
                    </w:rPr>
                    <w:t>总氮</w:t>
                  </w:r>
                </w:p>
              </w:tc>
              <w:tc>
                <w:tcPr>
                  <w:tcW w:w="1099" w:type="pct"/>
                  <w:tcBorders>
                    <w:tl2br w:val="nil"/>
                    <w:tr2bl w:val="nil"/>
                  </w:tcBorders>
                  <w:vAlign w:val="center"/>
                </w:tcPr>
                <w:p w14:paraId="7124A8D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color w:val="auto"/>
                      <w:sz w:val="18"/>
                      <w:szCs w:val="18"/>
                    </w:rPr>
                  </w:pPr>
                  <w:r>
                    <w:rPr>
                      <w:rFonts w:hint="eastAsia" w:ascii="Times New Roman" w:hAnsi="Times New Roman" w:eastAsia="宋体"/>
                      <w:bCs/>
                      <w:color w:val="auto"/>
                      <w:sz w:val="18"/>
                      <w:szCs w:val="18"/>
                      <w:lang w:val="en-US" w:eastAsia="zh-CN"/>
                    </w:rPr>
                    <w:t>45</w:t>
                  </w:r>
                </w:p>
              </w:tc>
              <w:tc>
                <w:tcPr>
                  <w:tcW w:w="1771" w:type="pct"/>
                  <w:tcBorders>
                    <w:tl2br w:val="nil"/>
                    <w:tr2bl w:val="nil"/>
                  </w:tcBorders>
                  <w:vAlign w:val="center"/>
                </w:tcPr>
                <w:p w14:paraId="227EA1A4">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color w:val="auto"/>
                      <w:sz w:val="18"/>
                      <w:szCs w:val="18"/>
                    </w:rPr>
                  </w:pPr>
                  <w:r>
                    <w:rPr>
                      <w:rFonts w:hint="eastAsia"/>
                      <w:bCs/>
                      <w:color w:val="auto"/>
                      <w:sz w:val="18"/>
                      <w:szCs w:val="18"/>
                      <w:lang w:val="en-US" w:eastAsia="zh-CN"/>
                    </w:rPr>
                    <w:t>70</w:t>
                  </w:r>
                </w:p>
              </w:tc>
              <w:tc>
                <w:tcPr>
                  <w:tcW w:w="775" w:type="pct"/>
                  <w:tcBorders>
                    <w:tl2br w:val="nil"/>
                    <w:tr2bl w:val="nil"/>
                  </w:tcBorders>
                  <w:vAlign w:val="center"/>
                </w:tcPr>
                <w:p w14:paraId="01F11F7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color w:val="auto"/>
                      <w:sz w:val="18"/>
                      <w:szCs w:val="18"/>
                    </w:rPr>
                  </w:pPr>
                  <w:r>
                    <w:rPr>
                      <w:rFonts w:hint="eastAsia"/>
                      <w:color w:val="auto"/>
                      <w:sz w:val="18"/>
                      <w:szCs w:val="18"/>
                      <w:lang w:eastAsia="zh-CN"/>
                    </w:rPr>
                    <w:t>达标</w:t>
                  </w:r>
                </w:p>
              </w:tc>
            </w:tr>
            <w:tr w14:paraId="559250B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43" w:hRule="atLeast"/>
                <w:jc w:val="center"/>
              </w:trPr>
              <w:tc>
                <w:tcPr>
                  <w:tcW w:w="1354" w:type="pct"/>
                  <w:tcBorders>
                    <w:tl2br w:val="nil"/>
                    <w:tr2bl w:val="nil"/>
                  </w:tcBorders>
                  <w:vAlign w:val="center"/>
                </w:tcPr>
                <w:p w14:paraId="2E65FC34">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color w:val="auto"/>
                      <w:sz w:val="18"/>
                      <w:szCs w:val="18"/>
                    </w:rPr>
                  </w:pPr>
                  <w:r>
                    <w:rPr>
                      <w:rFonts w:hint="eastAsia"/>
                      <w:bCs/>
                      <w:color w:val="auto"/>
                      <w:sz w:val="18"/>
                      <w:szCs w:val="18"/>
                      <w:lang w:val="en-US" w:eastAsia="zh-CN"/>
                    </w:rPr>
                    <w:t>总磷</w:t>
                  </w:r>
                </w:p>
              </w:tc>
              <w:tc>
                <w:tcPr>
                  <w:tcW w:w="1099" w:type="pct"/>
                  <w:tcBorders>
                    <w:tl2br w:val="nil"/>
                    <w:tr2bl w:val="nil"/>
                  </w:tcBorders>
                  <w:vAlign w:val="center"/>
                </w:tcPr>
                <w:p w14:paraId="05C15CF4">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color w:val="auto"/>
                      <w:sz w:val="18"/>
                      <w:szCs w:val="18"/>
                    </w:rPr>
                  </w:pPr>
                  <w:r>
                    <w:rPr>
                      <w:rFonts w:hint="eastAsia" w:ascii="Times New Roman" w:hAnsi="Times New Roman" w:eastAsia="宋体"/>
                      <w:bCs/>
                      <w:color w:val="auto"/>
                      <w:sz w:val="18"/>
                      <w:szCs w:val="18"/>
                      <w:lang w:val="en-US" w:eastAsia="zh-CN"/>
                    </w:rPr>
                    <w:t>4</w:t>
                  </w:r>
                </w:p>
              </w:tc>
              <w:tc>
                <w:tcPr>
                  <w:tcW w:w="1771" w:type="pct"/>
                  <w:tcBorders>
                    <w:tl2br w:val="nil"/>
                    <w:tr2bl w:val="nil"/>
                  </w:tcBorders>
                  <w:vAlign w:val="center"/>
                </w:tcPr>
                <w:p w14:paraId="7DB67046">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color w:val="auto"/>
                      <w:sz w:val="18"/>
                      <w:szCs w:val="18"/>
                    </w:rPr>
                  </w:pPr>
                  <w:r>
                    <w:rPr>
                      <w:rFonts w:hint="eastAsia"/>
                      <w:bCs/>
                      <w:color w:val="auto"/>
                      <w:sz w:val="18"/>
                      <w:szCs w:val="18"/>
                      <w:lang w:val="en-US" w:eastAsia="zh-CN"/>
                    </w:rPr>
                    <w:t>5</w:t>
                  </w:r>
                </w:p>
              </w:tc>
              <w:tc>
                <w:tcPr>
                  <w:tcW w:w="775" w:type="pct"/>
                  <w:tcBorders>
                    <w:tl2br w:val="nil"/>
                    <w:tr2bl w:val="nil"/>
                  </w:tcBorders>
                  <w:vAlign w:val="center"/>
                </w:tcPr>
                <w:p w14:paraId="1A10328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color w:val="auto"/>
                      <w:sz w:val="18"/>
                      <w:szCs w:val="18"/>
                    </w:rPr>
                  </w:pPr>
                  <w:r>
                    <w:rPr>
                      <w:rFonts w:hint="eastAsia"/>
                      <w:color w:val="auto"/>
                      <w:sz w:val="18"/>
                      <w:szCs w:val="18"/>
                      <w:lang w:eastAsia="zh-CN"/>
                    </w:rPr>
                    <w:t>达标</w:t>
                  </w:r>
                </w:p>
              </w:tc>
            </w:tr>
          </w:tbl>
          <w:p w14:paraId="5995C01C">
            <w:pPr>
              <w:keepNext w:val="0"/>
              <w:keepLines w:val="0"/>
              <w:suppressLineNumbers w:val="0"/>
              <w:adjustRightInd w:val="0"/>
              <w:snapToGrid w:val="0"/>
              <w:spacing w:before="0" w:beforeAutospacing="0" w:after="0" w:afterAutospacing="0" w:line="360" w:lineRule="auto"/>
              <w:ind w:left="0" w:right="0" w:firstLine="480" w:firstLineChars="200"/>
              <w:rPr>
                <w:rFonts w:hint="eastAsia" w:ascii="Times New Roman" w:hAnsiTheme="minorEastAsia" w:eastAsiaTheme="minorEastAsia"/>
                <w:color w:val="auto"/>
                <w:kern w:val="0"/>
                <w:sz w:val="24"/>
                <w:lang w:val="en-US" w:eastAsia="zh-CN"/>
              </w:rPr>
            </w:pPr>
            <w:r>
              <w:rPr>
                <w:rFonts w:hint="eastAsia" w:ascii="Times New Roman" w:hAnsiTheme="minorEastAsia" w:eastAsiaTheme="minorEastAsia"/>
                <w:color w:val="auto"/>
                <w:kern w:val="0"/>
                <w:sz w:val="24"/>
                <w:lang w:val="en-US" w:eastAsia="zh-CN"/>
              </w:rPr>
              <w:t>本项目总排污口水质能达到新渡片区污水处理厂接管标准。</w:t>
            </w:r>
          </w:p>
          <w:p w14:paraId="6D8C3FFA">
            <w:pPr>
              <w:keepNext w:val="0"/>
              <w:keepLines w:val="0"/>
              <w:suppressLineNumbers w:val="0"/>
              <w:adjustRightInd w:val="0"/>
              <w:snapToGrid w:val="0"/>
              <w:spacing w:before="0" w:beforeAutospacing="0" w:after="0" w:afterAutospacing="0" w:line="360" w:lineRule="auto"/>
              <w:ind w:left="0" w:right="0" w:firstLine="480" w:firstLineChars="200"/>
              <w:rPr>
                <w:rFonts w:hint="eastAsia" w:ascii="Times New Roman" w:hAnsiTheme="minorEastAsia" w:eastAsiaTheme="minorEastAsia"/>
                <w:color w:val="auto"/>
                <w:kern w:val="0"/>
                <w:sz w:val="24"/>
                <w:lang w:val="en-US" w:eastAsia="zh-CN"/>
              </w:rPr>
            </w:pPr>
            <w:r>
              <w:rPr>
                <w:rFonts w:hint="eastAsia" w:hAnsiTheme="minorEastAsia" w:eastAsiaTheme="minorEastAsia"/>
                <w:color w:val="auto"/>
                <w:kern w:val="0"/>
                <w:sz w:val="24"/>
                <w:highlight w:val="none"/>
                <w:lang w:val="en-US" w:eastAsia="zh-CN"/>
              </w:rPr>
              <w:t>根据淮安高新技术产业开发区规划环评中资料：</w:t>
            </w:r>
            <w:r>
              <w:rPr>
                <w:rFonts w:hint="eastAsia"/>
                <w:color w:val="auto"/>
              </w:rPr>
              <w:t>目前</w:t>
            </w:r>
            <w:r>
              <w:rPr>
                <w:rFonts w:hint="default" w:ascii="Times New Roman" w:hAnsiTheme="minorEastAsia" w:eastAsiaTheme="minorEastAsia"/>
                <w:color w:val="auto"/>
                <w:kern w:val="0"/>
                <w:sz w:val="24"/>
                <w:lang w:val="en-US" w:eastAsia="zh-CN"/>
              </w:rPr>
              <w:t>新渡片区</w:t>
            </w:r>
            <w:r>
              <w:rPr>
                <w:rFonts w:hint="eastAsia"/>
                <w:color w:val="auto"/>
              </w:rPr>
              <w:t>污水处理厂实际污水处理量约388万m</w:t>
            </w:r>
            <w:r>
              <w:rPr>
                <w:rFonts w:hint="eastAsia"/>
                <w:color w:val="auto"/>
                <w:vertAlign w:val="superscript"/>
              </w:rPr>
              <w:t>3</w:t>
            </w:r>
            <w:r>
              <w:rPr>
                <w:rFonts w:hint="eastAsia"/>
                <w:color w:val="auto"/>
              </w:rPr>
              <w:t>（约1.1万m</w:t>
            </w:r>
            <w:r>
              <w:rPr>
                <w:rFonts w:hint="eastAsia"/>
                <w:color w:val="auto"/>
                <w:vertAlign w:val="superscript"/>
              </w:rPr>
              <w:t>3</w:t>
            </w:r>
            <w:r>
              <w:rPr>
                <w:rFonts w:hint="eastAsia"/>
                <w:color w:val="auto"/>
              </w:rPr>
              <w:t>/d）</w:t>
            </w:r>
            <w:r>
              <w:rPr>
                <w:rFonts w:hint="eastAsia"/>
                <w:color w:val="auto"/>
                <w:lang w:eastAsia="zh-CN"/>
              </w:rPr>
              <w:t>，</w:t>
            </w:r>
            <w:r>
              <w:rPr>
                <w:rFonts w:hint="eastAsia" w:ascii="Times New Roman" w:hAnsiTheme="minorEastAsia" w:eastAsiaTheme="minorEastAsia"/>
                <w:color w:val="auto"/>
                <w:kern w:val="0"/>
                <w:sz w:val="24"/>
                <w:highlight w:val="none"/>
                <w:lang w:val="en-US" w:eastAsia="zh-CN"/>
              </w:rPr>
              <w:t>该污水处理厂剩余处理能力为</w:t>
            </w:r>
            <w:r>
              <w:rPr>
                <w:rFonts w:hint="eastAsia" w:hAnsiTheme="minorEastAsia" w:eastAsiaTheme="minorEastAsia"/>
                <w:color w:val="auto"/>
                <w:kern w:val="0"/>
                <w:sz w:val="24"/>
                <w:highlight w:val="none"/>
                <w:lang w:val="en-US" w:eastAsia="zh-CN"/>
              </w:rPr>
              <w:t>9</w:t>
            </w:r>
            <w:r>
              <w:rPr>
                <w:rFonts w:hint="eastAsia" w:ascii="Times New Roman" w:hAnsiTheme="minorEastAsia" w:eastAsiaTheme="minorEastAsia"/>
                <w:color w:val="auto"/>
                <w:kern w:val="0"/>
                <w:sz w:val="24"/>
                <w:highlight w:val="none"/>
                <w:lang w:val="en-US" w:eastAsia="zh-CN"/>
              </w:rPr>
              <w:t>000m</w:t>
            </w:r>
            <w:r>
              <w:rPr>
                <w:rFonts w:hint="eastAsia" w:ascii="Times New Roman" w:hAnsiTheme="minorEastAsia" w:eastAsiaTheme="minorEastAsia"/>
                <w:color w:val="auto"/>
                <w:kern w:val="0"/>
                <w:sz w:val="24"/>
                <w:highlight w:val="none"/>
                <w:vertAlign w:val="superscript"/>
                <w:lang w:val="en-US" w:eastAsia="zh-CN"/>
              </w:rPr>
              <w:t>3</w:t>
            </w:r>
            <w:r>
              <w:rPr>
                <w:rFonts w:hint="eastAsia" w:ascii="Times New Roman" w:hAnsiTheme="minorEastAsia" w:eastAsiaTheme="minorEastAsia"/>
                <w:color w:val="auto"/>
                <w:kern w:val="0"/>
                <w:sz w:val="24"/>
                <w:highlight w:val="none"/>
                <w:lang w:val="en-US" w:eastAsia="zh-CN"/>
              </w:rPr>
              <w:t>/d</w:t>
            </w:r>
            <w:r>
              <w:rPr>
                <w:rFonts w:hint="eastAsia" w:ascii="Times New Roman" w:hAnsiTheme="minorEastAsia" w:eastAsiaTheme="minorEastAsia"/>
                <w:color w:val="auto"/>
                <w:kern w:val="0"/>
                <w:sz w:val="24"/>
                <w:highlight w:val="none"/>
                <w:lang w:val="en-US" w:eastAsia="zh-CN"/>
              </w:rPr>
              <w:t>，本项</w:t>
            </w:r>
            <w:r>
              <w:rPr>
                <w:rFonts w:hint="eastAsia" w:ascii="Times New Roman" w:hAnsiTheme="minorEastAsia" w:eastAsiaTheme="minorEastAsia"/>
                <w:color w:val="auto"/>
                <w:kern w:val="0"/>
                <w:sz w:val="24"/>
                <w:lang w:val="en-US" w:eastAsia="zh-CN"/>
              </w:rPr>
              <w:t>目建成后</w:t>
            </w:r>
            <w:r>
              <w:rPr>
                <w:rFonts w:hint="eastAsia" w:hAnsiTheme="minorEastAsia" w:eastAsiaTheme="minorEastAsia"/>
                <w:color w:val="auto"/>
                <w:kern w:val="0"/>
                <w:sz w:val="24"/>
                <w:lang w:val="en-US" w:eastAsia="zh-CN"/>
              </w:rPr>
              <w:t>生活</w:t>
            </w:r>
            <w:r>
              <w:rPr>
                <w:rFonts w:hint="eastAsia" w:ascii="Times New Roman" w:hAnsiTheme="minorEastAsia" w:eastAsiaTheme="minorEastAsia"/>
                <w:color w:val="auto"/>
                <w:kern w:val="0"/>
                <w:sz w:val="24"/>
                <w:lang w:val="en-US" w:eastAsia="zh-CN"/>
              </w:rPr>
              <w:t>废水排放量0.54m</w:t>
            </w:r>
            <w:r>
              <w:rPr>
                <w:rFonts w:hint="eastAsia" w:ascii="Times New Roman" w:hAnsiTheme="minorEastAsia" w:eastAsiaTheme="minorEastAsia"/>
                <w:color w:val="auto"/>
                <w:kern w:val="0"/>
                <w:sz w:val="24"/>
                <w:vertAlign w:val="superscript"/>
                <w:lang w:val="en-US" w:eastAsia="zh-CN"/>
              </w:rPr>
              <w:t>3</w:t>
            </w:r>
            <w:r>
              <w:rPr>
                <w:rFonts w:hint="eastAsia" w:ascii="Times New Roman" w:hAnsiTheme="minorEastAsia" w:eastAsiaTheme="minorEastAsia"/>
                <w:color w:val="auto"/>
                <w:kern w:val="0"/>
                <w:sz w:val="24"/>
                <w:lang w:val="en-US" w:eastAsia="zh-CN"/>
              </w:rPr>
              <w:t>/d</w:t>
            </w:r>
            <w:r>
              <w:rPr>
                <w:rFonts w:hint="eastAsia" w:hAnsiTheme="minorEastAsia" w:eastAsiaTheme="minorEastAsia"/>
                <w:color w:val="auto"/>
                <w:kern w:val="0"/>
                <w:sz w:val="24"/>
                <w:lang w:val="en-US" w:eastAsia="zh-CN"/>
              </w:rPr>
              <w:t>，仅占</w:t>
            </w:r>
            <w:r>
              <w:rPr>
                <w:rFonts w:hint="default" w:ascii="Times New Roman" w:hAnsiTheme="minorEastAsia" w:eastAsiaTheme="minorEastAsia"/>
                <w:color w:val="auto"/>
                <w:kern w:val="0"/>
                <w:sz w:val="24"/>
                <w:lang w:val="en-US" w:eastAsia="zh-CN"/>
              </w:rPr>
              <w:t>新渡片区</w:t>
            </w:r>
            <w:r>
              <w:rPr>
                <w:rFonts w:hint="eastAsia"/>
                <w:color w:val="auto"/>
              </w:rPr>
              <w:t>污水处理厂</w:t>
            </w:r>
            <w:r>
              <w:rPr>
                <w:rFonts w:hint="eastAsia"/>
                <w:color w:val="auto"/>
                <w:lang w:eastAsia="zh-CN"/>
              </w:rPr>
              <w:t>剩余处理能力的</w:t>
            </w:r>
            <w:r>
              <w:rPr>
                <w:rFonts w:hint="eastAsia"/>
                <w:color w:val="auto"/>
                <w:lang w:val="en-US" w:eastAsia="zh-CN"/>
              </w:rPr>
              <w:t>0.006%</w:t>
            </w:r>
            <w:r>
              <w:rPr>
                <w:rFonts w:hint="eastAsia" w:hAnsiTheme="minorEastAsia" w:eastAsiaTheme="minorEastAsia"/>
                <w:color w:val="auto"/>
                <w:kern w:val="0"/>
                <w:sz w:val="24"/>
                <w:lang w:val="en-US" w:eastAsia="zh-CN"/>
              </w:rPr>
              <w:t>，</w:t>
            </w:r>
            <w:r>
              <w:rPr>
                <w:rFonts w:hint="eastAsia" w:ascii="Times New Roman" w:hAnsiTheme="minorEastAsia" w:eastAsiaTheme="minorEastAsia"/>
                <w:color w:val="auto"/>
                <w:kern w:val="0"/>
                <w:sz w:val="24"/>
                <w:lang w:val="en-US" w:eastAsia="zh-CN"/>
              </w:rPr>
              <w:t>因此，新渡片区污水处理厂完全有能力处理本项目产生的废水。</w:t>
            </w:r>
            <w:bookmarkStart w:id="24" w:name="_GoBack"/>
            <w:bookmarkEnd w:id="24"/>
          </w:p>
          <w:p w14:paraId="58D3273E">
            <w:pPr>
              <w:keepNext w:val="0"/>
              <w:keepLines w:val="0"/>
              <w:suppressLineNumbers w:val="0"/>
              <w:adjustRightInd w:val="0"/>
              <w:snapToGrid w:val="0"/>
              <w:spacing w:before="0" w:beforeAutospacing="0" w:after="0" w:afterAutospacing="0" w:line="360" w:lineRule="auto"/>
              <w:ind w:left="0" w:right="0" w:firstLine="480" w:firstLineChars="200"/>
              <w:rPr>
                <w:rFonts w:hint="eastAsia" w:ascii="Times New Roman" w:hAnsi="Times New Roman" w:eastAsia="宋体"/>
                <w:b w:val="0"/>
                <w:bCs w:val="0"/>
                <w:color w:val="auto"/>
                <w:sz w:val="24"/>
                <w:lang w:val="en-US" w:eastAsia="zh-CN"/>
              </w:rPr>
            </w:pPr>
            <w:r>
              <w:rPr>
                <w:rFonts w:hint="eastAsia" w:ascii="Times New Roman" w:hAnsi="Times New Roman" w:eastAsia="宋体"/>
                <w:b w:val="0"/>
                <w:bCs w:val="0"/>
                <w:color w:val="auto"/>
                <w:sz w:val="24"/>
                <w:lang w:val="en-US" w:eastAsia="zh-CN"/>
              </w:rPr>
              <w:t>B.管网接入可行性分析</w:t>
            </w:r>
          </w:p>
          <w:p w14:paraId="5DED7D15">
            <w:pPr>
              <w:keepNext w:val="0"/>
              <w:keepLines w:val="0"/>
              <w:suppressLineNumbers w:val="0"/>
              <w:adjustRightInd w:val="0"/>
              <w:snapToGrid w:val="0"/>
              <w:spacing w:before="0" w:beforeAutospacing="0" w:after="0" w:afterAutospacing="0" w:line="360" w:lineRule="auto"/>
              <w:ind w:left="0" w:right="0" w:firstLine="480" w:firstLineChars="200"/>
              <w:rPr>
                <w:rFonts w:hint="eastAsia"/>
                <w:b w:val="0"/>
                <w:bCs w:val="0"/>
                <w:color w:val="auto"/>
                <w:sz w:val="24"/>
              </w:rPr>
            </w:pPr>
            <w:r>
              <w:rPr>
                <w:rFonts w:hint="eastAsia" w:ascii="Times New Roman" w:hAnsi="Times New Roman" w:eastAsia="宋体"/>
                <w:b w:val="0"/>
                <w:bCs w:val="0"/>
                <w:color w:val="auto"/>
                <w:sz w:val="24"/>
                <w:lang w:val="en-US" w:eastAsia="zh-CN"/>
              </w:rPr>
              <w:t>项目位于新渡工业集中区范围内，位于新渡片区污水处理厂</w:t>
            </w:r>
            <w:r>
              <w:rPr>
                <w:rFonts w:hint="eastAsia"/>
                <w:b w:val="0"/>
                <w:bCs w:val="0"/>
                <w:color w:val="auto"/>
                <w:sz w:val="24"/>
                <w:lang w:val="en-US" w:eastAsia="zh-CN"/>
              </w:rPr>
              <w:t>收水</w:t>
            </w:r>
            <w:r>
              <w:rPr>
                <w:rFonts w:hint="eastAsia" w:ascii="Times New Roman" w:hAnsi="Times New Roman" w:eastAsia="宋体"/>
                <w:b w:val="0"/>
                <w:bCs w:val="0"/>
                <w:color w:val="auto"/>
                <w:sz w:val="24"/>
                <w:lang w:val="en-US" w:eastAsia="zh-CN"/>
              </w:rPr>
              <w:t>范围内</w:t>
            </w:r>
            <w:r>
              <w:rPr>
                <w:rFonts w:hint="eastAsia"/>
                <w:b w:val="0"/>
                <w:bCs w:val="0"/>
                <w:color w:val="auto"/>
                <w:sz w:val="24"/>
              </w:rPr>
              <w:t>。</w:t>
            </w:r>
          </w:p>
          <w:p w14:paraId="14B35237">
            <w:pPr>
              <w:keepNext w:val="0"/>
              <w:keepLines w:val="0"/>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lang w:val="en-US" w:eastAsia="zh-CN"/>
              </w:rPr>
            </w:pPr>
            <w:r>
              <w:rPr>
                <w:rFonts w:hint="default"/>
                <w:color w:val="auto"/>
              </w:rPr>
              <w:t>综上所述，本项目</w:t>
            </w:r>
            <w:r>
              <w:rPr>
                <w:rFonts w:hint="eastAsia"/>
                <w:color w:val="auto"/>
                <w:lang w:eastAsia="zh-CN"/>
              </w:rPr>
              <w:t>生活</w:t>
            </w:r>
            <w:r>
              <w:rPr>
                <w:rFonts w:hint="default"/>
                <w:color w:val="auto"/>
              </w:rPr>
              <w:t>废水经厂区</w:t>
            </w:r>
            <w:r>
              <w:rPr>
                <w:rFonts w:hint="eastAsia"/>
                <w:color w:val="auto"/>
                <w:lang w:eastAsia="zh-CN"/>
              </w:rPr>
              <w:t>相应</w:t>
            </w:r>
            <w:r>
              <w:rPr>
                <w:rFonts w:hint="default"/>
                <w:color w:val="auto"/>
              </w:rPr>
              <w:t>污水处理</w:t>
            </w:r>
            <w:r>
              <w:rPr>
                <w:rFonts w:hint="eastAsia"/>
                <w:color w:val="auto"/>
                <w:lang w:eastAsia="zh-CN"/>
              </w:rPr>
              <w:t>设施</w:t>
            </w:r>
            <w:r>
              <w:rPr>
                <w:rFonts w:hint="default"/>
                <w:color w:val="auto"/>
              </w:rPr>
              <w:t>处理后满足新渡片区污水处理厂接管要求，且污水处理厂有足够能力接纳本项目废水，</w:t>
            </w:r>
            <w:r>
              <w:rPr>
                <w:rFonts w:hint="eastAsia"/>
                <w:color w:val="auto"/>
                <w:lang w:eastAsia="zh-CN"/>
              </w:rPr>
              <w:t>污水厂</w:t>
            </w:r>
            <w:r>
              <w:rPr>
                <w:rFonts w:hint="default"/>
                <w:color w:val="auto"/>
              </w:rPr>
              <w:t>排放尾水可以达到《城镇污水处理厂污染物排放标准》(GB18918-2002)中一级A标准，本项目废水接管符合相关要求。因此，本项目废水经预处理后接管至新渡片区污水处理厂进一步处理是可行的。</w:t>
            </w:r>
          </w:p>
        </w:tc>
      </w:tr>
    </w:tbl>
    <w:p w14:paraId="4DB374D5">
      <w:pPr>
        <w:numPr>
          <w:ilvl w:val="0"/>
          <w:numId w:val="0"/>
        </w:numPr>
        <w:ind w:leftChars="0"/>
        <w:rPr>
          <w:rFonts w:hint="default" w:ascii="Times New Roman" w:hAnsi="Times New Roman" w:eastAsia="宋体" w:cs="Times New Roman"/>
          <w:color w:val="auto"/>
          <w:lang w:val="en-US" w:eastAsia="zh-CN"/>
        </w:rPr>
        <w:sectPr>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cols w:space="425" w:num="1"/>
          <w:docGrid w:type="lines" w:linePitch="312" w:charSpace="0"/>
        </w:sectPr>
      </w:pP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3"/>
        <w:gridCol w:w="13661"/>
      </w:tblGrid>
      <w:tr w14:paraId="4C2F8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2" w:hRule="atLeast"/>
        </w:trPr>
        <w:tc>
          <w:tcPr>
            <w:tcW w:w="513" w:type="dxa"/>
          </w:tcPr>
          <w:p w14:paraId="6F0418A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textAlignment w:val="auto"/>
              <w:rPr>
                <w:rFonts w:hint="default" w:ascii="Times New Roman" w:hAnsi="Times New Roman" w:eastAsia="宋体" w:cs="Times New Roman"/>
                <w:color w:val="auto"/>
                <w:vertAlign w:val="baseline"/>
                <w:lang w:val="en-US" w:eastAsia="zh-CN"/>
              </w:rPr>
            </w:pPr>
          </w:p>
        </w:tc>
        <w:tc>
          <w:tcPr>
            <w:tcW w:w="13661" w:type="dxa"/>
          </w:tcPr>
          <w:p w14:paraId="4043DCA2">
            <w:pPr>
              <w:keepNext w:val="0"/>
              <w:keepLines w:val="0"/>
              <w:numPr>
                <w:ilvl w:val="0"/>
                <w:numId w:val="10"/>
              </w:numPr>
              <w:suppressLineNumbers w:val="0"/>
              <w:bidi w:val="0"/>
              <w:spacing w:before="0" w:beforeAutospacing="0" w:after="0" w:afterAutospacing="0"/>
              <w:ind w:left="0" w:leftChars="0" w:right="0" w:firstLine="482" w:firstLineChars="200"/>
              <w:rPr>
                <w:rFonts w:hint="default" w:ascii="Times New Roman" w:hAnsi="Times New Roman" w:eastAsia="宋体" w:cs="Times New Roman"/>
                <w:b/>
                <w:bCs/>
                <w:color w:val="auto"/>
                <w:lang w:val="en-US" w:eastAsia="zh-CN"/>
              </w:rPr>
            </w:pPr>
            <w:r>
              <w:rPr>
                <w:rFonts w:hint="default" w:ascii="Times New Roman" w:hAnsi="Times New Roman" w:eastAsia="宋体" w:cs="Times New Roman"/>
                <w:b/>
                <w:bCs/>
                <w:color w:val="auto"/>
                <w:lang w:val="en-US" w:eastAsia="zh-CN"/>
              </w:rPr>
              <w:t>噪声</w:t>
            </w:r>
          </w:p>
          <w:p w14:paraId="4F0C96C6">
            <w:pPr>
              <w:keepNext w:val="0"/>
              <w:keepLines w:val="0"/>
              <w:pageBreakBefore w:val="0"/>
              <w:widowControl w:val="0"/>
              <w:numPr>
                <w:ilvl w:val="1"/>
                <w:numId w:val="10"/>
              </w:numPr>
              <w:suppressLineNumbers w:val="0"/>
              <w:kinsoku/>
              <w:wordWrap/>
              <w:overflowPunct/>
              <w:topLinePunct w:val="0"/>
              <w:autoSpaceDE/>
              <w:autoSpaceDN/>
              <w:bidi w:val="0"/>
              <w:adjustRightInd/>
              <w:snapToGrid/>
              <w:spacing w:before="0" w:beforeAutospacing="0" w:after="0" w:afterAutospacing="0"/>
              <w:ind w:right="0" w:firstLine="482" w:firstLineChars="200"/>
              <w:textAlignment w:val="auto"/>
              <w:rPr>
                <w:rFonts w:hint="default" w:ascii="Times New Roman" w:hAnsi="Times New Roman" w:eastAsia="宋体" w:cs="Times New Roman"/>
                <w:b/>
                <w:bCs/>
                <w:color w:val="auto"/>
                <w:lang w:val="en-US" w:eastAsia="zh-CN"/>
              </w:rPr>
            </w:pPr>
            <w:r>
              <w:rPr>
                <w:rFonts w:hint="default" w:ascii="Times New Roman" w:hAnsi="Times New Roman" w:eastAsia="宋体" w:cs="Times New Roman"/>
                <w:b/>
                <w:bCs/>
                <w:color w:val="auto"/>
                <w:lang w:val="en-US" w:eastAsia="zh-CN"/>
              </w:rPr>
              <w:t>噪声产生环节及源强分析</w:t>
            </w:r>
          </w:p>
          <w:p w14:paraId="6B1D67B1">
            <w:pPr>
              <w:keepNext w:val="0"/>
              <w:keepLines w:val="0"/>
              <w:widowControl/>
              <w:suppressLineNumbers w:val="0"/>
              <w:adjustRightInd w:val="0"/>
              <w:snapToGrid w:val="0"/>
              <w:spacing w:before="0" w:beforeAutospacing="0" w:after="0" w:afterAutospacing="0" w:line="360" w:lineRule="auto"/>
              <w:ind w:left="0" w:right="0" w:firstLine="480" w:firstLineChars="200"/>
              <w:jc w:val="left"/>
              <w:rPr>
                <w:rFonts w:hint="default" w:ascii="Times New Roman" w:hAnsi="Times New Roman" w:eastAsia="宋体" w:cs="Times New Roman"/>
                <w:b/>
                <w:snapToGrid w:val="0"/>
                <w:color w:val="auto"/>
                <w:kern w:val="0"/>
                <w:sz w:val="24"/>
              </w:rPr>
            </w:pPr>
            <w:r>
              <w:rPr>
                <w:rFonts w:hint="default" w:ascii="Times New Roman" w:hAnsi="Times New Roman" w:eastAsia="宋体" w:cs="Times New Roman"/>
                <w:color w:val="auto"/>
                <w:kern w:val="0"/>
                <w:sz w:val="24"/>
                <w:lang w:val="en-US" w:eastAsia="zh-CN" w:bidi="en-US"/>
              </w:rPr>
              <w:t>建设单位</w:t>
            </w:r>
            <w:r>
              <w:rPr>
                <w:rFonts w:hint="default" w:ascii="Times New Roman" w:hAnsi="Times New Roman" w:eastAsia="宋体" w:cs="Times New Roman"/>
                <w:color w:val="auto"/>
                <w:kern w:val="0"/>
                <w:sz w:val="24"/>
                <w:lang w:bidi="en-US"/>
              </w:rPr>
              <w:t>周边50m范围内无声环境保护目标，</w:t>
            </w:r>
            <w:r>
              <w:rPr>
                <w:rFonts w:hint="eastAsia" w:cs="Times New Roman"/>
                <w:color w:val="auto"/>
                <w:kern w:val="0"/>
                <w:sz w:val="24"/>
                <w:lang w:eastAsia="zh-CN" w:bidi="en-US"/>
              </w:rPr>
              <w:t>拟建</w:t>
            </w:r>
            <w:r>
              <w:rPr>
                <w:rFonts w:hint="default" w:ascii="Times New Roman" w:hAnsi="Times New Roman" w:eastAsia="宋体" w:cs="Times New Roman"/>
                <w:color w:val="auto"/>
                <w:kern w:val="0"/>
                <w:sz w:val="24"/>
                <w:lang w:eastAsia="zh-CN" w:bidi="en-US"/>
              </w:rPr>
              <w:t>项目</w:t>
            </w:r>
            <w:r>
              <w:rPr>
                <w:rFonts w:hint="default" w:ascii="Times New Roman" w:hAnsi="Times New Roman" w:eastAsia="宋体" w:cs="Times New Roman"/>
                <w:color w:val="auto"/>
                <w:kern w:val="0"/>
                <w:sz w:val="24"/>
                <w:lang w:bidi="en-US"/>
              </w:rPr>
              <w:t>噪声</w:t>
            </w:r>
            <w:r>
              <w:rPr>
                <w:rFonts w:hint="default" w:ascii="Times New Roman" w:hAnsi="Times New Roman" w:eastAsia="宋体" w:cs="Times New Roman"/>
                <w:color w:val="auto"/>
                <w:kern w:val="0"/>
                <w:sz w:val="24"/>
                <w:lang w:eastAsia="zh-CN" w:bidi="en-US"/>
              </w:rPr>
              <w:t>源</w:t>
            </w:r>
            <w:r>
              <w:rPr>
                <w:rFonts w:hint="default" w:ascii="Times New Roman" w:hAnsi="Times New Roman" w:eastAsia="宋体" w:cs="Times New Roman"/>
                <w:color w:val="auto"/>
                <w:kern w:val="0"/>
                <w:sz w:val="24"/>
                <w:lang w:bidi="en-US"/>
              </w:rPr>
              <w:t>主要来自</w:t>
            </w:r>
            <w:r>
              <w:rPr>
                <w:rFonts w:hint="default" w:ascii="Times New Roman" w:hAnsi="Times New Roman" w:eastAsia="宋体" w:cs="Times New Roman"/>
                <w:color w:val="auto"/>
                <w:kern w:val="0"/>
                <w:sz w:val="24"/>
                <w:lang w:eastAsia="zh-CN" w:bidi="en-US"/>
              </w:rPr>
              <w:t>新增</w:t>
            </w:r>
            <w:r>
              <w:rPr>
                <w:rFonts w:hint="default" w:ascii="Times New Roman" w:hAnsi="Times New Roman" w:eastAsia="宋体" w:cs="Times New Roman"/>
                <w:color w:val="auto"/>
                <w:kern w:val="0"/>
                <w:sz w:val="24"/>
                <w:lang w:bidi="en-US"/>
              </w:rPr>
              <w:t>生产设备、废气处理风机等运行过程中产生的噪声，噪声源强</w:t>
            </w:r>
            <w:r>
              <w:rPr>
                <w:rFonts w:hint="default" w:ascii="Times New Roman" w:hAnsi="Times New Roman" w:eastAsia="宋体" w:cs="Times New Roman"/>
                <w:color w:val="auto"/>
                <w:kern w:val="0"/>
                <w:sz w:val="24"/>
                <w:lang w:val="en-US" w:eastAsia="zh-CN" w:bidi="en-US"/>
              </w:rPr>
              <w:t>范围</w:t>
            </w:r>
            <w:r>
              <w:rPr>
                <w:rFonts w:hint="default" w:ascii="Times New Roman" w:hAnsi="Times New Roman" w:eastAsia="宋体" w:cs="Times New Roman"/>
                <w:color w:val="auto"/>
                <w:kern w:val="0"/>
                <w:sz w:val="24"/>
                <w:lang w:bidi="en-US"/>
              </w:rPr>
              <w:t>为7</w:t>
            </w:r>
            <w:r>
              <w:rPr>
                <w:rFonts w:hint="default" w:ascii="Times New Roman" w:hAnsi="Times New Roman" w:eastAsia="宋体" w:cs="Times New Roman"/>
                <w:color w:val="auto"/>
                <w:kern w:val="0"/>
                <w:sz w:val="24"/>
                <w:lang w:val="en-US" w:eastAsia="zh-CN" w:bidi="en-US"/>
              </w:rPr>
              <w:t>5</w:t>
            </w:r>
            <w:r>
              <w:rPr>
                <w:rFonts w:hint="default" w:ascii="Times New Roman" w:hAnsi="Times New Roman" w:eastAsia="宋体" w:cs="Times New Roman"/>
                <w:color w:val="auto"/>
                <w:kern w:val="0"/>
                <w:sz w:val="24"/>
                <w:lang w:bidi="en-US"/>
              </w:rPr>
              <w:t>~</w:t>
            </w:r>
            <w:r>
              <w:rPr>
                <w:rFonts w:hint="default" w:ascii="Times New Roman" w:hAnsi="Times New Roman" w:eastAsia="宋体" w:cs="Times New Roman"/>
                <w:color w:val="auto"/>
                <w:kern w:val="0"/>
                <w:sz w:val="24"/>
                <w:lang w:val="en-US" w:eastAsia="zh-CN" w:bidi="en-US"/>
              </w:rPr>
              <w:t>90</w:t>
            </w:r>
            <w:r>
              <w:rPr>
                <w:rFonts w:hint="default" w:ascii="Times New Roman" w:hAnsi="Times New Roman" w:eastAsia="宋体" w:cs="Times New Roman"/>
                <w:color w:val="auto"/>
                <w:kern w:val="0"/>
                <w:sz w:val="24"/>
                <w:lang w:bidi="en-US"/>
              </w:rPr>
              <w:t>dB(A)之间，主要噪声设备及排放情况见表4.3-1</w:t>
            </w:r>
            <w:r>
              <w:rPr>
                <w:rFonts w:hint="eastAsia" w:cs="Times New Roman"/>
                <w:color w:val="auto"/>
                <w:kern w:val="0"/>
                <w:sz w:val="24"/>
                <w:lang w:val="en-US" w:eastAsia="zh-CN" w:bidi="en-US"/>
              </w:rPr>
              <w:t>、4.3-2</w:t>
            </w:r>
            <w:r>
              <w:rPr>
                <w:rFonts w:hint="default" w:ascii="Times New Roman" w:hAnsi="Times New Roman" w:eastAsia="宋体" w:cs="Times New Roman"/>
                <w:color w:val="auto"/>
                <w:kern w:val="0"/>
                <w:sz w:val="24"/>
                <w:lang w:bidi="en-US"/>
              </w:rPr>
              <w:t>。</w:t>
            </w:r>
          </w:p>
          <w:p w14:paraId="4817962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lang w:val="en-US" w:eastAsia="zh-CN"/>
              </w:rPr>
            </w:pPr>
            <w:r>
              <w:rPr>
                <w:rFonts w:hint="default" w:ascii="Times New Roman" w:hAnsi="Times New Roman" w:eastAsia="宋体" w:cs="Times New Roman"/>
                <w:b/>
                <w:bCs/>
                <w:color w:val="auto"/>
                <w:lang w:val="en-US" w:eastAsia="zh-CN"/>
              </w:rPr>
              <w:t xml:space="preserve">表4.3-1  </w:t>
            </w:r>
            <w:r>
              <w:rPr>
                <w:rFonts w:hint="eastAsia" w:cs="Times New Roman"/>
                <w:b/>
                <w:bCs/>
                <w:color w:val="auto"/>
                <w:lang w:val="en-US" w:eastAsia="zh-CN"/>
              </w:rPr>
              <w:t>拟建</w:t>
            </w:r>
            <w:r>
              <w:rPr>
                <w:rFonts w:hint="default" w:ascii="Times New Roman" w:hAnsi="Times New Roman" w:eastAsia="宋体" w:cs="Times New Roman"/>
                <w:b/>
                <w:bCs/>
                <w:color w:val="auto"/>
                <w:lang w:val="en-US" w:eastAsia="zh-CN"/>
              </w:rPr>
              <w:t>项目新增噪声源强调查清单（室内声源）</w:t>
            </w:r>
          </w:p>
          <w:tbl>
            <w:tblPr>
              <w:tblStyle w:val="27"/>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shd w:val="clear" w:color="auto" w:fill="auto"/>
              <w:tblLayout w:type="autofit"/>
              <w:tblCellMar>
                <w:top w:w="0" w:type="dxa"/>
                <w:left w:w="28" w:type="dxa"/>
                <w:bottom w:w="0" w:type="dxa"/>
                <w:right w:w="28" w:type="dxa"/>
              </w:tblCellMar>
            </w:tblPr>
            <w:tblGrid>
              <w:gridCol w:w="258"/>
              <w:gridCol w:w="2428"/>
              <w:gridCol w:w="676"/>
              <w:gridCol w:w="1036"/>
              <w:gridCol w:w="1260"/>
              <w:gridCol w:w="584"/>
              <w:gridCol w:w="614"/>
              <w:gridCol w:w="649"/>
              <w:gridCol w:w="1034"/>
              <w:gridCol w:w="1351"/>
              <w:gridCol w:w="1001"/>
              <w:gridCol w:w="800"/>
              <w:gridCol w:w="859"/>
              <w:gridCol w:w="895"/>
            </w:tblGrid>
            <w:tr w14:paraId="0FFA425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shd w:val="clear" w:color="auto" w:fill="auto"/>
                <w:tblCellMar>
                  <w:top w:w="0" w:type="dxa"/>
                  <w:left w:w="28" w:type="dxa"/>
                  <w:bottom w:w="0" w:type="dxa"/>
                  <w:right w:w="28" w:type="dxa"/>
                </w:tblCellMar>
              </w:tblPrEx>
              <w:trPr>
                <w:trHeight w:val="340" w:hRule="atLeast"/>
                <w:jc w:val="center"/>
              </w:trPr>
              <w:tc>
                <w:tcPr>
                  <w:tcW w:w="96" w:type="pct"/>
                  <w:vMerge w:val="restart"/>
                  <w:shd w:val="clear" w:color="auto" w:fill="auto"/>
                  <w:vAlign w:val="center"/>
                </w:tcPr>
                <w:p w14:paraId="5596650C">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b/>
                      <w:color w:val="auto"/>
                      <w:sz w:val="18"/>
                      <w:szCs w:val="18"/>
                    </w:rPr>
                    <w:t>序号</w:t>
                  </w:r>
                </w:p>
              </w:tc>
              <w:tc>
                <w:tcPr>
                  <w:tcW w:w="902" w:type="pct"/>
                  <w:vMerge w:val="restart"/>
                  <w:shd w:val="clear" w:color="auto" w:fill="auto"/>
                  <w:vAlign w:val="center"/>
                </w:tcPr>
                <w:p w14:paraId="402A2995">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b/>
                      <w:color w:val="auto"/>
                      <w:sz w:val="18"/>
                      <w:szCs w:val="18"/>
                    </w:rPr>
                    <w:t>声源名称</w:t>
                  </w:r>
                </w:p>
              </w:tc>
              <w:tc>
                <w:tcPr>
                  <w:tcW w:w="251" w:type="pct"/>
                  <w:vMerge w:val="restart"/>
                  <w:shd w:val="clear" w:color="auto" w:fill="auto"/>
                  <w:vAlign w:val="center"/>
                </w:tcPr>
                <w:p w14:paraId="4175CA33">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数量</w:t>
                  </w:r>
                </w:p>
                <w:p w14:paraId="0D28F0E2">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（台/套）</w:t>
                  </w:r>
                </w:p>
              </w:tc>
              <w:tc>
                <w:tcPr>
                  <w:tcW w:w="385" w:type="pct"/>
                  <w:vMerge w:val="restart"/>
                  <w:shd w:val="clear" w:color="auto" w:fill="auto"/>
                  <w:vAlign w:val="center"/>
                </w:tcPr>
                <w:p w14:paraId="6B605EA1">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（声压级）/（dB(A)）</w:t>
                  </w:r>
                </w:p>
              </w:tc>
              <w:tc>
                <w:tcPr>
                  <w:tcW w:w="468" w:type="pct"/>
                  <w:vMerge w:val="restart"/>
                  <w:shd w:val="clear" w:color="auto" w:fill="auto"/>
                  <w:vAlign w:val="center"/>
                </w:tcPr>
                <w:p w14:paraId="08F764E4">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声源控制措施</w:t>
                  </w:r>
                </w:p>
              </w:tc>
              <w:tc>
                <w:tcPr>
                  <w:tcW w:w="686" w:type="pct"/>
                  <w:gridSpan w:val="3"/>
                  <w:shd w:val="clear" w:color="auto" w:fill="auto"/>
                  <w:vAlign w:val="center"/>
                </w:tcPr>
                <w:p w14:paraId="12CD694F">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空间相对位置/m</w:t>
                  </w:r>
                </w:p>
              </w:tc>
              <w:tc>
                <w:tcPr>
                  <w:tcW w:w="384" w:type="pct"/>
                  <w:vMerge w:val="restart"/>
                  <w:shd w:val="clear" w:color="auto" w:fill="auto"/>
                  <w:vAlign w:val="center"/>
                </w:tcPr>
                <w:p w14:paraId="74FE73A9">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*距室内边界距离/m</w:t>
                  </w:r>
                </w:p>
              </w:tc>
              <w:tc>
                <w:tcPr>
                  <w:tcW w:w="502" w:type="pct"/>
                  <w:vMerge w:val="restart"/>
                  <w:shd w:val="clear" w:color="auto" w:fill="auto"/>
                  <w:vAlign w:val="center"/>
                </w:tcPr>
                <w:p w14:paraId="12BDC3C1">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*室内边界声级/dB(A)（多台设备叠加）</w:t>
                  </w:r>
                </w:p>
              </w:tc>
              <w:tc>
                <w:tcPr>
                  <w:tcW w:w="372" w:type="pct"/>
                  <w:vMerge w:val="restart"/>
                  <w:shd w:val="clear" w:color="auto" w:fill="auto"/>
                  <w:vAlign w:val="center"/>
                </w:tcPr>
                <w:p w14:paraId="2B767171">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运行时段（h）</w:t>
                  </w:r>
                </w:p>
              </w:tc>
              <w:tc>
                <w:tcPr>
                  <w:tcW w:w="297" w:type="pct"/>
                  <w:vMerge w:val="restart"/>
                  <w:shd w:val="clear" w:color="auto" w:fill="auto"/>
                  <w:vAlign w:val="center"/>
                </w:tcPr>
                <w:p w14:paraId="5534CB37">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建筑物插入损失/dB(A)</w:t>
                  </w:r>
                </w:p>
              </w:tc>
              <w:tc>
                <w:tcPr>
                  <w:tcW w:w="651" w:type="pct"/>
                  <w:gridSpan w:val="2"/>
                  <w:shd w:val="clear" w:color="auto" w:fill="auto"/>
                  <w:vAlign w:val="center"/>
                </w:tcPr>
                <w:p w14:paraId="46DC008C">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建筑物外噪声</w:t>
                  </w:r>
                </w:p>
              </w:tc>
            </w:tr>
            <w:tr w14:paraId="0D5C064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96" w:type="pct"/>
                  <w:vMerge w:val="continue"/>
                  <w:shd w:val="clear" w:color="auto" w:fill="auto"/>
                  <w:vAlign w:val="center"/>
                </w:tcPr>
                <w:p w14:paraId="6EA1935C">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p>
              </w:tc>
              <w:tc>
                <w:tcPr>
                  <w:tcW w:w="902" w:type="pct"/>
                  <w:vMerge w:val="continue"/>
                  <w:shd w:val="clear" w:color="auto" w:fill="auto"/>
                  <w:vAlign w:val="center"/>
                </w:tcPr>
                <w:p w14:paraId="1F44300F">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p>
              </w:tc>
              <w:tc>
                <w:tcPr>
                  <w:tcW w:w="251" w:type="pct"/>
                  <w:vMerge w:val="continue"/>
                  <w:shd w:val="clear" w:color="auto" w:fill="auto"/>
                  <w:vAlign w:val="center"/>
                </w:tcPr>
                <w:p w14:paraId="1A52D989">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p>
              </w:tc>
              <w:tc>
                <w:tcPr>
                  <w:tcW w:w="385" w:type="pct"/>
                  <w:vMerge w:val="continue"/>
                  <w:shd w:val="clear" w:color="auto" w:fill="auto"/>
                  <w:vAlign w:val="center"/>
                </w:tcPr>
                <w:p w14:paraId="763F3EAC">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p>
              </w:tc>
              <w:tc>
                <w:tcPr>
                  <w:tcW w:w="468" w:type="pct"/>
                  <w:vMerge w:val="continue"/>
                  <w:tcBorders>
                    <w:bottom w:val="single" w:color="auto" w:sz="4" w:space="0"/>
                  </w:tcBorders>
                  <w:shd w:val="clear" w:color="auto" w:fill="auto"/>
                  <w:vAlign w:val="center"/>
                </w:tcPr>
                <w:p w14:paraId="7E9EDCCC">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p>
              </w:tc>
              <w:tc>
                <w:tcPr>
                  <w:tcW w:w="217" w:type="pct"/>
                  <w:shd w:val="clear" w:color="auto" w:fill="auto"/>
                  <w:vAlign w:val="center"/>
                </w:tcPr>
                <w:p w14:paraId="1C8CA63A">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X</w:t>
                  </w:r>
                </w:p>
              </w:tc>
              <w:tc>
                <w:tcPr>
                  <w:tcW w:w="228" w:type="pct"/>
                  <w:shd w:val="clear" w:color="auto" w:fill="auto"/>
                  <w:vAlign w:val="center"/>
                </w:tcPr>
                <w:p w14:paraId="7113C920">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Y</w:t>
                  </w:r>
                </w:p>
              </w:tc>
              <w:tc>
                <w:tcPr>
                  <w:tcW w:w="241" w:type="pct"/>
                  <w:shd w:val="clear" w:color="auto" w:fill="auto"/>
                  <w:vAlign w:val="center"/>
                </w:tcPr>
                <w:p w14:paraId="388A70D3">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lang w:val="en-US" w:eastAsia="zh-CN"/>
                    </w:rPr>
                  </w:pPr>
                  <w:r>
                    <w:rPr>
                      <w:rFonts w:hint="default" w:ascii="Times New Roman" w:hAnsi="Times New Roman" w:eastAsia="宋体" w:cs="Times New Roman"/>
                      <w:b/>
                      <w:color w:val="auto"/>
                      <w:sz w:val="18"/>
                      <w:szCs w:val="18"/>
                    </w:rPr>
                    <w:t>Z</w:t>
                  </w:r>
                  <w:r>
                    <w:rPr>
                      <w:rFonts w:hint="default" w:ascii="Times New Roman" w:hAnsi="Times New Roman" w:eastAsia="宋体" w:cs="Times New Roman"/>
                      <w:b/>
                      <w:color w:val="auto"/>
                      <w:sz w:val="18"/>
                      <w:szCs w:val="18"/>
                      <w:lang w:val="en-US" w:eastAsia="zh-CN"/>
                    </w:rPr>
                    <w:t>*</w:t>
                  </w:r>
                </w:p>
              </w:tc>
              <w:tc>
                <w:tcPr>
                  <w:tcW w:w="384" w:type="pct"/>
                  <w:vMerge w:val="continue"/>
                  <w:shd w:val="clear" w:color="auto" w:fill="auto"/>
                  <w:vAlign w:val="center"/>
                </w:tcPr>
                <w:p w14:paraId="1088C12D">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p>
              </w:tc>
              <w:tc>
                <w:tcPr>
                  <w:tcW w:w="502" w:type="pct"/>
                  <w:vMerge w:val="continue"/>
                  <w:tcBorders>
                    <w:bottom w:val="single" w:color="auto" w:sz="4" w:space="0"/>
                  </w:tcBorders>
                  <w:shd w:val="clear" w:color="auto" w:fill="auto"/>
                  <w:vAlign w:val="center"/>
                </w:tcPr>
                <w:p w14:paraId="4C3D98DE">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p>
              </w:tc>
              <w:tc>
                <w:tcPr>
                  <w:tcW w:w="372" w:type="pct"/>
                  <w:vMerge w:val="continue"/>
                  <w:tcBorders>
                    <w:bottom w:val="single" w:color="auto" w:sz="4" w:space="0"/>
                  </w:tcBorders>
                  <w:shd w:val="clear" w:color="auto" w:fill="auto"/>
                  <w:vAlign w:val="center"/>
                </w:tcPr>
                <w:p w14:paraId="2C3EA078">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p>
              </w:tc>
              <w:tc>
                <w:tcPr>
                  <w:tcW w:w="297" w:type="pct"/>
                  <w:vMerge w:val="continue"/>
                  <w:shd w:val="clear" w:color="auto" w:fill="auto"/>
                  <w:vAlign w:val="center"/>
                </w:tcPr>
                <w:p w14:paraId="5FACF3D9">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p>
              </w:tc>
              <w:tc>
                <w:tcPr>
                  <w:tcW w:w="319" w:type="pct"/>
                  <w:shd w:val="clear" w:color="auto" w:fill="auto"/>
                  <w:vAlign w:val="center"/>
                </w:tcPr>
                <w:p w14:paraId="0A637205">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声压级/dB(A)</w:t>
                  </w:r>
                </w:p>
              </w:tc>
              <w:tc>
                <w:tcPr>
                  <w:tcW w:w="332" w:type="pct"/>
                  <w:shd w:val="clear" w:color="auto" w:fill="auto"/>
                  <w:vAlign w:val="center"/>
                </w:tcPr>
                <w:p w14:paraId="4C622F4C">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建筑物外距离</w:t>
                  </w:r>
                </w:p>
              </w:tc>
            </w:tr>
            <w:tr w14:paraId="0B06841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96" w:type="pct"/>
                  <w:shd w:val="clear" w:color="auto" w:fill="auto"/>
                  <w:vAlign w:val="center"/>
                </w:tcPr>
                <w:p w14:paraId="5BB49E61">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1</w:t>
                  </w:r>
                </w:p>
              </w:tc>
              <w:tc>
                <w:tcPr>
                  <w:tcW w:w="902" w:type="pct"/>
                  <w:shd w:val="clear" w:color="auto" w:fill="auto"/>
                  <w:vAlign w:val="center"/>
                </w:tcPr>
                <w:p w14:paraId="4737529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液压机</w:t>
                  </w:r>
                </w:p>
              </w:tc>
              <w:tc>
                <w:tcPr>
                  <w:tcW w:w="251" w:type="pct"/>
                  <w:shd w:val="clear" w:color="auto" w:fill="auto"/>
                  <w:vAlign w:val="center"/>
                </w:tcPr>
                <w:p w14:paraId="455195CE">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val="0"/>
                      <w:bCs w:val="0"/>
                      <w:color w:val="auto"/>
                      <w:sz w:val="18"/>
                      <w:szCs w:val="18"/>
                      <w:lang w:val="en-US" w:eastAsia="zh-CN"/>
                    </w:rPr>
                  </w:pPr>
                  <w:r>
                    <w:rPr>
                      <w:rFonts w:hint="eastAsia" w:cs="Times New Roman"/>
                      <w:color w:val="auto"/>
                      <w:sz w:val="18"/>
                      <w:szCs w:val="18"/>
                      <w:lang w:val="en-US" w:eastAsia="zh-CN"/>
                    </w:rPr>
                    <w:t>3</w:t>
                  </w:r>
                  <w:r>
                    <w:rPr>
                      <w:rFonts w:hint="default" w:ascii="Times New Roman" w:hAnsi="Times New Roman" w:eastAsia="宋体" w:cs="Times New Roman"/>
                      <w:color w:val="auto"/>
                      <w:sz w:val="18"/>
                      <w:szCs w:val="18"/>
                      <w:lang w:val="en-US" w:eastAsia="zh-CN"/>
                    </w:rPr>
                    <w:t>台</w:t>
                  </w:r>
                </w:p>
              </w:tc>
              <w:tc>
                <w:tcPr>
                  <w:tcW w:w="385" w:type="pct"/>
                  <w:shd w:val="clear" w:color="auto" w:fill="auto"/>
                  <w:vAlign w:val="center"/>
                </w:tcPr>
                <w:p w14:paraId="593C1089">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rPr>
                    <w:t>7</w:t>
                  </w:r>
                  <w:r>
                    <w:rPr>
                      <w:rFonts w:hint="default" w:ascii="Times New Roman" w:hAnsi="Times New Roman" w:cs="Times New Roman"/>
                      <w:color w:val="auto"/>
                      <w:sz w:val="18"/>
                      <w:szCs w:val="18"/>
                      <w:lang w:val="en-US" w:eastAsia="zh-CN"/>
                    </w:rPr>
                    <w:t>5</w:t>
                  </w:r>
                  <w:r>
                    <w:rPr>
                      <w:rFonts w:hint="default" w:ascii="Times New Roman" w:hAnsi="Times New Roman" w:eastAsia="宋体" w:cs="Times New Roman"/>
                      <w:color w:val="auto"/>
                      <w:sz w:val="18"/>
                      <w:szCs w:val="18"/>
                    </w:rPr>
                    <w:t>~</w:t>
                  </w:r>
                  <w:r>
                    <w:rPr>
                      <w:rFonts w:hint="default" w:ascii="Times New Roman" w:hAnsi="Times New Roman" w:cs="Times New Roman"/>
                      <w:color w:val="auto"/>
                      <w:sz w:val="18"/>
                      <w:szCs w:val="18"/>
                      <w:lang w:val="en-US" w:eastAsia="zh-CN"/>
                    </w:rPr>
                    <w:t>85</w:t>
                  </w:r>
                </w:p>
              </w:tc>
              <w:tc>
                <w:tcPr>
                  <w:tcW w:w="468" w:type="pct"/>
                  <w:vMerge w:val="restart"/>
                  <w:tcBorders>
                    <w:top w:val="single" w:color="auto" w:sz="4" w:space="0"/>
                  </w:tcBorders>
                  <w:shd w:val="clear" w:color="auto" w:fill="auto"/>
                  <w:vAlign w:val="center"/>
                </w:tcPr>
                <w:p w14:paraId="0B0EF837">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eastAsia="zh-CN"/>
                    </w:rPr>
                  </w:pPr>
                  <w:r>
                    <w:rPr>
                      <w:rFonts w:hint="default" w:ascii="Times New Roman" w:hAnsi="Times New Roman" w:eastAsia="宋体" w:cs="Times New Roman"/>
                      <w:color w:val="auto"/>
                      <w:sz w:val="18"/>
                      <w:szCs w:val="18"/>
                    </w:rPr>
                    <w:t>隔声、减振</w:t>
                  </w:r>
                  <w:r>
                    <w:rPr>
                      <w:rFonts w:hint="default" w:ascii="Times New Roman" w:hAnsi="Times New Roman" w:eastAsia="宋体" w:cs="Times New Roman"/>
                      <w:color w:val="auto"/>
                      <w:sz w:val="18"/>
                      <w:szCs w:val="18"/>
                      <w:lang w:eastAsia="zh-CN"/>
                    </w:rPr>
                    <w:t>、合理布局</w:t>
                  </w:r>
                </w:p>
              </w:tc>
              <w:tc>
                <w:tcPr>
                  <w:tcW w:w="217" w:type="pct"/>
                  <w:shd w:val="clear" w:color="auto" w:fill="auto"/>
                  <w:vAlign w:val="center"/>
                </w:tcPr>
                <w:p w14:paraId="753FA6E9">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2</w:t>
                  </w:r>
                  <w:r>
                    <w:rPr>
                      <w:rFonts w:hint="eastAsia" w:cs="Times New Roman"/>
                      <w:color w:val="auto"/>
                      <w:sz w:val="18"/>
                      <w:szCs w:val="18"/>
                      <w:lang w:val="en-US" w:eastAsia="zh-CN"/>
                    </w:rPr>
                    <w:t>6</w:t>
                  </w:r>
                  <w:r>
                    <w:rPr>
                      <w:rFonts w:hint="default" w:ascii="Times New Roman" w:hAnsi="Times New Roman" w:eastAsia="宋体" w:cs="Times New Roman"/>
                      <w:color w:val="auto"/>
                      <w:sz w:val="18"/>
                      <w:szCs w:val="18"/>
                      <w:lang w:val="en-US" w:eastAsia="zh-CN"/>
                    </w:rPr>
                    <w:t>2</w:t>
                  </w:r>
                </w:p>
              </w:tc>
              <w:tc>
                <w:tcPr>
                  <w:tcW w:w="228" w:type="pct"/>
                  <w:shd w:val="clear" w:color="auto" w:fill="auto"/>
                  <w:vAlign w:val="center"/>
                </w:tcPr>
                <w:p w14:paraId="4C83BC65">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cs="Times New Roman"/>
                      <w:color w:val="auto"/>
                      <w:sz w:val="18"/>
                      <w:szCs w:val="18"/>
                      <w:lang w:val="en-US" w:eastAsia="zh-CN"/>
                    </w:rPr>
                    <w:t>47</w:t>
                  </w:r>
                </w:p>
              </w:tc>
              <w:tc>
                <w:tcPr>
                  <w:tcW w:w="241" w:type="pct"/>
                  <w:shd w:val="clear" w:color="auto" w:fill="auto"/>
                  <w:vAlign w:val="center"/>
                </w:tcPr>
                <w:p w14:paraId="6925DCF3">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rPr>
                  </w:pPr>
                  <w:r>
                    <w:rPr>
                      <w:rFonts w:hint="eastAsia" w:cs="Times New Roman"/>
                      <w:color w:val="auto"/>
                      <w:sz w:val="18"/>
                      <w:szCs w:val="18"/>
                      <w:lang w:val="en-US" w:eastAsia="zh-CN"/>
                    </w:rPr>
                    <w:t>4.9</w:t>
                  </w:r>
                </w:p>
              </w:tc>
              <w:tc>
                <w:tcPr>
                  <w:tcW w:w="384" w:type="pct"/>
                  <w:shd w:val="clear" w:color="auto" w:fill="auto"/>
                  <w:vAlign w:val="center"/>
                </w:tcPr>
                <w:p w14:paraId="13FB2711">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cs="Times New Roman"/>
                      <w:color w:val="auto"/>
                      <w:sz w:val="18"/>
                      <w:szCs w:val="18"/>
                      <w:lang w:val="en-US" w:eastAsia="zh-CN"/>
                    </w:rPr>
                    <w:t>南</w:t>
                  </w:r>
                  <w:r>
                    <w:rPr>
                      <w:rFonts w:hint="default" w:ascii="Times New Roman" w:hAnsi="Times New Roman" w:eastAsia="宋体" w:cs="Times New Roman"/>
                      <w:color w:val="auto"/>
                      <w:sz w:val="18"/>
                      <w:szCs w:val="18"/>
                      <w:lang w:val="en-US" w:eastAsia="zh-CN"/>
                    </w:rPr>
                    <w:t>10</w:t>
                  </w:r>
                </w:p>
              </w:tc>
              <w:tc>
                <w:tcPr>
                  <w:tcW w:w="502" w:type="pct"/>
                  <w:shd w:val="clear" w:color="auto" w:fill="auto"/>
                  <w:vAlign w:val="center"/>
                </w:tcPr>
                <w:p w14:paraId="1BC32A1F">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68.0</w:t>
                  </w:r>
                </w:p>
              </w:tc>
              <w:tc>
                <w:tcPr>
                  <w:tcW w:w="372" w:type="pct"/>
                  <w:vMerge w:val="restart"/>
                  <w:shd w:val="clear" w:color="auto" w:fill="auto"/>
                  <w:vAlign w:val="center"/>
                </w:tcPr>
                <w:p w14:paraId="3E1BFF4D">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9:00-17:00</w:t>
                  </w:r>
                </w:p>
              </w:tc>
              <w:tc>
                <w:tcPr>
                  <w:tcW w:w="297" w:type="pct"/>
                  <w:shd w:val="clear" w:color="auto" w:fill="auto"/>
                  <w:vAlign w:val="center"/>
                </w:tcPr>
                <w:p w14:paraId="2B7005A5">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25</w:t>
                  </w:r>
                </w:p>
              </w:tc>
              <w:tc>
                <w:tcPr>
                  <w:tcW w:w="319" w:type="pct"/>
                  <w:shd w:val="clear" w:color="auto" w:fill="auto"/>
                  <w:vAlign w:val="center"/>
                </w:tcPr>
                <w:p w14:paraId="04D17BC7">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3</w:t>
                  </w:r>
                  <w:r>
                    <w:rPr>
                      <w:rFonts w:hint="eastAsia" w:cs="Times New Roman"/>
                      <w:color w:val="auto"/>
                      <w:sz w:val="18"/>
                      <w:szCs w:val="18"/>
                      <w:lang w:val="en-US" w:eastAsia="zh-CN"/>
                    </w:rPr>
                    <w:t>9</w:t>
                  </w:r>
                  <w:r>
                    <w:rPr>
                      <w:rFonts w:hint="default" w:ascii="Times New Roman" w:hAnsi="Times New Roman" w:eastAsia="宋体" w:cs="Times New Roman"/>
                      <w:color w:val="auto"/>
                      <w:sz w:val="18"/>
                      <w:szCs w:val="18"/>
                      <w:lang w:val="en-US" w:eastAsia="zh-CN"/>
                    </w:rPr>
                    <w:t>.5</w:t>
                  </w:r>
                </w:p>
              </w:tc>
              <w:tc>
                <w:tcPr>
                  <w:tcW w:w="332" w:type="pct"/>
                  <w:vMerge w:val="restart"/>
                  <w:shd w:val="clear" w:color="auto" w:fill="auto"/>
                  <w:vAlign w:val="center"/>
                </w:tcPr>
                <w:p w14:paraId="6646482C">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1m</w:t>
                  </w:r>
                </w:p>
              </w:tc>
            </w:tr>
            <w:tr w14:paraId="64F8787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96" w:type="pct"/>
                  <w:shd w:val="clear" w:color="auto" w:fill="auto"/>
                  <w:vAlign w:val="center"/>
                </w:tcPr>
                <w:p w14:paraId="1BCB3ADE">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2</w:t>
                  </w:r>
                </w:p>
              </w:tc>
              <w:tc>
                <w:tcPr>
                  <w:tcW w:w="902" w:type="pct"/>
                  <w:shd w:val="clear" w:color="auto" w:fill="auto"/>
                  <w:vAlign w:val="center"/>
                </w:tcPr>
                <w:p w14:paraId="02E5830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lang w:eastAsia="zh-CN"/>
                    </w:rPr>
                    <w:t>立</w:t>
                  </w:r>
                  <w:r>
                    <w:rPr>
                      <w:rFonts w:hint="default" w:ascii="Times New Roman" w:hAnsi="Times New Roman" w:cs="Times New Roman"/>
                      <w:color w:val="auto"/>
                      <w:sz w:val="18"/>
                      <w:szCs w:val="18"/>
                    </w:rPr>
                    <w:t>切机</w:t>
                  </w:r>
                </w:p>
              </w:tc>
              <w:tc>
                <w:tcPr>
                  <w:tcW w:w="251" w:type="pct"/>
                  <w:shd w:val="clear" w:color="auto" w:fill="auto"/>
                  <w:vAlign w:val="center"/>
                </w:tcPr>
                <w:p w14:paraId="799824BD">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val="0"/>
                      <w:bCs w:val="0"/>
                      <w:color w:val="auto"/>
                      <w:sz w:val="18"/>
                      <w:szCs w:val="18"/>
                      <w:lang w:val="en-US" w:eastAsia="zh-CN"/>
                    </w:rPr>
                  </w:pPr>
                  <w:r>
                    <w:rPr>
                      <w:rFonts w:hint="eastAsia" w:cs="Times New Roman"/>
                      <w:color w:val="auto"/>
                      <w:sz w:val="18"/>
                      <w:szCs w:val="18"/>
                      <w:lang w:val="en-US" w:eastAsia="zh-CN"/>
                    </w:rPr>
                    <w:t>1</w:t>
                  </w:r>
                  <w:r>
                    <w:rPr>
                      <w:rFonts w:hint="default" w:ascii="Times New Roman" w:hAnsi="Times New Roman" w:eastAsia="宋体" w:cs="Times New Roman"/>
                      <w:color w:val="auto"/>
                      <w:sz w:val="18"/>
                      <w:szCs w:val="18"/>
                      <w:lang w:val="en-US" w:eastAsia="zh-CN"/>
                    </w:rPr>
                    <w:t>台</w:t>
                  </w:r>
                </w:p>
              </w:tc>
              <w:tc>
                <w:tcPr>
                  <w:tcW w:w="385" w:type="pct"/>
                  <w:shd w:val="clear" w:color="auto" w:fill="auto"/>
                  <w:vAlign w:val="center"/>
                </w:tcPr>
                <w:p w14:paraId="6C168590">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7</w:t>
                  </w:r>
                  <w:r>
                    <w:rPr>
                      <w:rFonts w:hint="default" w:ascii="Times New Roman" w:hAnsi="Times New Roman" w:cs="Times New Roman"/>
                      <w:color w:val="auto"/>
                      <w:sz w:val="18"/>
                      <w:szCs w:val="18"/>
                      <w:lang w:val="en-US" w:eastAsia="zh-CN"/>
                    </w:rPr>
                    <w:t>5</w:t>
                  </w:r>
                  <w:r>
                    <w:rPr>
                      <w:rFonts w:hint="default" w:ascii="Times New Roman" w:hAnsi="Times New Roman" w:eastAsia="宋体" w:cs="Times New Roman"/>
                      <w:color w:val="auto"/>
                      <w:sz w:val="18"/>
                      <w:szCs w:val="18"/>
                    </w:rPr>
                    <w:t>~</w:t>
                  </w:r>
                  <w:r>
                    <w:rPr>
                      <w:rFonts w:hint="default" w:ascii="Times New Roman" w:hAnsi="Times New Roman" w:cs="Times New Roman"/>
                      <w:color w:val="auto"/>
                      <w:sz w:val="18"/>
                      <w:szCs w:val="18"/>
                      <w:lang w:val="en-US" w:eastAsia="zh-CN"/>
                    </w:rPr>
                    <w:t>85</w:t>
                  </w:r>
                </w:p>
              </w:tc>
              <w:tc>
                <w:tcPr>
                  <w:tcW w:w="468" w:type="pct"/>
                  <w:vMerge w:val="continue"/>
                  <w:shd w:val="clear" w:color="auto" w:fill="auto"/>
                  <w:vAlign w:val="center"/>
                </w:tcPr>
                <w:p w14:paraId="6E70A67A">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p>
              </w:tc>
              <w:tc>
                <w:tcPr>
                  <w:tcW w:w="217" w:type="pct"/>
                  <w:shd w:val="clear" w:color="auto" w:fill="auto"/>
                  <w:vAlign w:val="center"/>
                </w:tcPr>
                <w:p w14:paraId="061CF45C">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25</w:t>
                  </w:r>
                  <w:r>
                    <w:rPr>
                      <w:rFonts w:hint="eastAsia" w:cs="Times New Roman"/>
                      <w:color w:val="auto"/>
                      <w:sz w:val="18"/>
                      <w:szCs w:val="18"/>
                      <w:lang w:val="en-US" w:eastAsia="zh-CN"/>
                    </w:rPr>
                    <w:t>1</w:t>
                  </w:r>
                </w:p>
              </w:tc>
              <w:tc>
                <w:tcPr>
                  <w:tcW w:w="228" w:type="pct"/>
                  <w:shd w:val="clear" w:color="auto" w:fill="auto"/>
                  <w:vAlign w:val="center"/>
                </w:tcPr>
                <w:p w14:paraId="6E67C1B0">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65</w:t>
                  </w:r>
                </w:p>
              </w:tc>
              <w:tc>
                <w:tcPr>
                  <w:tcW w:w="241" w:type="pct"/>
                  <w:shd w:val="clear" w:color="auto" w:fill="auto"/>
                  <w:vAlign w:val="center"/>
                </w:tcPr>
                <w:p w14:paraId="36C4F1BF">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color w:val="auto"/>
                      <w:sz w:val="18"/>
                      <w:szCs w:val="18"/>
                      <w:lang w:eastAsia="zh-CN"/>
                    </w:rPr>
                  </w:pPr>
                  <w:r>
                    <w:rPr>
                      <w:rFonts w:hint="default" w:ascii="Times New Roman" w:hAnsi="Times New Roman" w:eastAsia="宋体" w:cs="Times New Roman"/>
                      <w:color w:val="auto"/>
                      <w:sz w:val="18"/>
                      <w:szCs w:val="18"/>
                      <w:lang w:val="en-US" w:eastAsia="zh-CN"/>
                    </w:rPr>
                    <w:t>5</w:t>
                  </w:r>
                  <w:r>
                    <w:rPr>
                      <w:rFonts w:hint="default" w:ascii="Times New Roman" w:hAnsi="Times New Roman" w:eastAsia="宋体" w:cs="Times New Roman"/>
                      <w:color w:val="auto"/>
                      <w:sz w:val="18"/>
                      <w:szCs w:val="18"/>
                    </w:rPr>
                    <w:t>.</w:t>
                  </w:r>
                  <w:r>
                    <w:rPr>
                      <w:rFonts w:hint="eastAsia" w:cs="Times New Roman"/>
                      <w:color w:val="auto"/>
                      <w:sz w:val="18"/>
                      <w:szCs w:val="18"/>
                      <w:lang w:val="en-US" w:eastAsia="zh-CN"/>
                    </w:rPr>
                    <w:t>1</w:t>
                  </w:r>
                </w:p>
              </w:tc>
              <w:tc>
                <w:tcPr>
                  <w:tcW w:w="384" w:type="pct"/>
                  <w:shd w:val="clear" w:color="auto" w:fill="auto"/>
                  <w:vAlign w:val="center"/>
                </w:tcPr>
                <w:p w14:paraId="57914B08">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rPr>
                  </w:pPr>
                  <w:r>
                    <w:rPr>
                      <w:rFonts w:hint="eastAsia" w:cs="Times New Roman"/>
                      <w:color w:val="auto"/>
                      <w:sz w:val="18"/>
                      <w:szCs w:val="18"/>
                      <w:lang w:val="en-US" w:eastAsia="zh-CN"/>
                    </w:rPr>
                    <w:t>南</w:t>
                  </w:r>
                  <w:r>
                    <w:rPr>
                      <w:rFonts w:hint="default" w:ascii="Times New Roman" w:hAnsi="Times New Roman" w:eastAsia="宋体" w:cs="Times New Roman"/>
                      <w:color w:val="auto"/>
                      <w:sz w:val="18"/>
                      <w:szCs w:val="18"/>
                      <w:lang w:val="en-US" w:eastAsia="zh-CN"/>
                    </w:rPr>
                    <w:t>10</w:t>
                  </w:r>
                </w:p>
              </w:tc>
              <w:tc>
                <w:tcPr>
                  <w:tcW w:w="502" w:type="pct"/>
                  <w:shd w:val="clear" w:color="auto" w:fill="auto"/>
                  <w:vAlign w:val="center"/>
                </w:tcPr>
                <w:p w14:paraId="23C3E2E7">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64.8</w:t>
                  </w:r>
                </w:p>
              </w:tc>
              <w:tc>
                <w:tcPr>
                  <w:tcW w:w="372" w:type="pct"/>
                  <w:vMerge w:val="continue"/>
                  <w:shd w:val="clear" w:color="auto" w:fill="auto"/>
                  <w:vAlign w:val="center"/>
                </w:tcPr>
                <w:p w14:paraId="55EBDCFC">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p>
              </w:tc>
              <w:tc>
                <w:tcPr>
                  <w:tcW w:w="297" w:type="pct"/>
                  <w:shd w:val="clear" w:color="auto" w:fill="auto"/>
                  <w:vAlign w:val="center"/>
                </w:tcPr>
                <w:p w14:paraId="1E722FEA">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25</w:t>
                  </w:r>
                </w:p>
              </w:tc>
              <w:tc>
                <w:tcPr>
                  <w:tcW w:w="319" w:type="pct"/>
                  <w:shd w:val="clear" w:color="auto" w:fill="auto"/>
                  <w:vAlign w:val="center"/>
                </w:tcPr>
                <w:p w14:paraId="5D259596">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36.5</w:t>
                  </w:r>
                </w:p>
              </w:tc>
              <w:tc>
                <w:tcPr>
                  <w:tcW w:w="332" w:type="pct"/>
                  <w:vMerge w:val="continue"/>
                  <w:shd w:val="clear" w:color="auto" w:fill="auto"/>
                  <w:vAlign w:val="center"/>
                </w:tcPr>
                <w:p w14:paraId="201E9392">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p>
              </w:tc>
            </w:tr>
            <w:tr w14:paraId="124DD4A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225" w:hRule="atLeast"/>
                <w:jc w:val="center"/>
              </w:trPr>
              <w:tc>
                <w:tcPr>
                  <w:tcW w:w="96" w:type="pct"/>
                  <w:shd w:val="clear" w:color="auto" w:fill="auto"/>
                  <w:vAlign w:val="center"/>
                </w:tcPr>
                <w:p w14:paraId="60F48CE1">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3</w:t>
                  </w:r>
                </w:p>
              </w:tc>
              <w:tc>
                <w:tcPr>
                  <w:tcW w:w="902" w:type="pct"/>
                  <w:shd w:val="clear" w:color="auto" w:fill="auto"/>
                  <w:vAlign w:val="center"/>
                </w:tcPr>
                <w:p w14:paraId="2514CB3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平切机</w:t>
                  </w:r>
                </w:p>
              </w:tc>
              <w:tc>
                <w:tcPr>
                  <w:tcW w:w="251" w:type="pct"/>
                  <w:shd w:val="clear" w:color="auto" w:fill="auto"/>
                  <w:vAlign w:val="center"/>
                </w:tcPr>
                <w:p w14:paraId="171D3D54">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val="0"/>
                      <w:bCs w:val="0"/>
                      <w:color w:val="auto"/>
                      <w:sz w:val="18"/>
                      <w:szCs w:val="18"/>
                      <w:lang w:val="en-US" w:eastAsia="zh-CN"/>
                    </w:rPr>
                  </w:pPr>
                  <w:r>
                    <w:rPr>
                      <w:rFonts w:hint="default" w:ascii="Times New Roman" w:hAnsi="Times New Roman" w:eastAsia="宋体" w:cs="Times New Roman"/>
                      <w:color w:val="auto"/>
                      <w:sz w:val="18"/>
                      <w:szCs w:val="18"/>
                      <w:lang w:val="en-US" w:eastAsia="zh-CN"/>
                    </w:rPr>
                    <w:t>2台</w:t>
                  </w:r>
                </w:p>
              </w:tc>
              <w:tc>
                <w:tcPr>
                  <w:tcW w:w="385" w:type="pct"/>
                  <w:shd w:val="clear" w:color="auto" w:fill="auto"/>
                  <w:vAlign w:val="center"/>
                </w:tcPr>
                <w:p w14:paraId="5FF02E9E">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val="en-US"/>
                    </w:rPr>
                  </w:pPr>
                  <w:r>
                    <w:rPr>
                      <w:rFonts w:hint="default" w:ascii="Times New Roman" w:hAnsi="Times New Roman" w:eastAsia="宋体" w:cs="Times New Roman"/>
                      <w:color w:val="auto"/>
                      <w:sz w:val="18"/>
                      <w:szCs w:val="18"/>
                    </w:rPr>
                    <w:t>7</w:t>
                  </w:r>
                  <w:r>
                    <w:rPr>
                      <w:rFonts w:hint="default" w:ascii="Times New Roman" w:hAnsi="Times New Roman" w:cs="Times New Roman"/>
                      <w:color w:val="auto"/>
                      <w:sz w:val="18"/>
                      <w:szCs w:val="18"/>
                      <w:lang w:val="en-US" w:eastAsia="zh-CN"/>
                    </w:rPr>
                    <w:t>5</w:t>
                  </w:r>
                  <w:r>
                    <w:rPr>
                      <w:rFonts w:hint="default" w:ascii="Times New Roman" w:hAnsi="Times New Roman" w:eastAsia="宋体" w:cs="Times New Roman"/>
                      <w:color w:val="auto"/>
                      <w:sz w:val="18"/>
                      <w:szCs w:val="18"/>
                    </w:rPr>
                    <w:t>~</w:t>
                  </w:r>
                  <w:r>
                    <w:rPr>
                      <w:rFonts w:hint="default" w:ascii="Times New Roman" w:hAnsi="Times New Roman" w:cs="Times New Roman"/>
                      <w:color w:val="auto"/>
                      <w:sz w:val="18"/>
                      <w:szCs w:val="18"/>
                      <w:lang w:val="en-US" w:eastAsia="zh-CN"/>
                    </w:rPr>
                    <w:t>85</w:t>
                  </w:r>
                </w:p>
              </w:tc>
              <w:tc>
                <w:tcPr>
                  <w:tcW w:w="468" w:type="pct"/>
                  <w:vMerge w:val="continue"/>
                  <w:shd w:val="clear" w:color="auto" w:fill="auto"/>
                  <w:vAlign w:val="center"/>
                </w:tcPr>
                <w:p w14:paraId="25D15AEC">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p>
              </w:tc>
              <w:tc>
                <w:tcPr>
                  <w:tcW w:w="217" w:type="pct"/>
                  <w:shd w:val="clear" w:color="auto" w:fill="auto"/>
                  <w:vAlign w:val="center"/>
                </w:tcPr>
                <w:p w14:paraId="44739779">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cs="Times New Roman"/>
                      <w:color w:val="auto"/>
                      <w:sz w:val="18"/>
                      <w:szCs w:val="18"/>
                      <w:lang w:val="en-US" w:eastAsia="zh-CN"/>
                    </w:rPr>
                    <w:t>55</w:t>
                  </w:r>
                </w:p>
              </w:tc>
              <w:tc>
                <w:tcPr>
                  <w:tcW w:w="228" w:type="pct"/>
                  <w:shd w:val="clear" w:color="auto" w:fill="auto"/>
                  <w:vAlign w:val="center"/>
                </w:tcPr>
                <w:p w14:paraId="441F58A4">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25</w:t>
                  </w:r>
                </w:p>
              </w:tc>
              <w:tc>
                <w:tcPr>
                  <w:tcW w:w="241" w:type="pct"/>
                  <w:shd w:val="clear" w:color="auto" w:fill="auto"/>
                  <w:vAlign w:val="center"/>
                </w:tcPr>
                <w:p w14:paraId="7D80A9C1">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eastAsia="zh-CN"/>
                    </w:rPr>
                  </w:pPr>
                  <w:r>
                    <w:rPr>
                      <w:rFonts w:hint="default" w:ascii="Times New Roman" w:hAnsi="Times New Roman" w:eastAsia="宋体" w:cs="Times New Roman"/>
                      <w:color w:val="auto"/>
                      <w:sz w:val="18"/>
                      <w:szCs w:val="18"/>
                    </w:rPr>
                    <w:t>1.</w:t>
                  </w:r>
                  <w:r>
                    <w:rPr>
                      <w:rFonts w:hint="eastAsia" w:cs="Times New Roman"/>
                      <w:color w:val="auto"/>
                      <w:sz w:val="18"/>
                      <w:szCs w:val="18"/>
                      <w:lang w:val="en-US" w:eastAsia="zh-CN"/>
                    </w:rPr>
                    <w:t>3</w:t>
                  </w:r>
                </w:p>
              </w:tc>
              <w:tc>
                <w:tcPr>
                  <w:tcW w:w="384" w:type="pct"/>
                  <w:shd w:val="clear" w:color="auto" w:fill="auto"/>
                  <w:vAlign w:val="center"/>
                </w:tcPr>
                <w:p w14:paraId="3A1810A2">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cs="Times New Roman"/>
                      <w:color w:val="auto"/>
                      <w:sz w:val="18"/>
                      <w:szCs w:val="18"/>
                      <w:lang w:val="en-US" w:eastAsia="zh-CN"/>
                    </w:rPr>
                    <w:t>南</w:t>
                  </w:r>
                  <w:r>
                    <w:rPr>
                      <w:rFonts w:hint="default" w:ascii="Times New Roman" w:hAnsi="Times New Roman" w:eastAsia="宋体" w:cs="Times New Roman"/>
                      <w:color w:val="auto"/>
                      <w:sz w:val="18"/>
                      <w:szCs w:val="18"/>
                      <w:lang w:val="en-US" w:eastAsia="zh-CN"/>
                    </w:rPr>
                    <w:t>10</w:t>
                  </w:r>
                </w:p>
              </w:tc>
              <w:tc>
                <w:tcPr>
                  <w:tcW w:w="502" w:type="pct"/>
                  <w:shd w:val="clear" w:color="auto" w:fill="auto"/>
                  <w:vAlign w:val="center"/>
                </w:tcPr>
                <w:p w14:paraId="63311898">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67.0</w:t>
                  </w:r>
                </w:p>
              </w:tc>
              <w:tc>
                <w:tcPr>
                  <w:tcW w:w="372" w:type="pct"/>
                  <w:vMerge w:val="continue"/>
                  <w:shd w:val="clear" w:color="auto" w:fill="auto"/>
                  <w:vAlign w:val="center"/>
                </w:tcPr>
                <w:p w14:paraId="2839BEF8">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p>
              </w:tc>
              <w:tc>
                <w:tcPr>
                  <w:tcW w:w="297" w:type="pct"/>
                  <w:shd w:val="clear" w:color="auto" w:fill="auto"/>
                  <w:vAlign w:val="center"/>
                </w:tcPr>
                <w:p w14:paraId="7ECCA025">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25</w:t>
                  </w:r>
                </w:p>
              </w:tc>
              <w:tc>
                <w:tcPr>
                  <w:tcW w:w="319" w:type="pct"/>
                  <w:shd w:val="clear" w:color="auto" w:fill="auto"/>
                  <w:vAlign w:val="center"/>
                </w:tcPr>
                <w:p w14:paraId="4FD2A64F">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3</w:t>
                  </w:r>
                  <w:r>
                    <w:rPr>
                      <w:rFonts w:hint="eastAsia" w:cs="Times New Roman"/>
                      <w:color w:val="auto"/>
                      <w:sz w:val="18"/>
                      <w:szCs w:val="18"/>
                      <w:lang w:val="en-US" w:eastAsia="zh-CN"/>
                    </w:rPr>
                    <w:t>8</w:t>
                  </w:r>
                  <w:r>
                    <w:rPr>
                      <w:rFonts w:hint="default" w:ascii="Times New Roman" w:hAnsi="Times New Roman" w:eastAsia="宋体" w:cs="Times New Roman"/>
                      <w:color w:val="auto"/>
                      <w:sz w:val="18"/>
                      <w:szCs w:val="18"/>
                      <w:lang w:val="en-US" w:eastAsia="zh-CN"/>
                    </w:rPr>
                    <w:t>.5</w:t>
                  </w:r>
                </w:p>
              </w:tc>
              <w:tc>
                <w:tcPr>
                  <w:tcW w:w="332" w:type="pct"/>
                  <w:vMerge w:val="continue"/>
                  <w:shd w:val="clear" w:color="auto" w:fill="auto"/>
                  <w:vAlign w:val="center"/>
                </w:tcPr>
                <w:p w14:paraId="06E67EAE">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p>
              </w:tc>
            </w:tr>
            <w:tr w14:paraId="2242A4F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255" w:hRule="atLeast"/>
                <w:jc w:val="center"/>
              </w:trPr>
              <w:tc>
                <w:tcPr>
                  <w:tcW w:w="96" w:type="pct"/>
                  <w:shd w:val="clear" w:color="auto" w:fill="auto"/>
                  <w:vAlign w:val="center"/>
                </w:tcPr>
                <w:p w14:paraId="34DED90C">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4</w:t>
                  </w:r>
                </w:p>
              </w:tc>
              <w:tc>
                <w:tcPr>
                  <w:tcW w:w="902" w:type="pct"/>
                  <w:shd w:val="clear" w:color="auto" w:fill="auto"/>
                  <w:vAlign w:val="center"/>
                </w:tcPr>
                <w:p w14:paraId="71948E6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搅拌机</w:t>
                  </w:r>
                </w:p>
              </w:tc>
              <w:tc>
                <w:tcPr>
                  <w:tcW w:w="251" w:type="pct"/>
                  <w:shd w:val="clear" w:color="auto" w:fill="auto"/>
                  <w:vAlign w:val="center"/>
                </w:tcPr>
                <w:p w14:paraId="4650CC04">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val="0"/>
                      <w:bCs w:val="0"/>
                      <w:color w:val="auto"/>
                      <w:sz w:val="18"/>
                      <w:szCs w:val="18"/>
                      <w:lang w:val="en-US"/>
                    </w:rPr>
                  </w:pPr>
                  <w:r>
                    <w:rPr>
                      <w:rFonts w:hint="eastAsia" w:cs="Times New Roman"/>
                      <w:color w:val="auto"/>
                      <w:sz w:val="18"/>
                      <w:szCs w:val="18"/>
                      <w:lang w:val="en-US" w:eastAsia="zh-CN"/>
                    </w:rPr>
                    <w:t>3</w:t>
                  </w:r>
                  <w:r>
                    <w:rPr>
                      <w:rFonts w:hint="default" w:ascii="Times New Roman" w:hAnsi="Times New Roman" w:eastAsia="宋体" w:cs="Times New Roman"/>
                      <w:color w:val="auto"/>
                      <w:sz w:val="18"/>
                      <w:szCs w:val="18"/>
                      <w:lang w:val="en-US" w:eastAsia="zh-CN"/>
                    </w:rPr>
                    <w:t>台</w:t>
                  </w:r>
                </w:p>
              </w:tc>
              <w:tc>
                <w:tcPr>
                  <w:tcW w:w="385" w:type="pct"/>
                  <w:shd w:val="clear" w:color="auto" w:fill="auto"/>
                  <w:vAlign w:val="center"/>
                </w:tcPr>
                <w:p w14:paraId="36B411C4">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rPr>
                    <w:t>7</w:t>
                  </w:r>
                  <w:r>
                    <w:rPr>
                      <w:rFonts w:hint="default" w:ascii="Times New Roman" w:hAnsi="Times New Roman" w:cs="Times New Roman"/>
                      <w:color w:val="auto"/>
                      <w:sz w:val="18"/>
                      <w:szCs w:val="18"/>
                      <w:lang w:val="en-US" w:eastAsia="zh-CN"/>
                    </w:rPr>
                    <w:t>5</w:t>
                  </w:r>
                  <w:r>
                    <w:rPr>
                      <w:rFonts w:hint="default" w:ascii="Times New Roman" w:hAnsi="Times New Roman" w:eastAsia="宋体" w:cs="Times New Roman"/>
                      <w:color w:val="auto"/>
                      <w:sz w:val="18"/>
                      <w:szCs w:val="18"/>
                    </w:rPr>
                    <w:t>~</w:t>
                  </w:r>
                  <w:r>
                    <w:rPr>
                      <w:rFonts w:hint="default" w:ascii="Times New Roman" w:hAnsi="Times New Roman" w:cs="Times New Roman"/>
                      <w:color w:val="auto"/>
                      <w:sz w:val="18"/>
                      <w:szCs w:val="18"/>
                      <w:lang w:val="en-US" w:eastAsia="zh-CN"/>
                    </w:rPr>
                    <w:t>85</w:t>
                  </w:r>
                </w:p>
              </w:tc>
              <w:tc>
                <w:tcPr>
                  <w:tcW w:w="468" w:type="pct"/>
                  <w:vMerge w:val="continue"/>
                  <w:shd w:val="clear" w:color="auto" w:fill="auto"/>
                  <w:vAlign w:val="center"/>
                </w:tcPr>
                <w:p w14:paraId="13482B6D">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p>
              </w:tc>
              <w:tc>
                <w:tcPr>
                  <w:tcW w:w="217" w:type="pct"/>
                  <w:shd w:val="clear" w:color="auto" w:fill="auto"/>
                  <w:vAlign w:val="center"/>
                </w:tcPr>
                <w:p w14:paraId="7F6DC797">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40</w:t>
                  </w:r>
                </w:p>
              </w:tc>
              <w:tc>
                <w:tcPr>
                  <w:tcW w:w="228" w:type="pct"/>
                  <w:shd w:val="clear" w:color="auto" w:fill="auto"/>
                  <w:vAlign w:val="center"/>
                </w:tcPr>
                <w:p w14:paraId="3C6FED26">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2</w:t>
                  </w:r>
                  <w:r>
                    <w:rPr>
                      <w:rFonts w:hint="eastAsia" w:cs="Times New Roman"/>
                      <w:color w:val="auto"/>
                      <w:sz w:val="18"/>
                      <w:szCs w:val="18"/>
                      <w:lang w:val="en-US" w:eastAsia="zh-CN"/>
                    </w:rPr>
                    <w:t>4</w:t>
                  </w:r>
                </w:p>
              </w:tc>
              <w:tc>
                <w:tcPr>
                  <w:tcW w:w="241" w:type="pct"/>
                  <w:shd w:val="clear" w:color="auto" w:fill="auto"/>
                  <w:vAlign w:val="center"/>
                </w:tcPr>
                <w:p w14:paraId="76110712">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1.</w:t>
                  </w:r>
                  <w:r>
                    <w:rPr>
                      <w:rFonts w:hint="eastAsia" w:cs="Times New Roman"/>
                      <w:color w:val="auto"/>
                      <w:sz w:val="18"/>
                      <w:szCs w:val="18"/>
                      <w:lang w:val="en-US" w:eastAsia="zh-CN"/>
                    </w:rPr>
                    <w:t>8</w:t>
                  </w:r>
                </w:p>
              </w:tc>
              <w:tc>
                <w:tcPr>
                  <w:tcW w:w="384" w:type="pct"/>
                  <w:shd w:val="clear" w:color="auto" w:fill="auto"/>
                  <w:vAlign w:val="center"/>
                </w:tcPr>
                <w:p w14:paraId="45218336">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西15</w:t>
                  </w:r>
                </w:p>
              </w:tc>
              <w:tc>
                <w:tcPr>
                  <w:tcW w:w="502" w:type="pct"/>
                  <w:shd w:val="clear" w:color="auto" w:fill="auto"/>
                  <w:vAlign w:val="center"/>
                </w:tcPr>
                <w:p w14:paraId="20F02D74">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68.0</w:t>
                  </w:r>
                </w:p>
              </w:tc>
              <w:tc>
                <w:tcPr>
                  <w:tcW w:w="372" w:type="pct"/>
                  <w:vMerge w:val="continue"/>
                  <w:shd w:val="clear" w:color="auto" w:fill="auto"/>
                  <w:vAlign w:val="center"/>
                </w:tcPr>
                <w:p w14:paraId="7C184D7D">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p>
              </w:tc>
              <w:tc>
                <w:tcPr>
                  <w:tcW w:w="297" w:type="pct"/>
                  <w:shd w:val="clear" w:color="auto" w:fill="auto"/>
                  <w:vAlign w:val="center"/>
                </w:tcPr>
                <w:p w14:paraId="7C08648D">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25</w:t>
                  </w:r>
                </w:p>
              </w:tc>
              <w:tc>
                <w:tcPr>
                  <w:tcW w:w="319" w:type="pct"/>
                  <w:shd w:val="clear" w:color="auto" w:fill="auto"/>
                  <w:vAlign w:val="center"/>
                </w:tcPr>
                <w:p w14:paraId="54A63430">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39.5</w:t>
                  </w:r>
                </w:p>
              </w:tc>
              <w:tc>
                <w:tcPr>
                  <w:tcW w:w="332" w:type="pct"/>
                  <w:vMerge w:val="continue"/>
                  <w:shd w:val="clear" w:color="auto" w:fill="auto"/>
                  <w:vAlign w:val="center"/>
                </w:tcPr>
                <w:p w14:paraId="1D4C0FB2">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p>
              </w:tc>
            </w:tr>
            <w:tr w14:paraId="11D0E03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255" w:hRule="atLeast"/>
                <w:jc w:val="center"/>
              </w:trPr>
              <w:tc>
                <w:tcPr>
                  <w:tcW w:w="96" w:type="pct"/>
                  <w:shd w:val="clear" w:color="auto" w:fill="auto"/>
                  <w:vAlign w:val="center"/>
                </w:tcPr>
                <w:p w14:paraId="5A0FC17D">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color w:val="auto"/>
                      <w:sz w:val="18"/>
                      <w:szCs w:val="18"/>
                      <w:lang w:val="en-US" w:eastAsia="zh-CN"/>
                    </w:rPr>
                  </w:pPr>
                  <w:r>
                    <w:rPr>
                      <w:rFonts w:hint="eastAsia" w:cs="Times New Roman"/>
                      <w:color w:val="auto"/>
                      <w:sz w:val="18"/>
                      <w:szCs w:val="18"/>
                      <w:lang w:val="en-US" w:eastAsia="zh-CN"/>
                    </w:rPr>
                    <w:t>5</w:t>
                  </w:r>
                </w:p>
              </w:tc>
              <w:tc>
                <w:tcPr>
                  <w:tcW w:w="902" w:type="pct"/>
                  <w:shd w:val="clear" w:color="auto" w:fill="auto"/>
                  <w:vAlign w:val="center"/>
                </w:tcPr>
                <w:p w14:paraId="4659444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打包机</w:t>
                  </w:r>
                </w:p>
              </w:tc>
              <w:tc>
                <w:tcPr>
                  <w:tcW w:w="251" w:type="pct"/>
                  <w:shd w:val="clear" w:color="auto" w:fill="auto"/>
                  <w:vAlign w:val="center"/>
                </w:tcPr>
                <w:p w14:paraId="74A65266">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olor w:val="auto"/>
                      <w:sz w:val="18"/>
                      <w:szCs w:val="18"/>
                      <w:lang w:val="en-US" w:eastAsia="zh-CN"/>
                    </w:rPr>
                  </w:pPr>
                  <w:r>
                    <w:rPr>
                      <w:rFonts w:hint="eastAsia" w:cs="Times New Roman"/>
                      <w:color w:val="auto"/>
                      <w:sz w:val="18"/>
                      <w:szCs w:val="18"/>
                      <w:lang w:val="en-US" w:eastAsia="zh-CN"/>
                    </w:rPr>
                    <w:t>2</w:t>
                  </w:r>
                  <w:r>
                    <w:rPr>
                      <w:rFonts w:hint="default" w:ascii="Times New Roman" w:hAnsi="Times New Roman" w:eastAsia="宋体" w:cs="Times New Roman"/>
                      <w:color w:val="auto"/>
                      <w:sz w:val="18"/>
                      <w:szCs w:val="18"/>
                      <w:lang w:val="en-US" w:eastAsia="zh-CN"/>
                    </w:rPr>
                    <w:t>台</w:t>
                  </w:r>
                </w:p>
              </w:tc>
              <w:tc>
                <w:tcPr>
                  <w:tcW w:w="385" w:type="pct"/>
                  <w:shd w:val="clear" w:color="auto" w:fill="auto"/>
                  <w:vAlign w:val="center"/>
                </w:tcPr>
                <w:p w14:paraId="3F5B804B">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rPr>
                    <w:t>7</w:t>
                  </w:r>
                  <w:r>
                    <w:rPr>
                      <w:rFonts w:hint="default" w:ascii="Times New Roman" w:hAnsi="Times New Roman" w:cs="Times New Roman"/>
                      <w:color w:val="auto"/>
                      <w:sz w:val="18"/>
                      <w:szCs w:val="18"/>
                      <w:lang w:val="en-US" w:eastAsia="zh-CN"/>
                    </w:rPr>
                    <w:t>5</w:t>
                  </w:r>
                  <w:r>
                    <w:rPr>
                      <w:rFonts w:hint="default" w:ascii="Times New Roman" w:hAnsi="Times New Roman" w:eastAsia="宋体" w:cs="Times New Roman"/>
                      <w:color w:val="auto"/>
                      <w:sz w:val="18"/>
                      <w:szCs w:val="18"/>
                    </w:rPr>
                    <w:t>~</w:t>
                  </w:r>
                  <w:r>
                    <w:rPr>
                      <w:rFonts w:hint="default" w:ascii="Times New Roman" w:hAnsi="Times New Roman" w:cs="Times New Roman"/>
                      <w:color w:val="auto"/>
                      <w:sz w:val="18"/>
                      <w:szCs w:val="18"/>
                      <w:lang w:val="en-US" w:eastAsia="zh-CN"/>
                    </w:rPr>
                    <w:t>85</w:t>
                  </w:r>
                </w:p>
              </w:tc>
              <w:tc>
                <w:tcPr>
                  <w:tcW w:w="468" w:type="pct"/>
                  <w:vMerge w:val="continue"/>
                  <w:shd w:val="clear" w:color="auto" w:fill="auto"/>
                  <w:vAlign w:val="center"/>
                </w:tcPr>
                <w:p w14:paraId="7CF9EE4A">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p>
              </w:tc>
              <w:tc>
                <w:tcPr>
                  <w:tcW w:w="217" w:type="pct"/>
                  <w:shd w:val="clear" w:color="auto" w:fill="auto"/>
                  <w:vAlign w:val="center"/>
                </w:tcPr>
                <w:p w14:paraId="0B22DD18">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40</w:t>
                  </w:r>
                </w:p>
              </w:tc>
              <w:tc>
                <w:tcPr>
                  <w:tcW w:w="228" w:type="pct"/>
                  <w:shd w:val="clear" w:color="auto" w:fill="auto"/>
                  <w:vAlign w:val="center"/>
                </w:tcPr>
                <w:p w14:paraId="105784D0">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60</w:t>
                  </w:r>
                </w:p>
              </w:tc>
              <w:tc>
                <w:tcPr>
                  <w:tcW w:w="241" w:type="pct"/>
                  <w:shd w:val="clear" w:color="auto" w:fill="auto"/>
                  <w:vAlign w:val="center"/>
                </w:tcPr>
                <w:p w14:paraId="092745FB">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1.</w:t>
                  </w:r>
                  <w:r>
                    <w:rPr>
                      <w:rFonts w:hint="default" w:ascii="Times New Roman" w:hAnsi="Times New Roman" w:cs="Times New Roman"/>
                      <w:color w:val="auto"/>
                      <w:sz w:val="18"/>
                      <w:szCs w:val="18"/>
                      <w:lang w:val="en-US" w:eastAsia="zh-CN"/>
                    </w:rPr>
                    <w:t>5</w:t>
                  </w:r>
                </w:p>
              </w:tc>
              <w:tc>
                <w:tcPr>
                  <w:tcW w:w="1034" w:type="dxa"/>
                  <w:shd w:val="clear" w:color="auto" w:fill="auto"/>
                  <w:vAlign w:val="center"/>
                </w:tcPr>
                <w:p w14:paraId="00BA8F0B">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cs="Times New Roman"/>
                      <w:color w:val="auto"/>
                      <w:sz w:val="18"/>
                      <w:szCs w:val="18"/>
                      <w:lang w:val="en-US" w:eastAsia="zh-CN"/>
                    </w:rPr>
                    <w:t>南</w:t>
                  </w:r>
                  <w:r>
                    <w:rPr>
                      <w:rFonts w:hint="eastAsia" w:ascii="Times New Roman" w:hAnsi="Times New Roman" w:eastAsia="宋体" w:cs="Times New Roman"/>
                      <w:color w:val="auto"/>
                      <w:sz w:val="18"/>
                      <w:szCs w:val="18"/>
                      <w:lang w:val="en-US" w:eastAsia="zh-CN"/>
                    </w:rPr>
                    <w:t>5</w:t>
                  </w:r>
                </w:p>
              </w:tc>
              <w:tc>
                <w:tcPr>
                  <w:tcW w:w="1351" w:type="dxa"/>
                  <w:shd w:val="clear" w:color="auto" w:fill="auto"/>
                  <w:vAlign w:val="center"/>
                </w:tcPr>
                <w:p w14:paraId="38405861">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67.0</w:t>
                  </w:r>
                </w:p>
              </w:tc>
              <w:tc>
                <w:tcPr>
                  <w:tcW w:w="372" w:type="pct"/>
                  <w:vMerge w:val="continue"/>
                  <w:shd w:val="clear" w:color="auto" w:fill="auto"/>
                  <w:vAlign w:val="center"/>
                </w:tcPr>
                <w:p w14:paraId="507898EB">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p>
              </w:tc>
              <w:tc>
                <w:tcPr>
                  <w:tcW w:w="297" w:type="pct"/>
                  <w:shd w:val="clear" w:color="auto" w:fill="auto"/>
                  <w:vAlign w:val="center"/>
                </w:tcPr>
                <w:p w14:paraId="13344516">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25</w:t>
                  </w:r>
                </w:p>
              </w:tc>
              <w:tc>
                <w:tcPr>
                  <w:tcW w:w="319" w:type="pct"/>
                  <w:shd w:val="clear" w:color="auto" w:fill="auto"/>
                  <w:vAlign w:val="center"/>
                </w:tcPr>
                <w:p w14:paraId="07CB2A69">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3</w:t>
                  </w:r>
                  <w:r>
                    <w:rPr>
                      <w:rFonts w:hint="eastAsia" w:ascii="Times New Roman" w:hAnsi="Times New Roman" w:eastAsia="宋体" w:cs="Times New Roman"/>
                      <w:color w:val="auto"/>
                      <w:sz w:val="18"/>
                      <w:szCs w:val="18"/>
                      <w:lang w:val="en-US" w:eastAsia="zh-CN"/>
                    </w:rPr>
                    <w:t>8</w:t>
                  </w:r>
                  <w:r>
                    <w:rPr>
                      <w:rFonts w:hint="default" w:ascii="Times New Roman" w:hAnsi="Times New Roman" w:eastAsia="宋体" w:cs="Times New Roman"/>
                      <w:color w:val="auto"/>
                      <w:sz w:val="18"/>
                      <w:szCs w:val="18"/>
                      <w:lang w:val="en-US" w:eastAsia="zh-CN"/>
                    </w:rPr>
                    <w:t>.5</w:t>
                  </w:r>
                </w:p>
              </w:tc>
              <w:tc>
                <w:tcPr>
                  <w:tcW w:w="332" w:type="pct"/>
                  <w:vMerge w:val="continue"/>
                  <w:shd w:val="clear" w:color="auto" w:fill="auto"/>
                  <w:vAlign w:val="center"/>
                </w:tcPr>
                <w:p w14:paraId="6C811C04">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p>
              </w:tc>
            </w:tr>
            <w:tr w14:paraId="3052552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96" w:type="pct"/>
                  <w:shd w:val="clear" w:color="auto" w:fill="auto"/>
                  <w:vAlign w:val="center"/>
                </w:tcPr>
                <w:p w14:paraId="5F57463B">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color w:val="auto"/>
                      <w:sz w:val="18"/>
                      <w:szCs w:val="18"/>
                      <w:lang w:val="en-US" w:eastAsia="zh-CN"/>
                    </w:rPr>
                  </w:pPr>
                  <w:r>
                    <w:rPr>
                      <w:rFonts w:hint="eastAsia" w:cs="Times New Roman"/>
                      <w:color w:val="auto"/>
                      <w:sz w:val="18"/>
                      <w:szCs w:val="18"/>
                      <w:lang w:val="en-US" w:eastAsia="zh-CN"/>
                    </w:rPr>
                    <w:t>6</w:t>
                  </w:r>
                </w:p>
              </w:tc>
              <w:tc>
                <w:tcPr>
                  <w:tcW w:w="902" w:type="pct"/>
                  <w:shd w:val="clear" w:color="auto" w:fill="auto"/>
                  <w:vAlign w:val="center"/>
                </w:tcPr>
                <w:p w14:paraId="19C7F24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z w:val="18"/>
                      <w:szCs w:val="18"/>
                      <w:lang w:eastAsia="zh-CN"/>
                    </w:rPr>
                  </w:pPr>
                  <w:r>
                    <w:rPr>
                      <w:rFonts w:hint="eastAsia" w:ascii="Times New Roman" w:hAnsi="Times New Roman" w:cs="Times New Roman"/>
                      <w:color w:val="auto"/>
                      <w:sz w:val="18"/>
                      <w:szCs w:val="18"/>
                      <w:lang w:eastAsia="zh-CN"/>
                    </w:rPr>
                    <w:t>空压机</w:t>
                  </w:r>
                </w:p>
              </w:tc>
              <w:tc>
                <w:tcPr>
                  <w:tcW w:w="251" w:type="pct"/>
                  <w:shd w:val="clear" w:color="auto" w:fill="auto"/>
                  <w:vAlign w:val="center"/>
                </w:tcPr>
                <w:p w14:paraId="220748A3">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rPr>
                      <w:rFonts w:hint="default" w:cs="Times New Roman"/>
                      <w:color w:val="auto"/>
                      <w:sz w:val="18"/>
                      <w:szCs w:val="18"/>
                      <w:lang w:val="en-US" w:eastAsia="zh-CN"/>
                    </w:rPr>
                  </w:pPr>
                  <w:r>
                    <w:rPr>
                      <w:rFonts w:hint="eastAsia" w:cs="Times New Roman"/>
                      <w:color w:val="auto"/>
                      <w:sz w:val="18"/>
                      <w:szCs w:val="18"/>
                      <w:lang w:val="en-US" w:eastAsia="zh-CN"/>
                    </w:rPr>
                    <w:t>1台</w:t>
                  </w:r>
                </w:p>
              </w:tc>
              <w:tc>
                <w:tcPr>
                  <w:tcW w:w="385" w:type="pct"/>
                  <w:shd w:val="clear" w:color="auto" w:fill="auto"/>
                  <w:vAlign w:val="center"/>
                </w:tcPr>
                <w:p w14:paraId="74411EC5">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80</w:t>
                  </w:r>
                  <w:r>
                    <w:rPr>
                      <w:rFonts w:hint="default" w:ascii="Times New Roman" w:hAnsi="Times New Roman" w:eastAsia="宋体" w:cs="Times New Roman"/>
                      <w:color w:val="auto"/>
                      <w:sz w:val="18"/>
                      <w:szCs w:val="18"/>
                    </w:rPr>
                    <w:t>~</w:t>
                  </w:r>
                  <w:r>
                    <w:rPr>
                      <w:rFonts w:hint="eastAsia" w:ascii="Times New Roman" w:hAnsi="Times New Roman" w:cs="Times New Roman"/>
                      <w:color w:val="auto"/>
                      <w:sz w:val="18"/>
                      <w:szCs w:val="18"/>
                      <w:lang w:val="en-US" w:eastAsia="zh-CN"/>
                    </w:rPr>
                    <w:t>90</w:t>
                  </w:r>
                </w:p>
              </w:tc>
              <w:tc>
                <w:tcPr>
                  <w:tcW w:w="468" w:type="pct"/>
                  <w:vMerge w:val="continue"/>
                  <w:shd w:val="clear" w:color="auto" w:fill="auto"/>
                  <w:vAlign w:val="center"/>
                </w:tcPr>
                <w:p w14:paraId="586B424A">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p>
              </w:tc>
              <w:tc>
                <w:tcPr>
                  <w:tcW w:w="217" w:type="pct"/>
                  <w:shd w:val="clear" w:color="auto" w:fill="auto"/>
                  <w:vAlign w:val="center"/>
                </w:tcPr>
                <w:p w14:paraId="6F5E7988">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45</w:t>
                  </w:r>
                </w:p>
              </w:tc>
              <w:tc>
                <w:tcPr>
                  <w:tcW w:w="228" w:type="pct"/>
                  <w:shd w:val="clear" w:color="auto" w:fill="auto"/>
                  <w:vAlign w:val="center"/>
                </w:tcPr>
                <w:p w14:paraId="1650FCB5">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60</w:t>
                  </w:r>
                </w:p>
              </w:tc>
              <w:tc>
                <w:tcPr>
                  <w:tcW w:w="241" w:type="pct"/>
                  <w:shd w:val="clear" w:color="auto" w:fill="auto"/>
                  <w:vAlign w:val="center"/>
                </w:tcPr>
                <w:p w14:paraId="55AA3094">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1.</w:t>
                  </w:r>
                  <w:r>
                    <w:rPr>
                      <w:rFonts w:hint="default" w:ascii="Times New Roman" w:hAnsi="Times New Roman" w:cs="Times New Roman"/>
                      <w:color w:val="auto"/>
                      <w:sz w:val="18"/>
                      <w:szCs w:val="18"/>
                      <w:lang w:val="en-US" w:eastAsia="zh-CN"/>
                    </w:rPr>
                    <w:t>5</w:t>
                  </w:r>
                </w:p>
              </w:tc>
              <w:tc>
                <w:tcPr>
                  <w:tcW w:w="1034" w:type="dxa"/>
                  <w:shd w:val="clear" w:color="auto" w:fill="auto"/>
                  <w:vAlign w:val="center"/>
                </w:tcPr>
                <w:p w14:paraId="6340C9D1">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cs="Times New Roman"/>
                      <w:color w:val="auto"/>
                      <w:sz w:val="18"/>
                      <w:szCs w:val="18"/>
                      <w:lang w:val="en-US" w:eastAsia="zh-CN"/>
                    </w:rPr>
                    <w:t>西1</w:t>
                  </w:r>
                  <w:r>
                    <w:rPr>
                      <w:rFonts w:hint="default" w:ascii="Times New Roman" w:hAnsi="Times New Roman" w:cs="Times New Roman"/>
                      <w:color w:val="auto"/>
                      <w:sz w:val="18"/>
                      <w:szCs w:val="18"/>
                      <w:lang w:val="en-US" w:eastAsia="zh-CN"/>
                    </w:rPr>
                    <w:t>5</w:t>
                  </w:r>
                </w:p>
              </w:tc>
              <w:tc>
                <w:tcPr>
                  <w:tcW w:w="1351" w:type="dxa"/>
                  <w:shd w:val="clear" w:color="auto" w:fill="auto"/>
                  <w:vAlign w:val="center"/>
                </w:tcPr>
                <w:p w14:paraId="08950E2A">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6</w:t>
                  </w:r>
                  <w:r>
                    <w:rPr>
                      <w:rFonts w:hint="eastAsia" w:ascii="Times New Roman" w:hAnsi="Times New Roman" w:cs="Times New Roman"/>
                      <w:color w:val="auto"/>
                      <w:sz w:val="18"/>
                      <w:szCs w:val="18"/>
                      <w:lang w:val="en-US" w:eastAsia="zh-CN"/>
                    </w:rPr>
                    <w:t>9</w:t>
                  </w:r>
                  <w:r>
                    <w:rPr>
                      <w:rFonts w:hint="default" w:ascii="Times New Roman" w:hAnsi="Times New Roman" w:cs="Times New Roman"/>
                      <w:color w:val="auto"/>
                      <w:sz w:val="18"/>
                      <w:szCs w:val="18"/>
                      <w:lang w:val="en-US" w:eastAsia="zh-CN"/>
                    </w:rPr>
                    <w:t>.</w:t>
                  </w:r>
                  <w:r>
                    <w:rPr>
                      <w:rFonts w:hint="eastAsia" w:ascii="Times New Roman" w:hAnsi="Times New Roman" w:cs="Times New Roman"/>
                      <w:color w:val="auto"/>
                      <w:sz w:val="18"/>
                      <w:szCs w:val="18"/>
                      <w:lang w:val="en-US" w:eastAsia="zh-CN"/>
                    </w:rPr>
                    <w:t>25</w:t>
                  </w:r>
                </w:p>
              </w:tc>
              <w:tc>
                <w:tcPr>
                  <w:tcW w:w="372" w:type="pct"/>
                  <w:vMerge w:val="continue"/>
                  <w:shd w:val="clear" w:color="auto" w:fill="auto"/>
                  <w:vAlign w:val="center"/>
                </w:tcPr>
                <w:p w14:paraId="18368FCC">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p>
              </w:tc>
              <w:tc>
                <w:tcPr>
                  <w:tcW w:w="297" w:type="pct"/>
                  <w:shd w:val="clear" w:color="auto" w:fill="auto"/>
                  <w:vAlign w:val="center"/>
                </w:tcPr>
                <w:p w14:paraId="4B1A263F">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25</w:t>
                  </w:r>
                </w:p>
              </w:tc>
              <w:tc>
                <w:tcPr>
                  <w:tcW w:w="319" w:type="pct"/>
                  <w:shd w:val="clear" w:color="auto" w:fill="auto"/>
                  <w:vAlign w:val="center"/>
                </w:tcPr>
                <w:p w14:paraId="68B518E8">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cs="Times New Roman"/>
                      <w:color w:val="auto"/>
                      <w:sz w:val="18"/>
                      <w:szCs w:val="18"/>
                      <w:lang w:val="en-US" w:eastAsia="zh-CN"/>
                    </w:rPr>
                    <w:t>42.0</w:t>
                  </w:r>
                </w:p>
              </w:tc>
              <w:tc>
                <w:tcPr>
                  <w:tcW w:w="332" w:type="pct"/>
                  <w:vMerge w:val="continue"/>
                  <w:shd w:val="clear" w:color="auto" w:fill="auto"/>
                  <w:vAlign w:val="center"/>
                </w:tcPr>
                <w:p w14:paraId="40BA9E94">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p>
              </w:tc>
            </w:tr>
            <w:tr w14:paraId="0F64EF1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255" w:hRule="atLeast"/>
                <w:jc w:val="center"/>
              </w:trPr>
              <w:tc>
                <w:tcPr>
                  <w:tcW w:w="96" w:type="pct"/>
                  <w:shd w:val="clear" w:color="auto" w:fill="auto"/>
                  <w:vAlign w:val="center"/>
                </w:tcPr>
                <w:p w14:paraId="58011543">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color w:val="auto"/>
                      <w:sz w:val="18"/>
                      <w:szCs w:val="18"/>
                      <w:lang w:val="en-US" w:eastAsia="zh-CN"/>
                    </w:rPr>
                  </w:pPr>
                  <w:r>
                    <w:rPr>
                      <w:rFonts w:hint="eastAsia" w:cs="Times New Roman"/>
                      <w:color w:val="auto"/>
                      <w:sz w:val="18"/>
                      <w:szCs w:val="18"/>
                      <w:lang w:val="en-US" w:eastAsia="zh-CN"/>
                    </w:rPr>
                    <w:t>7</w:t>
                  </w:r>
                </w:p>
              </w:tc>
              <w:tc>
                <w:tcPr>
                  <w:tcW w:w="902" w:type="pct"/>
                  <w:shd w:val="clear" w:color="auto" w:fill="auto"/>
                  <w:vAlign w:val="center"/>
                </w:tcPr>
                <w:p w14:paraId="24089B3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eastAsia" w:ascii="Times New Roman" w:hAnsi="Times New Roman" w:cs="Times New Roman"/>
                      <w:color w:val="auto"/>
                      <w:sz w:val="18"/>
                      <w:szCs w:val="18"/>
                      <w:lang w:eastAsia="zh-CN"/>
                    </w:rPr>
                  </w:pPr>
                  <w:r>
                    <w:rPr>
                      <w:rFonts w:hint="default" w:ascii="Times New Roman" w:hAnsi="Times New Roman" w:cs="Times New Roman"/>
                      <w:color w:val="auto"/>
                      <w:sz w:val="18"/>
                      <w:szCs w:val="18"/>
                      <w:lang w:eastAsia="zh-CN"/>
                    </w:rPr>
                    <w:t>堵料锯槽</w:t>
                  </w:r>
                  <w:r>
                    <w:rPr>
                      <w:rFonts w:hint="eastAsia" w:ascii="Times New Roman" w:hAnsi="Times New Roman" w:cs="Times New Roman"/>
                      <w:color w:val="auto"/>
                      <w:sz w:val="18"/>
                      <w:szCs w:val="18"/>
                      <w:lang w:eastAsia="zh-CN"/>
                    </w:rPr>
                    <w:t>机</w:t>
                  </w:r>
                </w:p>
              </w:tc>
              <w:tc>
                <w:tcPr>
                  <w:tcW w:w="251" w:type="pct"/>
                  <w:shd w:val="clear" w:color="auto" w:fill="auto"/>
                  <w:vAlign w:val="center"/>
                </w:tcPr>
                <w:p w14:paraId="60668D4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rPr>
                      <w:rFonts w:hint="default" w:cs="Times New Roman"/>
                      <w:color w:val="auto"/>
                      <w:sz w:val="18"/>
                      <w:szCs w:val="18"/>
                      <w:lang w:val="en-US" w:eastAsia="zh-CN"/>
                    </w:rPr>
                  </w:pPr>
                  <w:r>
                    <w:rPr>
                      <w:rFonts w:hint="eastAsia" w:cs="Times New Roman"/>
                      <w:color w:val="auto"/>
                      <w:sz w:val="18"/>
                      <w:szCs w:val="18"/>
                      <w:lang w:val="en-US" w:eastAsia="zh-CN"/>
                    </w:rPr>
                    <w:t>1台</w:t>
                  </w:r>
                </w:p>
              </w:tc>
              <w:tc>
                <w:tcPr>
                  <w:tcW w:w="385" w:type="pct"/>
                  <w:shd w:val="clear" w:color="auto" w:fill="auto"/>
                  <w:vAlign w:val="center"/>
                </w:tcPr>
                <w:p w14:paraId="0D039A65">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rPr>
                    <w:t>7</w:t>
                  </w:r>
                  <w:r>
                    <w:rPr>
                      <w:rFonts w:hint="default" w:ascii="Times New Roman" w:hAnsi="Times New Roman" w:cs="Times New Roman"/>
                      <w:color w:val="auto"/>
                      <w:sz w:val="18"/>
                      <w:szCs w:val="18"/>
                      <w:lang w:val="en-US" w:eastAsia="zh-CN"/>
                    </w:rPr>
                    <w:t>5</w:t>
                  </w:r>
                  <w:r>
                    <w:rPr>
                      <w:rFonts w:hint="default" w:ascii="Times New Roman" w:hAnsi="Times New Roman" w:eastAsia="宋体" w:cs="Times New Roman"/>
                      <w:color w:val="auto"/>
                      <w:sz w:val="18"/>
                      <w:szCs w:val="18"/>
                    </w:rPr>
                    <w:t>~</w:t>
                  </w:r>
                  <w:r>
                    <w:rPr>
                      <w:rFonts w:hint="default" w:ascii="Times New Roman" w:hAnsi="Times New Roman" w:cs="Times New Roman"/>
                      <w:color w:val="auto"/>
                      <w:sz w:val="18"/>
                      <w:szCs w:val="18"/>
                      <w:lang w:val="en-US" w:eastAsia="zh-CN"/>
                    </w:rPr>
                    <w:t>85</w:t>
                  </w:r>
                </w:p>
              </w:tc>
              <w:tc>
                <w:tcPr>
                  <w:tcW w:w="468" w:type="pct"/>
                  <w:vMerge w:val="continue"/>
                  <w:shd w:val="clear" w:color="auto" w:fill="auto"/>
                  <w:vAlign w:val="center"/>
                </w:tcPr>
                <w:p w14:paraId="4856EDE4">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p>
              </w:tc>
              <w:tc>
                <w:tcPr>
                  <w:tcW w:w="217" w:type="pct"/>
                  <w:shd w:val="clear" w:color="auto" w:fill="auto"/>
                  <w:vAlign w:val="center"/>
                </w:tcPr>
                <w:p w14:paraId="670C5D01">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55</w:t>
                  </w:r>
                </w:p>
              </w:tc>
              <w:tc>
                <w:tcPr>
                  <w:tcW w:w="228" w:type="pct"/>
                  <w:shd w:val="clear" w:color="auto" w:fill="auto"/>
                  <w:vAlign w:val="center"/>
                </w:tcPr>
                <w:p w14:paraId="3D4747C8">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60</w:t>
                  </w:r>
                </w:p>
              </w:tc>
              <w:tc>
                <w:tcPr>
                  <w:tcW w:w="241" w:type="pct"/>
                  <w:shd w:val="clear" w:color="auto" w:fill="auto"/>
                  <w:vAlign w:val="center"/>
                </w:tcPr>
                <w:p w14:paraId="79AC8EAA">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1.</w:t>
                  </w:r>
                  <w:r>
                    <w:rPr>
                      <w:rFonts w:hint="default" w:ascii="Times New Roman" w:hAnsi="Times New Roman" w:cs="Times New Roman"/>
                      <w:color w:val="auto"/>
                      <w:sz w:val="18"/>
                      <w:szCs w:val="18"/>
                      <w:lang w:val="en-US" w:eastAsia="zh-CN"/>
                    </w:rPr>
                    <w:t>5</w:t>
                  </w:r>
                </w:p>
              </w:tc>
              <w:tc>
                <w:tcPr>
                  <w:tcW w:w="1034" w:type="dxa"/>
                  <w:shd w:val="clear" w:color="auto" w:fill="auto"/>
                  <w:vAlign w:val="center"/>
                </w:tcPr>
                <w:p w14:paraId="487E4CF6">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cs="Times New Roman"/>
                      <w:color w:val="auto"/>
                      <w:sz w:val="18"/>
                      <w:szCs w:val="18"/>
                      <w:lang w:val="en-US" w:eastAsia="zh-CN"/>
                    </w:rPr>
                    <w:t>南</w:t>
                  </w:r>
                  <w:r>
                    <w:rPr>
                      <w:rFonts w:hint="default" w:ascii="Times New Roman" w:hAnsi="Times New Roman" w:eastAsia="宋体" w:cs="Times New Roman"/>
                      <w:color w:val="auto"/>
                      <w:sz w:val="18"/>
                      <w:szCs w:val="18"/>
                      <w:lang w:val="en-US" w:eastAsia="zh-CN"/>
                    </w:rPr>
                    <w:t>10</w:t>
                  </w:r>
                </w:p>
              </w:tc>
              <w:tc>
                <w:tcPr>
                  <w:tcW w:w="1351" w:type="dxa"/>
                  <w:shd w:val="clear" w:color="auto" w:fill="auto"/>
                  <w:vAlign w:val="center"/>
                </w:tcPr>
                <w:p w14:paraId="0DB33278">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64.8</w:t>
                  </w:r>
                </w:p>
              </w:tc>
              <w:tc>
                <w:tcPr>
                  <w:tcW w:w="372" w:type="pct"/>
                  <w:vMerge w:val="continue"/>
                  <w:shd w:val="clear" w:color="auto" w:fill="auto"/>
                  <w:vAlign w:val="center"/>
                </w:tcPr>
                <w:p w14:paraId="7C8E5993">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p>
              </w:tc>
              <w:tc>
                <w:tcPr>
                  <w:tcW w:w="297" w:type="pct"/>
                  <w:shd w:val="clear" w:color="auto" w:fill="auto"/>
                  <w:vAlign w:val="center"/>
                </w:tcPr>
                <w:p w14:paraId="08170034">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25</w:t>
                  </w:r>
                </w:p>
              </w:tc>
              <w:tc>
                <w:tcPr>
                  <w:tcW w:w="319" w:type="pct"/>
                  <w:shd w:val="clear" w:color="auto" w:fill="auto"/>
                  <w:vAlign w:val="center"/>
                </w:tcPr>
                <w:p w14:paraId="66C1C10F">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36.5</w:t>
                  </w:r>
                </w:p>
              </w:tc>
              <w:tc>
                <w:tcPr>
                  <w:tcW w:w="332" w:type="pct"/>
                  <w:vMerge w:val="continue"/>
                  <w:shd w:val="clear" w:color="auto" w:fill="auto"/>
                  <w:vAlign w:val="center"/>
                </w:tcPr>
                <w:p w14:paraId="6D1F5C62">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p>
              </w:tc>
            </w:tr>
          </w:tbl>
          <w:p w14:paraId="449407A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left"/>
              <w:textAlignment w:val="auto"/>
              <w:rPr>
                <w:rFonts w:hint="default" w:ascii="Times New Roman" w:hAnsi="Times New Roman" w:eastAsia="宋体" w:cs="Times New Roman"/>
                <w:b/>
                <w:bCs/>
                <w:color w:val="auto"/>
                <w:sz w:val="18"/>
                <w:szCs w:val="18"/>
                <w:lang w:val="en-US" w:eastAsia="zh-CN"/>
              </w:rPr>
            </w:pPr>
            <w:r>
              <w:rPr>
                <w:rFonts w:hint="default" w:ascii="Times New Roman" w:hAnsi="Times New Roman" w:eastAsia="宋体" w:cs="Times New Roman"/>
                <w:color w:val="auto"/>
                <w:sz w:val="18"/>
                <w:szCs w:val="18"/>
              </w:rPr>
              <w:t>注：以</w:t>
            </w:r>
            <w:r>
              <w:rPr>
                <w:rFonts w:hint="default" w:ascii="Times New Roman" w:hAnsi="Times New Roman" w:eastAsia="宋体" w:cs="Times New Roman"/>
                <w:color w:val="auto"/>
                <w:sz w:val="18"/>
                <w:szCs w:val="18"/>
                <w:lang w:val="en-US" w:eastAsia="zh-CN"/>
              </w:rPr>
              <w:t>厂区</w:t>
            </w:r>
            <w:r>
              <w:rPr>
                <w:rFonts w:hint="default" w:ascii="Times New Roman" w:hAnsi="Times New Roman" w:eastAsia="宋体" w:cs="Times New Roman"/>
                <w:color w:val="auto"/>
                <w:sz w:val="18"/>
                <w:szCs w:val="18"/>
              </w:rPr>
              <w:t>西南角为（0，0，0）点</w:t>
            </w:r>
            <w:r>
              <w:rPr>
                <w:rFonts w:hint="default" w:ascii="Times New Roman" w:hAnsi="Times New Roman" w:eastAsia="宋体" w:cs="Times New Roman"/>
                <w:color w:val="auto"/>
                <w:sz w:val="18"/>
                <w:szCs w:val="18"/>
                <w:lang w:eastAsia="zh-CN"/>
              </w:rPr>
              <w:t>。</w:t>
            </w:r>
          </w:p>
          <w:p w14:paraId="09B68E7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rPr>
            </w:pPr>
            <w:r>
              <w:rPr>
                <w:rFonts w:hint="default" w:ascii="Times New Roman" w:hAnsi="Times New Roman" w:eastAsia="宋体" w:cs="Times New Roman"/>
                <w:b/>
                <w:snapToGrid w:val="0"/>
                <w:color w:val="auto"/>
                <w:kern w:val="0"/>
                <w:sz w:val="24"/>
              </w:rPr>
              <w:t xml:space="preserve">表4.3-2  </w:t>
            </w:r>
            <w:r>
              <w:rPr>
                <w:rFonts w:hint="eastAsia" w:cs="Times New Roman"/>
                <w:b/>
                <w:snapToGrid w:val="0"/>
                <w:color w:val="auto"/>
                <w:kern w:val="0"/>
                <w:sz w:val="24"/>
                <w:lang w:val="en-US" w:eastAsia="zh-CN"/>
              </w:rPr>
              <w:t>拟建</w:t>
            </w:r>
            <w:r>
              <w:rPr>
                <w:rFonts w:hint="default" w:ascii="Times New Roman" w:hAnsi="Times New Roman" w:eastAsia="宋体" w:cs="Times New Roman"/>
                <w:b/>
                <w:snapToGrid w:val="0"/>
                <w:color w:val="auto"/>
                <w:kern w:val="0"/>
                <w:sz w:val="24"/>
                <w:lang w:val="en-US" w:eastAsia="zh-CN"/>
              </w:rPr>
              <w:t>项目新增</w:t>
            </w:r>
            <w:r>
              <w:rPr>
                <w:rFonts w:hint="default" w:ascii="Times New Roman" w:hAnsi="Times New Roman" w:eastAsia="宋体" w:cs="Times New Roman"/>
                <w:b/>
                <w:snapToGrid w:val="0"/>
                <w:color w:val="auto"/>
                <w:kern w:val="0"/>
                <w:sz w:val="24"/>
              </w:rPr>
              <w:t>噪声源强调查清单（室外声源）</w:t>
            </w:r>
          </w:p>
          <w:tbl>
            <w:tblPr>
              <w:tblStyle w:val="27"/>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28" w:type="dxa"/>
                <w:bottom w:w="0" w:type="dxa"/>
                <w:right w:w="28" w:type="dxa"/>
              </w:tblCellMar>
            </w:tblPr>
            <w:tblGrid>
              <w:gridCol w:w="619"/>
              <w:gridCol w:w="1967"/>
              <w:gridCol w:w="1130"/>
              <w:gridCol w:w="1222"/>
              <w:gridCol w:w="877"/>
              <w:gridCol w:w="702"/>
              <w:gridCol w:w="1700"/>
              <w:gridCol w:w="1461"/>
              <w:gridCol w:w="2454"/>
              <w:gridCol w:w="1313"/>
            </w:tblGrid>
            <w:tr w14:paraId="58A96C3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30" w:type="pct"/>
                  <w:vMerge w:val="restart"/>
                  <w:vAlign w:val="center"/>
                </w:tcPr>
                <w:p w14:paraId="18DDB354">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序号</w:t>
                  </w:r>
                </w:p>
              </w:tc>
              <w:tc>
                <w:tcPr>
                  <w:tcW w:w="731" w:type="pct"/>
                  <w:vMerge w:val="restart"/>
                  <w:vAlign w:val="center"/>
                </w:tcPr>
                <w:p w14:paraId="4CA4E967">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声源名称</w:t>
                  </w:r>
                </w:p>
              </w:tc>
              <w:tc>
                <w:tcPr>
                  <w:tcW w:w="420" w:type="pct"/>
                  <w:vMerge w:val="restart"/>
                  <w:vAlign w:val="center"/>
                </w:tcPr>
                <w:p w14:paraId="6A3315D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lang w:eastAsia="zh-CN"/>
                    </w:rPr>
                  </w:pPr>
                  <w:r>
                    <w:rPr>
                      <w:rFonts w:hint="default" w:ascii="Times New Roman" w:hAnsi="Times New Roman" w:eastAsia="宋体" w:cs="Times New Roman"/>
                      <w:b/>
                      <w:color w:val="auto"/>
                      <w:sz w:val="18"/>
                      <w:szCs w:val="18"/>
                      <w:lang w:val="en-US" w:eastAsia="zh-CN"/>
                    </w:rPr>
                    <w:t>数量（台/套）</w:t>
                  </w:r>
                </w:p>
              </w:tc>
              <w:tc>
                <w:tcPr>
                  <w:tcW w:w="1041" w:type="pct"/>
                  <w:gridSpan w:val="3"/>
                  <w:vAlign w:val="center"/>
                </w:tcPr>
                <w:p w14:paraId="2A9F457C">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lang w:val="en-US" w:eastAsia="zh-CN"/>
                    </w:rPr>
                  </w:pPr>
                  <w:r>
                    <w:rPr>
                      <w:rFonts w:hint="default" w:ascii="Times New Roman" w:hAnsi="Times New Roman" w:eastAsia="宋体" w:cs="Times New Roman"/>
                      <w:b/>
                      <w:color w:val="auto"/>
                      <w:sz w:val="18"/>
                      <w:szCs w:val="18"/>
                    </w:rPr>
                    <w:t>空间相对位置/m</w:t>
                  </w:r>
                  <w:r>
                    <w:rPr>
                      <w:rFonts w:hint="default" w:ascii="Times New Roman" w:hAnsi="Times New Roman" w:eastAsia="宋体" w:cs="Times New Roman"/>
                      <w:b/>
                      <w:color w:val="auto"/>
                      <w:sz w:val="18"/>
                      <w:szCs w:val="18"/>
                      <w:lang w:val="en-US" w:eastAsia="zh-CN"/>
                    </w:rPr>
                    <w:t>*</w:t>
                  </w:r>
                </w:p>
              </w:tc>
              <w:tc>
                <w:tcPr>
                  <w:tcW w:w="1175" w:type="pct"/>
                  <w:gridSpan w:val="2"/>
                  <w:vAlign w:val="center"/>
                </w:tcPr>
                <w:p w14:paraId="22443ED0">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声源源强</w:t>
                  </w:r>
                </w:p>
              </w:tc>
              <w:tc>
                <w:tcPr>
                  <w:tcW w:w="912" w:type="pct"/>
                  <w:vMerge w:val="restart"/>
                  <w:vAlign w:val="center"/>
                </w:tcPr>
                <w:p w14:paraId="14DF67C6">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声源控制措施</w:t>
                  </w:r>
                </w:p>
              </w:tc>
              <w:tc>
                <w:tcPr>
                  <w:tcW w:w="488" w:type="pct"/>
                  <w:vMerge w:val="restart"/>
                  <w:vAlign w:val="center"/>
                </w:tcPr>
                <w:p w14:paraId="18478F3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运行时段</w:t>
                  </w:r>
                </w:p>
              </w:tc>
            </w:tr>
            <w:tr w14:paraId="25CDA56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30" w:type="pct"/>
                  <w:vMerge w:val="continue"/>
                  <w:vAlign w:val="center"/>
                </w:tcPr>
                <w:p w14:paraId="4A9ED26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p>
              </w:tc>
              <w:tc>
                <w:tcPr>
                  <w:tcW w:w="731" w:type="pct"/>
                  <w:vMerge w:val="continue"/>
                  <w:vAlign w:val="center"/>
                </w:tcPr>
                <w:p w14:paraId="78129FF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p>
              </w:tc>
              <w:tc>
                <w:tcPr>
                  <w:tcW w:w="420" w:type="pct"/>
                  <w:vMerge w:val="continue"/>
                  <w:vAlign w:val="center"/>
                </w:tcPr>
                <w:p w14:paraId="38A7792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p>
              </w:tc>
              <w:tc>
                <w:tcPr>
                  <w:tcW w:w="454" w:type="pct"/>
                  <w:vAlign w:val="center"/>
                </w:tcPr>
                <w:p w14:paraId="25003AD9">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X</w:t>
                  </w:r>
                </w:p>
              </w:tc>
              <w:tc>
                <w:tcPr>
                  <w:tcW w:w="326" w:type="pct"/>
                  <w:vAlign w:val="center"/>
                </w:tcPr>
                <w:p w14:paraId="5711883D">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Y</w:t>
                  </w:r>
                </w:p>
              </w:tc>
              <w:tc>
                <w:tcPr>
                  <w:tcW w:w="260" w:type="pct"/>
                  <w:vAlign w:val="center"/>
                </w:tcPr>
                <w:p w14:paraId="2CF3A20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Z</w:t>
                  </w:r>
                </w:p>
              </w:tc>
              <w:tc>
                <w:tcPr>
                  <w:tcW w:w="632" w:type="pct"/>
                  <w:vAlign w:val="center"/>
                </w:tcPr>
                <w:p w14:paraId="2F10E4B1">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声压级/dB（A）</w:t>
                  </w:r>
                </w:p>
              </w:tc>
              <w:tc>
                <w:tcPr>
                  <w:tcW w:w="543" w:type="pct"/>
                  <w:vAlign w:val="center"/>
                </w:tcPr>
                <w:p w14:paraId="79BD427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距声源距离/m</w:t>
                  </w:r>
                </w:p>
              </w:tc>
              <w:tc>
                <w:tcPr>
                  <w:tcW w:w="912" w:type="pct"/>
                  <w:vMerge w:val="continue"/>
                  <w:vAlign w:val="center"/>
                </w:tcPr>
                <w:p w14:paraId="4CE574C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p>
              </w:tc>
              <w:tc>
                <w:tcPr>
                  <w:tcW w:w="488" w:type="pct"/>
                  <w:vMerge w:val="continue"/>
                  <w:vAlign w:val="center"/>
                </w:tcPr>
                <w:p w14:paraId="448EFC1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p>
              </w:tc>
            </w:tr>
            <w:tr w14:paraId="1FB4D9D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212" w:hRule="atLeast"/>
                <w:jc w:val="center"/>
              </w:trPr>
              <w:tc>
                <w:tcPr>
                  <w:tcW w:w="230" w:type="pct"/>
                  <w:vAlign w:val="center"/>
                </w:tcPr>
                <w:p w14:paraId="44EA2765">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1</w:t>
                  </w:r>
                </w:p>
              </w:tc>
              <w:tc>
                <w:tcPr>
                  <w:tcW w:w="731" w:type="pct"/>
                  <w:vAlign w:val="center"/>
                </w:tcPr>
                <w:p w14:paraId="7FB3C469">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风机（DA00</w:t>
                  </w:r>
                  <w:r>
                    <w:rPr>
                      <w:rFonts w:hint="default" w:ascii="Times New Roman" w:hAnsi="Times New Roman" w:eastAsia="宋体" w:cs="Times New Roman"/>
                      <w:color w:val="auto"/>
                      <w:sz w:val="18"/>
                      <w:szCs w:val="18"/>
                      <w:lang w:val="en-US" w:eastAsia="zh-CN"/>
                    </w:rPr>
                    <w:t>1</w:t>
                  </w:r>
                  <w:r>
                    <w:rPr>
                      <w:rFonts w:hint="default" w:ascii="Times New Roman" w:hAnsi="Times New Roman" w:eastAsia="宋体" w:cs="Times New Roman"/>
                      <w:color w:val="auto"/>
                      <w:sz w:val="18"/>
                      <w:szCs w:val="18"/>
                    </w:rPr>
                    <w:t>）</w:t>
                  </w:r>
                </w:p>
              </w:tc>
              <w:tc>
                <w:tcPr>
                  <w:tcW w:w="420" w:type="pct"/>
                  <w:vAlign w:val="center"/>
                </w:tcPr>
                <w:p w14:paraId="4117D118">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lang w:val="en-US" w:eastAsia="zh-CN"/>
                    </w:rPr>
                    <w:t>1</w:t>
                  </w:r>
                </w:p>
              </w:tc>
              <w:tc>
                <w:tcPr>
                  <w:tcW w:w="454" w:type="pct"/>
                  <w:vAlign w:val="center"/>
                </w:tcPr>
                <w:p w14:paraId="2D81F142">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2</w:t>
                  </w:r>
                  <w:r>
                    <w:rPr>
                      <w:rFonts w:hint="eastAsia" w:cs="Times New Roman"/>
                      <w:color w:val="auto"/>
                      <w:sz w:val="18"/>
                      <w:szCs w:val="18"/>
                      <w:lang w:val="en-US" w:eastAsia="zh-CN"/>
                    </w:rPr>
                    <w:t>65</w:t>
                  </w:r>
                </w:p>
              </w:tc>
              <w:tc>
                <w:tcPr>
                  <w:tcW w:w="326" w:type="pct"/>
                  <w:vAlign w:val="center"/>
                </w:tcPr>
                <w:p w14:paraId="06A795F2">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2</w:t>
                  </w:r>
                  <w:r>
                    <w:rPr>
                      <w:rFonts w:hint="eastAsia" w:cs="Times New Roman"/>
                      <w:color w:val="auto"/>
                      <w:sz w:val="18"/>
                      <w:szCs w:val="18"/>
                      <w:lang w:val="en-US" w:eastAsia="zh-CN"/>
                    </w:rPr>
                    <w:t>0</w:t>
                  </w:r>
                </w:p>
              </w:tc>
              <w:tc>
                <w:tcPr>
                  <w:tcW w:w="260" w:type="pct"/>
                  <w:vAlign w:val="center"/>
                </w:tcPr>
                <w:p w14:paraId="33D23A2E">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1</w:t>
                  </w:r>
                </w:p>
              </w:tc>
              <w:tc>
                <w:tcPr>
                  <w:tcW w:w="632" w:type="pct"/>
                  <w:vAlign w:val="center"/>
                </w:tcPr>
                <w:p w14:paraId="559F732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rPr>
                    <w:t>75~</w:t>
                  </w:r>
                  <w:r>
                    <w:rPr>
                      <w:rFonts w:hint="default" w:ascii="Times New Roman" w:hAnsi="Times New Roman" w:eastAsia="宋体" w:cs="Times New Roman"/>
                      <w:color w:val="auto"/>
                      <w:sz w:val="18"/>
                      <w:szCs w:val="18"/>
                      <w:lang w:val="en-US" w:eastAsia="zh-CN"/>
                    </w:rPr>
                    <w:t>90</w:t>
                  </w:r>
                </w:p>
              </w:tc>
              <w:tc>
                <w:tcPr>
                  <w:tcW w:w="543" w:type="pct"/>
                  <w:vAlign w:val="center"/>
                </w:tcPr>
                <w:p w14:paraId="66454327">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1</w:t>
                  </w:r>
                </w:p>
              </w:tc>
              <w:tc>
                <w:tcPr>
                  <w:tcW w:w="912" w:type="pct"/>
                  <w:vAlign w:val="center"/>
                </w:tcPr>
                <w:p w14:paraId="0CF0290A">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基础减振，柔性连接，消声器</w:t>
                  </w:r>
                </w:p>
              </w:tc>
              <w:tc>
                <w:tcPr>
                  <w:tcW w:w="488" w:type="pct"/>
                  <w:vAlign w:val="center"/>
                </w:tcPr>
                <w:p w14:paraId="28006ECD">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lang w:val="en-US" w:eastAsia="zh-CN"/>
                    </w:rPr>
                    <w:t>9:00-17:00</w:t>
                  </w:r>
                </w:p>
              </w:tc>
            </w:tr>
          </w:tbl>
          <w:p w14:paraId="3FD3B195">
            <w:pPr>
              <w:keepNext w:val="0"/>
              <w:keepLines w:val="0"/>
              <w:widowControl/>
              <w:suppressLineNumbers w:val="0"/>
              <w:adjustRightInd w:val="0"/>
              <w:snapToGrid w:val="0"/>
              <w:spacing w:before="0" w:beforeAutospacing="0" w:after="0" w:afterAutospacing="0" w:line="360" w:lineRule="auto"/>
              <w:ind w:left="0" w:right="0"/>
              <w:jc w:val="left"/>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注：以</w:t>
            </w:r>
            <w:r>
              <w:rPr>
                <w:rFonts w:hint="default" w:ascii="Times New Roman" w:hAnsi="Times New Roman" w:eastAsia="宋体" w:cs="Times New Roman"/>
                <w:color w:val="auto"/>
                <w:sz w:val="21"/>
                <w:szCs w:val="21"/>
                <w:lang w:val="en-US" w:eastAsia="zh-CN"/>
              </w:rPr>
              <w:t>厂区</w:t>
            </w:r>
            <w:r>
              <w:rPr>
                <w:rFonts w:hint="default" w:ascii="Times New Roman" w:hAnsi="Times New Roman" w:eastAsia="宋体" w:cs="Times New Roman"/>
                <w:color w:val="auto"/>
                <w:sz w:val="21"/>
                <w:szCs w:val="21"/>
              </w:rPr>
              <w:t>西南角为（0，0，0）点。</w:t>
            </w:r>
          </w:p>
          <w:p w14:paraId="32B28496">
            <w:pPr>
              <w:keepNext w:val="0"/>
              <w:keepLines w:val="0"/>
              <w:widowControl/>
              <w:numPr>
                <w:ilvl w:val="1"/>
                <w:numId w:val="10"/>
              </w:numPr>
              <w:suppressLineNumbers w:val="0"/>
              <w:adjustRightInd w:val="0"/>
              <w:snapToGrid w:val="0"/>
              <w:spacing w:before="0" w:beforeAutospacing="0" w:after="0" w:afterAutospacing="0" w:line="360" w:lineRule="auto"/>
              <w:ind w:left="0" w:leftChars="0" w:right="0" w:firstLine="482" w:firstLineChars="200"/>
              <w:jc w:val="left"/>
              <w:rPr>
                <w:rFonts w:hint="default" w:ascii="Times New Roman" w:hAnsi="Times New Roman" w:eastAsia="宋体" w:cs="Times New Roman"/>
                <w:b/>
                <w:bCs/>
                <w:color w:val="auto"/>
              </w:rPr>
            </w:pPr>
            <w:r>
              <w:rPr>
                <w:rFonts w:hint="default" w:ascii="Times New Roman" w:hAnsi="Times New Roman" w:eastAsia="宋体" w:cs="Times New Roman"/>
                <w:b/>
                <w:bCs/>
                <w:color w:val="auto"/>
              </w:rPr>
              <w:t>噪声预测</w:t>
            </w:r>
          </w:p>
          <w:p w14:paraId="2A2B6924">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left"/>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rPr>
              <w:t>根据项目建设内容及《环境影响评价技术导则 声环境》（HJ2.4-2021）的要求，项目采用的模型为《环境影响评价技术导则声环境》（HJ2.4-2021）附录A（规范性附录）户外声传播的衰减和附录B（规范性附录）中“B.1工业噪声预测计算模型”。</w:t>
            </w:r>
            <w:r>
              <w:rPr>
                <w:rFonts w:hint="default" w:ascii="Times New Roman" w:hAnsi="Times New Roman" w:eastAsia="宋体" w:cs="Times New Roman"/>
                <w:color w:val="auto"/>
                <w:lang w:val="en-US" w:eastAsia="zh-CN"/>
              </w:rPr>
              <w:t>建设项目</w:t>
            </w:r>
            <w:r>
              <w:rPr>
                <w:rFonts w:hint="default" w:ascii="Times New Roman" w:hAnsi="Times New Roman" w:eastAsia="宋体" w:cs="Times New Roman"/>
                <w:color w:val="auto"/>
              </w:rPr>
              <w:t>主要设备噪声源强见表4.3-1、表4.3-2，厂界噪声预测结果见表4.3-</w:t>
            </w:r>
            <w:r>
              <w:rPr>
                <w:rFonts w:hint="eastAsia" w:cs="Times New Roman"/>
                <w:color w:val="auto"/>
                <w:lang w:val="en-US" w:eastAsia="zh-CN"/>
              </w:rPr>
              <w:t>3</w:t>
            </w:r>
            <w:r>
              <w:rPr>
                <w:rFonts w:hint="default" w:ascii="Times New Roman" w:hAnsi="Times New Roman" w:eastAsia="宋体" w:cs="Times New Roman"/>
                <w:color w:val="auto"/>
              </w:rPr>
              <w:t>。</w:t>
            </w:r>
          </w:p>
          <w:p w14:paraId="5C42A89F">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kern w:val="0"/>
                <w:sz w:val="24"/>
              </w:rPr>
            </w:pPr>
            <w:bookmarkStart w:id="14" w:name="OLE_LINK9"/>
            <w:bookmarkStart w:id="15" w:name="_Hlk364239474"/>
            <w:r>
              <w:rPr>
                <w:rFonts w:hint="default" w:ascii="Times New Roman" w:hAnsi="Times New Roman" w:eastAsia="宋体" w:cs="Times New Roman"/>
                <w:b/>
                <w:color w:val="auto"/>
                <w:kern w:val="0"/>
                <w:sz w:val="24"/>
              </w:rPr>
              <w:t>表4.3-</w:t>
            </w:r>
            <w:r>
              <w:rPr>
                <w:rFonts w:hint="eastAsia" w:cs="Times New Roman"/>
                <w:b/>
                <w:color w:val="auto"/>
                <w:kern w:val="0"/>
                <w:sz w:val="24"/>
                <w:lang w:val="en-US" w:eastAsia="zh-CN"/>
              </w:rPr>
              <w:t>3</w:t>
            </w:r>
            <w:r>
              <w:rPr>
                <w:rFonts w:hint="default" w:ascii="Times New Roman" w:hAnsi="Times New Roman" w:eastAsia="宋体" w:cs="Times New Roman"/>
                <w:b/>
                <w:color w:val="auto"/>
                <w:kern w:val="0"/>
                <w:sz w:val="24"/>
              </w:rPr>
              <w:t xml:space="preserve">  厂界</w:t>
            </w:r>
            <w:r>
              <w:rPr>
                <w:rFonts w:hint="default" w:ascii="Times New Roman" w:hAnsi="Times New Roman" w:eastAsia="宋体" w:cs="Times New Roman"/>
                <w:b/>
                <w:color w:val="auto"/>
                <w:spacing w:val="-3"/>
                <w:kern w:val="0"/>
                <w:sz w:val="24"/>
              </w:rPr>
              <w:t>噪</w:t>
            </w:r>
            <w:r>
              <w:rPr>
                <w:rFonts w:hint="default" w:ascii="Times New Roman" w:hAnsi="Times New Roman" w:eastAsia="宋体" w:cs="Times New Roman"/>
                <w:b/>
                <w:color w:val="auto"/>
                <w:kern w:val="0"/>
                <w:sz w:val="24"/>
              </w:rPr>
              <w:t>声</w:t>
            </w:r>
            <w:r>
              <w:rPr>
                <w:rFonts w:hint="default" w:ascii="Times New Roman" w:hAnsi="Times New Roman" w:eastAsia="宋体" w:cs="Times New Roman"/>
                <w:b/>
                <w:color w:val="auto"/>
                <w:spacing w:val="-3"/>
                <w:kern w:val="0"/>
                <w:sz w:val="24"/>
              </w:rPr>
              <w:t>预</w:t>
            </w:r>
            <w:r>
              <w:rPr>
                <w:rFonts w:hint="default" w:ascii="Times New Roman" w:hAnsi="Times New Roman" w:eastAsia="宋体" w:cs="Times New Roman"/>
                <w:b/>
                <w:color w:val="auto"/>
                <w:kern w:val="0"/>
                <w:sz w:val="24"/>
              </w:rPr>
              <w:t>测</w:t>
            </w:r>
            <w:r>
              <w:rPr>
                <w:rFonts w:hint="default" w:ascii="Times New Roman" w:hAnsi="Times New Roman" w:eastAsia="宋体" w:cs="Times New Roman"/>
                <w:b/>
                <w:color w:val="auto"/>
                <w:spacing w:val="-3"/>
                <w:kern w:val="0"/>
                <w:sz w:val="24"/>
              </w:rPr>
              <w:t>结</w:t>
            </w:r>
            <w:r>
              <w:rPr>
                <w:rFonts w:hint="default" w:ascii="Times New Roman" w:hAnsi="Times New Roman" w:eastAsia="宋体" w:cs="Times New Roman"/>
                <w:b/>
                <w:color w:val="auto"/>
                <w:kern w:val="0"/>
                <w:sz w:val="24"/>
              </w:rPr>
              <w:t>果</w:t>
            </w:r>
            <w:r>
              <w:rPr>
                <w:rFonts w:hint="default" w:ascii="Times New Roman" w:hAnsi="Times New Roman" w:eastAsia="宋体" w:cs="Times New Roman"/>
                <w:b/>
                <w:color w:val="auto"/>
                <w:spacing w:val="-3"/>
                <w:kern w:val="0"/>
                <w:sz w:val="24"/>
              </w:rPr>
              <w:t>与</w:t>
            </w:r>
            <w:r>
              <w:rPr>
                <w:rFonts w:hint="default" w:ascii="Times New Roman" w:hAnsi="Times New Roman" w:eastAsia="宋体" w:cs="Times New Roman"/>
                <w:b/>
                <w:color w:val="auto"/>
                <w:kern w:val="0"/>
                <w:sz w:val="24"/>
              </w:rPr>
              <w:t>达标</w:t>
            </w:r>
            <w:r>
              <w:rPr>
                <w:rFonts w:hint="default" w:ascii="Times New Roman" w:hAnsi="Times New Roman" w:eastAsia="宋体" w:cs="Times New Roman"/>
                <w:b/>
                <w:color w:val="auto"/>
                <w:spacing w:val="-3"/>
                <w:kern w:val="0"/>
                <w:sz w:val="24"/>
              </w:rPr>
              <w:t>分</w:t>
            </w:r>
            <w:r>
              <w:rPr>
                <w:rFonts w:hint="default" w:ascii="Times New Roman" w:hAnsi="Times New Roman" w:eastAsia="宋体" w:cs="Times New Roman"/>
                <w:b/>
                <w:color w:val="auto"/>
                <w:kern w:val="0"/>
                <w:sz w:val="24"/>
              </w:rPr>
              <w:t>析表</w:t>
            </w:r>
          </w:p>
          <w:tbl>
            <w:tblPr>
              <w:tblStyle w:val="28"/>
              <w:tblW w:w="4998"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681"/>
              <w:gridCol w:w="960"/>
              <w:gridCol w:w="1213"/>
              <w:gridCol w:w="1358"/>
              <w:gridCol w:w="1603"/>
              <w:gridCol w:w="2550"/>
              <w:gridCol w:w="2405"/>
              <w:gridCol w:w="1670"/>
            </w:tblGrid>
            <w:tr w14:paraId="23E468F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9" w:hRule="atLeast"/>
              </w:trPr>
              <w:tc>
                <w:tcPr>
                  <w:tcW w:w="625" w:type="pct"/>
                  <w:vMerge w:val="restart"/>
                  <w:vAlign w:val="center"/>
                </w:tcPr>
                <w:p w14:paraId="48D50784">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预测方位</w:t>
                  </w:r>
                  <w:r>
                    <w:rPr>
                      <w:rFonts w:hint="default" w:ascii="Times New Roman" w:hAnsi="Times New Roman" w:eastAsia="宋体" w:cs="Times New Roman"/>
                      <w:b/>
                      <w:color w:val="auto"/>
                      <w:sz w:val="18"/>
                      <w:szCs w:val="18"/>
                      <w:vertAlign w:val="superscript"/>
                    </w:rPr>
                    <w:t>①</w:t>
                  </w:r>
                </w:p>
              </w:tc>
              <w:tc>
                <w:tcPr>
                  <w:tcW w:w="1313" w:type="pct"/>
                  <w:gridSpan w:val="3"/>
                  <w:vAlign w:val="center"/>
                </w:tcPr>
                <w:p w14:paraId="4D57E10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空间相对位置/m</w:t>
                  </w:r>
                </w:p>
              </w:tc>
              <w:tc>
                <w:tcPr>
                  <w:tcW w:w="596" w:type="pct"/>
                  <w:vMerge w:val="restart"/>
                  <w:vAlign w:val="center"/>
                </w:tcPr>
                <w:p w14:paraId="0B0E319B">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时段</w:t>
                  </w:r>
                </w:p>
              </w:tc>
              <w:tc>
                <w:tcPr>
                  <w:tcW w:w="948" w:type="pct"/>
                  <w:vMerge w:val="restart"/>
                  <w:vAlign w:val="center"/>
                </w:tcPr>
                <w:p w14:paraId="5A9600E0">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eastAsia" w:cs="Times New Roman"/>
                      <w:b/>
                      <w:color w:val="auto"/>
                      <w:sz w:val="18"/>
                      <w:szCs w:val="18"/>
                      <w:lang w:eastAsia="zh-CN"/>
                    </w:rPr>
                    <w:t>贡献</w:t>
                  </w:r>
                  <w:r>
                    <w:rPr>
                      <w:rFonts w:hint="default" w:ascii="Times New Roman" w:hAnsi="Times New Roman" w:eastAsia="宋体" w:cs="Times New Roman"/>
                      <w:b/>
                      <w:color w:val="auto"/>
                      <w:sz w:val="18"/>
                      <w:szCs w:val="18"/>
                    </w:rPr>
                    <w:t>值（dB（A））</w:t>
                  </w:r>
                </w:p>
              </w:tc>
              <w:tc>
                <w:tcPr>
                  <w:tcW w:w="894" w:type="pct"/>
                  <w:vMerge w:val="restart"/>
                  <w:vAlign w:val="center"/>
                </w:tcPr>
                <w:p w14:paraId="262B884A">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标准限值（dB（A））</w:t>
                  </w:r>
                </w:p>
              </w:tc>
              <w:tc>
                <w:tcPr>
                  <w:tcW w:w="621" w:type="pct"/>
                  <w:vMerge w:val="restart"/>
                  <w:vAlign w:val="center"/>
                </w:tcPr>
                <w:p w14:paraId="3C416DCD">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达标情况</w:t>
                  </w:r>
                </w:p>
              </w:tc>
            </w:tr>
            <w:tr w14:paraId="63534F2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625" w:type="pct"/>
                  <w:vMerge w:val="continue"/>
                  <w:vAlign w:val="center"/>
                </w:tcPr>
                <w:p w14:paraId="6006C32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p>
              </w:tc>
              <w:tc>
                <w:tcPr>
                  <w:tcW w:w="357" w:type="pct"/>
                  <w:vAlign w:val="center"/>
                </w:tcPr>
                <w:p w14:paraId="48542E49">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X</w:t>
                  </w:r>
                </w:p>
              </w:tc>
              <w:tc>
                <w:tcPr>
                  <w:tcW w:w="451" w:type="pct"/>
                  <w:vAlign w:val="center"/>
                </w:tcPr>
                <w:p w14:paraId="2847B49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Y</w:t>
                  </w:r>
                </w:p>
              </w:tc>
              <w:tc>
                <w:tcPr>
                  <w:tcW w:w="504" w:type="pct"/>
                  <w:vAlign w:val="center"/>
                </w:tcPr>
                <w:p w14:paraId="406ED605">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Z</w:t>
                  </w:r>
                </w:p>
              </w:tc>
              <w:tc>
                <w:tcPr>
                  <w:tcW w:w="596" w:type="pct"/>
                  <w:vMerge w:val="continue"/>
                  <w:vAlign w:val="center"/>
                </w:tcPr>
                <w:p w14:paraId="61909B8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p>
              </w:tc>
              <w:tc>
                <w:tcPr>
                  <w:tcW w:w="948" w:type="pct"/>
                  <w:vMerge w:val="continue"/>
                  <w:vAlign w:val="center"/>
                </w:tcPr>
                <w:p w14:paraId="219CFF6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p>
              </w:tc>
              <w:tc>
                <w:tcPr>
                  <w:tcW w:w="894" w:type="pct"/>
                  <w:vMerge w:val="continue"/>
                  <w:vAlign w:val="center"/>
                </w:tcPr>
                <w:p w14:paraId="22E879A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p>
              </w:tc>
              <w:tc>
                <w:tcPr>
                  <w:tcW w:w="621" w:type="pct"/>
                  <w:vMerge w:val="continue"/>
                  <w:vAlign w:val="center"/>
                </w:tcPr>
                <w:p w14:paraId="273CCEB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p>
              </w:tc>
            </w:tr>
            <w:tr w14:paraId="4D05258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93" w:hRule="atLeast"/>
              </w:trPr>
              <w:tc>
                <w:tcPr>
                  <w:tcW w:w="625" w:type="pct"/>
                  <w:vAlign w:val="center"/>
                </w:tcPr>
                <w:p w14:paraId="47D2AEC9">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N1厂界东</w:t>
                  </w:r>
                </w:p>
              </w:tc>
              <w:tc>
                <w:tcPr>
                  <w:tcW w:w="357" w:type="pct"/>
                  <w:vAlign w:val="center"/>
                </w:tcPr>
                <w:p w14:paraId="0C714986">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270</w:t>
                  </w:r>
                </w:p>
              </w:tc>
              <w:tc>
                <w:tcPr>
                  <w:tcW w:w="451" w:type="pct"/>
                  <w:vAlign w:val="center"/>
                </w:tcPr>
                <w:p w14:paraId="6CE345BC">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75</w:t>
                  </w:r>
                </w:p>
              </w:tc>
              <w:tc>
                <w:tcPr>
                  <w:tcW w:w="504" w:type="pct"/>
                  <w:vAlign w:val="center"/>
                </w:tcPr>
                <w:p w14:paraId="465EB5CA">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1.5</w:t>
                  </w:r>
                </w:p>
              </w:tc>
              <w:tc>
                <w:tcPr>
                  <w:tcW w:w="596" w:type="pct"/>
                  <w:vAlign w:val="center"/>
                </w:tcPr>
                <w:p w14:paraId="623B78DA">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昼间</w:t>
                  </w:r>
                </w:p>
              </w:tc>
              <w:tc>
                <w:tcPr>
                  <w:tcW w:w="948" w:type="pct"/>
                  <w:vAlign w:val="center"/>
                </w:tcPr>
                <w:p w14:paraId="48718DC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5</w:t>
                  </w:r>
                  <w:r>
                    <w:rPr>
                      <w:rFonts w:hint="eastAsia" w:cs="Times New Roman"/>
                      <w:color w:val="auto"/>
                      <w:sz w:val="18"/>
                      <w:szCs w:val="18"/>
                      <w:lang w:val="en-US" w:eastAsia="zh-CN"/>
                    </w:rPr>
                    <w:t>2</w:t>
                  </w:r>
                  <w:r>
                    <w:rPr>
                      <w:rFonts w:hint="default" w:ascii="Times New Roman" w:hAnsi="Times New Roman" w:eastAsia="宋体" w:cs="Times New Roman"/>
                      <w:color w:val="auto"/>
                      <w:sz w:val="18"/>
                      <w:szCs w:val="18"/>
                      <w:lang w:val="en-US" w:eastAsia="zh-CN"/>
                    </w:rPr>
                    <w:t>.8</w:t>
                  </w:r>
                </w:p>
              </w:tc>
              <w:tc>
                <w:tcPr>
                  <w:tcW w:w="894" w:type="pct"/>
                  <w:vAlign w:val="center"/>
                </w:tcPr>
                <w:p w14:paraId="1D9AB012">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65</w:t>
                  </w:r>
                </w:p>
              </w:tc>
              <w:tc>
                <w:tcPr>
                  <w:tcW w:w="621" w:type="pct"/>
                  <w:vAlign w:val="center"/>
                </w:tcPr>
                <w:p w14:paraId="609277D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达标</w:t>
                  </w:r>
                </w:p>
              </w:tc>
            </w:tr>
            <w:tr w14:paraId="1F5CCEC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93" w:hRule="atLeast"/>
              </w:trPr>
              <w:tc>
                <w:tcPr>
                  <w:tcW w:w="625" w:type="pct"/>
                  <w:vAlign w:val="center"/>
                </w:tcPr>
                <w:p w14:paraId="0B4DA606">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N2厂界南</w:t>
                  </w:r>
                </w:p>
              </w:tc>
              <w:tc>
                <w:tcPr>
                  <w:tcW w:w="357" w:type="pct"/>
                  <w:vAlign w:val="center"/>
                </w:tcPr>
                <w:p w14:paraId="4995524C">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138</w:t>
                  </w:r>
                </w:p>
              </w:tc>
              <w:tc>
                <w:tcPr>
                  <w:tcW w:w="451" w:type="pct"/>
                  <w:vAlign w:val="center"/>
                </w:tcPr>
                <w:p w14:paraId="7F1329F9">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60</w:t>
                  </w:r>
                </w:p>
              </w:tc>
              <w:tc>
                <w:tcPr>
                  <w:tcW w:w="504" w:type="pct"/>
                  <w:vAlign w:val="center"/>
                </w:tcPr>
                <w:p w14:paraId="27BF0FCB">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1.5</w:t>
                  </w:r>
                </w:p>
              </w:tc>
              <w:tc>
                <w:tcPr>
                  <w:tcW w:w="596" w:type="pct"/>
                  <w:vAlign w:val="center"/>
                </w:tcPr>
                <w:p w14:paraId="0ECDC230">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昼间</w:t>
                  </w:r>
                </w:p>
              </w:tc>
              <w:tc>
                <w:tcPr>
                  <w:tcW w:w="948" w:type="pct"/>
                  <w:vAlign w:val="center"/>
                </w:tcPr>
                <w:p w14:paraId="4DB7ED65">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cs="Times New Roman"/>
                      <w:color w:val="auto"/>
                      <w:sz w:val="18"/>
                      <w:szCs w:val="18"/>
                      <w:lang w:val="en-US" w:eastAsia="zh-CN"/>
                    </w:rPr>
                    <w:t>62</w:t>
                  </w:r>
                  <w:r>
                    <w:rPr>
                      <w:rFonts w:hint="default" w:ascii="Times New Roman" w:hAnsi="Times New Roman" w:eastAsia="宋体" w:cs="Times New Roman"/>
                      <w:color w:val="auto"/>
                      <w:sz w:val="18"/>
                      <w:szCs w:val="18"/>
                      <w:lang w:val="en-US" w:eastAsia="zh-CN"/>
                    </w:rPr>
                    <w:t>.1</w:t>
                  </w:r>
                </w:p>
              </w:tc>
              <w:tc>
                <w:tcPr>
                  <w:tcW w:w="894" w:type="pct"/>
                  <w:vAlign w:val="center"/>
                </w:tcPr>
                <w:p w14:paraId="47C0B7F1">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0"/>
                      <w:sz w:val="18"/>
                      <w:szCs w:val="18"/>
                    </w:rPr>
                  </w:pPr>
                  <w:r>
                    <w:rPr>
                      <w:rFonts w:hint="default" w:ascii="Times New Roman" w:hAnsi="Times New Roman" w:eastAsia="宋体" w:cs="Times New Roman"/>
                      <w:color w:val="auto"/>
                      <w:kern w:val="0"/>
                      <w:sz w:val="18"/>
                      <w:szCs w:val="18"/>
                    </w:rPr>
                    <w:t>65</w:t>
                  </w:r>
                </w:p>
              </w:tc>
              <w:tc>
                <w:tcPr>
                  <w:tcW w:w="621" w:type="pct"/>
                  <w:vAlign w:val="center"/>
                </w:tcPr>
                <w:p w14:paraId="6B745D18">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达标</w:t>
                  </w:r>
                </w:p>
              </w:tc>
            </w:tr>
            <w:tr w14:paraId="666AC02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93" w:hRule="atLeast"/>
              </w:trPr>
              <w:tc>
                <w:tcPr>
                  <w:tcW w:w="625" w:type="pct"/>
                  <w:vAlign w:val="center"/>
                </w:tcPr>
                <w:p w14:paraId="1887EA2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N3厂界西</w:t>
                  </w:r>
                </w:p>
              </w:tc>
              <w:tc>
                <w:tcPr>
                  <w:tcW w:w="357" w:type="pct"/>
                  <w:vAlign w:val="center"/>
                </w:tcPr>
                <w:p w14:paraId="34D3C9D4">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116</w:t>
                  </w:r>
                </w:p>
              </w:tc>
              <w:tc>
                <w:tcPr>
                  <w:tcW w:w="451" w:type="pct"/>
                  <w:vAlign w:val="center"/>
                </w:tcPr>
                <w:p w14:paraId="00ACCE2B">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48</w:t>
                  </w:r>
                </w:p>
              </w:tc>
              <w:tc>
                <w:tcPr>
                  <w:tcW w:w="504" w:type="pct"/>
                  <w:vAlign w:val="center"/>
                </w:tcPr>
                <w:p w14:paraId="631F7732">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1.5</w:t>
                  </w:r>
                </w:p>
              </w:tc>
              <w:tc>
                <w:tcPr>
                  <w:tcW w:w="596" w:type="pct"/>
                  <w:vAlign w:val="center"/>
                </w:tcPr>
                <w:p w14:paraId="53171B8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昼间</w:t>
                  </w:r>
                </w:p>
              </w:tc>
              <w:tc>
                <w:tcPr>
                  <w:tcW w:w="948" w:type="pct"/>
                  <w:vAlign w:val="center"/>
                </w:tcPr>
                <w:p w14:paraId="3416C0D6">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58.5</w:t>
                  </w:r>
                </w:p>
              </w:tc>
              <w:tc>
                <w:tcPr>
                  <w:tcW w:w="894" w:type="pct"/>
                  <w:vAlign w:val="center"/>
                </w:tcPr>
                <w:p w14:paraId="17408E05">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kern w:val="0"/>
                      <w:sz w:val="18"/>
                      <w:szCs w:val="18"/>
                      <w:lang w:val="en-US" w:eastAsia="zh-CN"/>
                    </w:rPr>
                    <w:t>65</w:t>
                  </w:r>
                </w:p>
              </w:tc>
              <w:tc>
                <w:tcPr>
                  <w:tcW w:w="621" w:type="pct"/>
                  <w:vAlign w:val="center"/>
                </w:tcPr>
                <w:p w14:paraId="223D433E">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达标</w:t>
                  </w:r>
                </w:p>
              </w:tc>
            </w:tr>
            <w:tr w14:paraId="2D1B65A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625" w:type="pct"/>
                  <w:vAlign w:val="center"/>
                </w:tcPr>
                <w:p w14:paraId="3165C1A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rPr>
                    <w:t>N</w:t>
                  </w:r>
                  <w:r>
                    <w:rPr>
                      <w:rFonts w:hint="default" w:ascii="Times New Roman" w:hAnsi="Times New Roman" w:eastAsia="宋体" w:cs="Times New Roman"/>
                      <w:color w:val="auto"/>
                      <w:sz w:val="18"/>
                      <w:szCs w:val="18"/>
                      <w:lang w:val="en-US" w:eastAsia="zh-CN"/>
                    </w:rPr>
                    <w:t>4</w:t>
                  </w:r>
                  <w:r>
                    <w:rPr>
                      <w:rFonts w:hint="default" w:ascii="Times New Roman" w:hAnsi="Times New Roman" w:eastAsia="宋体" w:cs="Times New Roman"/>
                      <w:color w:val="auto"/>
                      <w:sz w:val="18"/>
                      <w:szCs w:val="18"/>
                    </w:rPr>
                    <w:t>厂界</w:t>
                  </w:r>
                  <w:r>
                    <w:rPr>
                      <w:rFonts w:hint="default" w:ascii="Times New Roman" w:hAnsi="Times New Roman" w:eastAsia="宋体" w:cs="Times New Roman"/>
                      <w:color w:val="auto"/>
                      <w:sz w:val="18"/>
                      <w:szCs w:val="18"/>
                      <w:lang w:val="en-US" w:eastAsia="zh-CN"/>
                    </w:rPr>
                    <w:t>北</w:t>
                  </w:r>
                </w:p>
              </w:tc>
              <w:tc>
                <w:tcPr>
                  <w:tcW w:w="357" w:type="pct"/>
                  <w:vAlign w:val="center"/>
                </w:tcPr>
                <w:p w14:paraId="0D6CFFDD">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134</w:t>
                  </w:r>
                </w:p>
              </w:tc>
              <w:tc>
                <w:tcPr>
                  <w:tcW w:w="451" w:type="pct"/>
                  <w:vAlign w:val="center"/>
                </w:tcPr>
                <w:p w14:paraId="36CBAD65">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65</w:t>
                  </w:r>
                </w:p>
              </w:tc>
              <w:tc>
                <w:tcPr>
                  <w:tcW w:w="504" w:type="pct"/>
                  <w:vAlign w:val="center"/>
                </w:tcPr>
                <w:p w14:paraId="58AB8A0F">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1.5</w:t>
                  </w:r>
                </w:p>
              </w:tc>
              <w:tc>
                <w:tcPr>
                  <w:tcW w:w="596" w:type="pct"/>
                  <w:vAlign w:val="center"/>
                </w:tcPr>
                <w:p w14:paraId="58206210">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rPr>
                    <w:t>昼间</w:t>
                  </w:r>
                </w:p>
              </w:tc>
              <w:tc>
                <w:tcPr>
                  <w:tcW w:w="948" w:type="pct"/>
                  <w:vAlign w:val="center"/>
                </w:tcPr>
                <w:p w14:paraId="46E967CC">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5</w:t>
                  </w:r>
                  <w:r>
                    <w:rPr>
                      <w:rFonts w:hint="eastAsia" w:cs="Times New Roman"/>
                      <w:color w:val="auto"/>
                      <w:kern w:val="2"/>
                      <w:sz w:val="18"/>
                      <w:szCs w:val="18"/>
                      <w:lang w:val="en-US" w:eastAsia="zh-CN" w:bidi="ar-SA"/>
                    </w:rPr>
                    <w:t>4</w:t>
                  </w:r>
                  <w:r>
                    <w:rPr>
                      <w:rFonts w:hint="default" w:ascii="Times New Roman" w:hAnsi="Times New Roman" w:eastAsia="宋体" w:cs="Times New Roman"/>
                      <w:color w:val="auto"/>
                      <w:kern w:val="2"/>
                      <w:sz w:val="18"/>
                      <w:szCs w:val="18"/>
                      <w:lang w:val="en-US" w:eastAsia="zh-CN" w:bidi="ar-SA"/>
                    </w:rPr>
                    <w:t>.6</w:t>
                  </w:r>
                </w:p>
              </w:tc>
              <w:tc>
                <w:tcPr>
                  <w:tcW w:w="894" w:type="pct"/>
                  <w:vAlign w:val="center"/>
                </w:tcPr>
                <w:p w14:paraId="736088B2">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0"/>
                      <w:sz w:val="18"/>
                      <w:szCs w:val="18"/>
                      <w:lang w:val="en-US" w:eastAsia="zh-CN"/>
                    </w:rPr>
                    <w:t>65</w:t>
                  </w:r>
                </w:p>
              </w:tc>
              <w:tc>
                <w:tcPr>
                  <w:tcW w:w="621" w:type="pct"/>
                  <w:vAlign w:val="center"/>
                </w:tcPr>
                <w:p w14:paraId="5FB068B0">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rPr>
                    <w:t>达标</w:t>
                  </w:r>
                </w:p>
              </w:tc>
            </w:tr>
          </w:tbl>
          <w:p w14:paraId="46DB54B4">
            <w:pPr>
              <w:keepNext w:val="0"/>
              <w:keepLines w:val="0"/>
              <w:suppressLineNumbers w:val="0"/>
              <w:spacing w:before="0" w:beforeAutospacing="0" w:after="0" w:afterAutospacing="0"/>
              <w:ind w:left="0" w:right="0"/>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kern w:val="0"/>
                <w:sz w:val="18"/>
                <w:szCs w:val="18"/>
              </w:rPr>
              <w:t>注：</w:t>
            </w:r>
            <w:r>
              <w:rPr>
                <w:rFonts w:hint="default" w:ascii="Times New Roman" w:hAnsi="Times New Roman" w:eastAsia="宋体" w:cs="Times New Roman"/>
                <w:color w:val="auto"/>
                <w:sz w:val="18"/>
                <w:szCs w:val="18"/>
              </w:rPr>
              <w:t>以</w:t>
            </w:r>
            <w:r>
              <w:rPr>
                <w:rFonts w:hint="default" w:ascii="Times New Roman" w:hAnsi="Times New Roman" w:eastAsia="宋体" w:cs="Times New Roman"/>
                <w:color w:val="auto"/>
                <w:sz w:val="18"/>
                <w:szCs w:val="18"/>
                <w:lang w:val="en-US" w:eastAsia="zh-CN"/>
              </w:rPr>
              <w:t>厂区</w:t>
            </w:r>
            <w:r>
              <w:rPr>
                <w:rFonts w:hint="default" w:ascii="Times New Roman" w:hAnsi="Times New Roman" w:eastAsia="宋体" w:cs="Times New Roman"/>
                <w:color w:val="auto"/>
                <w:sz w:val="18"/>
                <w:szCs w:val="18"/>
              </w:rPr>
              <w:t>西南角为（0，0，0）点</w:t>
            </w:r>
            <w:r>
              <w:rPr>
                <w:rFonts w:hint="default" w:ascii="Times New Roman" w:hAnsi="Times New Roman" w:eastAsia="宋体" w:cs="Times New Roman"/>
                <w:color w:val="auto"/>
                <w:kern w:val="0"/>
                <w:sz w:val="18"/>
                <w:szCs w:val="18"/>
              </w:rPr>
              <w:t>。</w:t>
            </w:r>
          </w:p>
          <w:p w14:paraId="0FAFDAD9">
            <w:pPr>
              <w:keepNext w:val="0"/>
              <w:keepLines w:val="0"/>
              <w:suppressLineNumbers w:val="0"/>
              <w:spacing w:before="0" w:beforeAutospacing="0" w:after="0" w:afterAutospacing="0"/>
              <w:ind w:left="0" w:right="0"/>
              <w:rPr>
                <w:rFonts w:hint="default" w:ascii="Times New Roman" w:hAnsi="Times New Roman" w:eastAsia="宋体" w:cs="Times New Roman"/>
                <w:color w:val="auto"/>
              </w:rPr>
            </w:pPr>
            <w:r>
              <w:rPr>
                <w:rFonts w:hint="default" w:ascii="Times New Roman" w:hAnsi="Times New Roman" w:eastAsia="宋体" w:cs="Times New Roman"/>
                <w:color w:val="auto"/>
                <w:lang w:eastAsia="zh-CN"/>
              </w:rPr>
              <w:t>项目夜间不生产，</w:t>
            </w:r>
            <w:r>
              <w:rPr>
                <w:rFonts w:hint="default" w:ascii="Times New Roman" w:hAnsi="Times New Roman" w:eastAsia="宋体" w:cs="Times New Roman"/>
                <w:color w:val="auto"/>
              </w:rPr>
              <w:t>从表4.3-3可以看出：</w:t>
            </w:r>
            <w:r>
              <w:rPr>
                <w:rFonts w:hint="eastAsia" w:cs="Times New Roman"/>
                <w:color w:val="auto"/>
                <w:lang w:eastAsia="zh-CN"/>
              </w:rPr>
              <w:t>拟建</w:t>
            </w:r>
            <w:r>
              <w:rPr>
                <w:rFonts w:hint="default" w:ascii="Times New Roman" w:hAnsi="Times New Roman" w:eastAsia="宋体" w:cs="Times New Roman"/>
                <w:color w:val="auto"/>
              </w:rPr>
              <w:t>项目厂界噪声昼间</w:t>
            </w:r>
            <w:r>
              <w:rPr>
                <w:rFonts w:hint="default" w:ascii="Times New Roman" w:hAnsi="Times New Roman" w:eastAsia="宋体" w:cs="Times New Roman"/>
                <w:color w:val="auto"/>
                <w:lang w:eastAsia="zh-CN"/>
              </w:rPr>
              <w:t>叠加</w:t>
            </w:r>
            <w:r>
              <w:rPr>
                <w:rFonts w:hint="default" w:ascii="Times New Roman" w:hAnsi="Times New Roman" w:eastAsia="宋体" w:cs="Times New Roman"/>
                <w:color w:val="auto"/>
              </w:rPr>
              <w:t>值为</w:t>
            </w:r>
            <w:r>
              <w:rPr>
                <w:rFonts w:hint="default" w:ascii="Times New Roman" w:hAnsi="Times New Roman" w:eastAsia="宋体" w:cs="Times New Roman"/>
                <w:color w:val="auto"/>
                <w:lang w:val="en-US" w:eastAsia="zh-CN"/>
              </w:rPr>
              <w:t>5</w:t>
            </w:r>
            <w:r>
              <w:rPr>
                <w:rFonts w:hint="eastAsia" w:cs="Times New Roman"/>
                <w:color w:val="auto"/>
                <w:lang w:val="en-US" w:eastAsia="zh-CN"/>
              </w:rPr>
              <w:t>2.8</w:t>
            </w:r>
            <w:r>
              <w:rPr>
                <w:rFonts w:hint="default" w:ascii="Times New Roman" w:hAnsi="Times New Roman" w:eastAsia="宋体" w:cs="Times New Roman"/>
                <w:color w:val="auto"/>
              </w:rPr>
              <w:t>~</w:t>
            </w:r>
            <w:r>
              <w:rPr>
                <w:rFonts w:hint="eastAsia" w:cs="Times New Roman"/>
                <w:color w:val="auto"/>
                <w:lang w:val="en-US" w:eastAsia="zh-CN"/>
              </w:rPr>
              <w:t>62</w:t>
            </w:r>
            <w:r>
              <w:rPr>
                <w:rFonts w:hint="default" w:ascii="Times New Roman" w:hAnsi="Times New Roman" w:eastAsia="宋体" w:cs="Times New Roman"/>
                <w:color w:val="auto"/>
                <w:lang w:val="en-US" w:eastAsia="zh-CN"/>
              </w:rPr>
              <w:t>.1</w:t>
            </w:r>
            <w:r>
              <w:rPr>
                <w:rFonts w:hint="default" w:ascii="Times New Roman" w:hAnsi="Times New Roman" w:eastAsia="宋体" w:cs="Times New Roman"/>
                <w:color w:val="auto"/>
              </w:rPr>
              <w:t>dB（A）</w:t>
            </w:r>
            <w:bookmarkEnd w:id="14"/>
            <w:bookmarkEnd w:id="15"/>
            <w:r>
              <w:rPr>
                <w:rFonts w:hint="default" w:ascii="Times New Roman" w:hAnsi="Times New Roman" w:eastAsia="宋体" w:cs="Times New Roman"/>
                <w:color w:val="auto"/>
              </w:rPr>
              <w:t>，满足《工业企业厂界环境噪声排放标准》（GB12348-2008）3类</w:t>
            </w:r>
            <w:r>
              <w:rPr>
                <w:rFonts w:hint="default" w:ascii="Times New Roman" w:hAnsi="Times New Roman" w:eastAsia="宋体" w:cs="Times New Roman"/>
                <w:color w:val="auto"/>
                <w:lang w:val="en-US" w:eastAsia="zh-CN"/>
              </w:rPr>
              <w:t>标准限值要求</w:t>
            </w:r>
            <w:r>
              <w:rPr>
                <w:rFonts w:hint="default" w:ascii="Times New Roman" w:hAnsi="Times New Roman" w:eastAsia="宋体" w:cs="Times New Roman"/>
                <w:color w:val="auto"/>
              </w:rPr>
              <w:t>，因此项目噪声对环境的影响能够满足环境保护的要求。</w:t>
            </w:r>
          </w:p>
          <w:p w14:paraId="47C0C299">
            <w:pPr>
              <w:keepNext w:val="0"/>
              <w:keepLines w:val="0"/>
              <w:widowControl/>
              <w:numPr>
                <w:ilvl w:val="1"/>
                <w:numId w:val="10"/>
              </w:numPr>
              <w:suppressLineNumbers w:val="0"/>
              <w:adjustRightInd w:val="0"/>
              <w:snapToGrid w:val="0"/>
              <w:spacing w:before="0" w:beforeAutospacing="0" w:after="0" w:afterAutospacing="0" w:line="360" w:lineRule="auto"/>
              <w:ind w:left="0" w:leftChars="0" w:right="0" w:firstLine="482" w:firstLineChars="200"/>
              <w:jc w:val="left"/>
              <w:rPr>
                <w:rFonts w:hint="default" w:ascii="Times New Roman" w:hAnsi="Times New Roman" w:eastAsia="宋体" w:cs="Times New Roman"/>
                <w:color w:val="auto"/>
                <w:kern w:val="0"/>
                <w:sz w:val="24"/>
              </w:rPr>
            </w:pPr>
            <w:r>
              <w:rPr>
                <w:rFonts w:hint="default" w:ascii="Times New Roman" w:hAnsi="Times New Roman" w:eastAsia="宋体" w:cs="Times New Roman"/>
                <w:b/>
                <w:bCs/>
                <w:color w:val="auto"/>
              </w:rPr>
              <w:t>噪声源监测</w:t>
            </w:r>
          </w:p>
          <w:p w14:paraId="0422732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kern w:val="0"/>
                <w:sz w:val="24"/>
              </w:rPr>
            </w:pPr>
            <w:r>
              <w:rPr>
                <w:rFonts w:hint="default" w:ascii="Times New Roman" w:hAnsi="Times New Roman" w:eastAsia="宋体" w:cs="Times New Roman"/>
                <w:color w:val="auto"/>
                <w:kern w:val="0"/>
                <w:sz w:val="24"/>
              </w:rPr>
              <w:t>根据根据《排污单位自行监测技术指南</w:t>
            </w:r>
            <w:r>
              <w:rPr>
                <w:rFonts w:hint="default" w:ascii="Times New Roman" w:hAnsi="Times New Roman" w:eastAsia="宋体" w:cs="Times New Roman"/>
                <w:color w:val="auto"/>
                <w:kern w:val="0"/>
                <w:sz w:val="24"/>
                <w:lang w:val="en-US" w:eastAsia="zh-CN"/>
              </w:rPr>
              <w:t xml:space="preserve"> </w:t>
            </w:r>
            <w:r>
              <w:rPr>
                <w:rFonts w:hint="default" w:ascii="Times New Roman" w:hAnsi="Times New Roman" w:eastAsia="宋体" w:cs="Times New Roman"/>
                <w:color w:val="auto"/>
                <w:kern w:val="0"/>
                <w:sz w:val="24"/>
              </w:rPr>
              <w:t>总则》（HJ819-2017）</w:t>
            </w:r>
            <w:r>
              <w:rPr>
                <w:rFonts w:hint="default" w:ascii="Times New Roman" w:hAnsi="Times New Roman" w:eastAsia="宋体" w:cs="Times New Roman"/>
                <w:color w:val="auto"/>
                <w:sz w:val="24"/>
                <w:lang w:val="en-US" w:eastAsia="zh-CN"/>
              </w:rPr>
              <w:t>相关</w:t>
            </w:r>
            <w:r>
              <w:rPr>
                <w:rFonts w:hint="default" w:ascii="Times New Roman" w:hAnsi="Times New Roman" w:eastAsia="宋体" w:cs="Times New Roman"/>
                <w:color w:val="auto"/>
                <w:sz w:val="24"/>
              </w:rPr>
              <w:t>要求</w:t>
            </w:r>
            <w:r>
              <w:rPr>
                <w:rFonts w:hint="eastAsia" w:cs="Times New Roman"/>
                <w:color w:val="auto"/>
                <w:sz w:val="24"/>
                <w:lang w:eastAsia="zh-CN"/>
              </w:rPr>
              <w:t>，</w:t>
            </w:r>
            <w:r>
              <w:rPr>
                <w:rFonts w:hint="default" w:ascii="Times New Roman" w:hAnsi="Times New Roman" w:eastAsia="宋体" w:cs="Times New Roman"/>
                <w:color w:val="auto"/>
                <w:sz w:val="24"/>
              </w:rPr>
              <w:t>需对厂界噪声的例行监测。</w:t>
            </w:r>
            <w:r>
              <w:rPr>
                <w:rFonts w:hint="default" w:ascii="Times New Roman" w:hAnsi="Times New Roman" w:eastAsia="宋体" w:cs="Times New Roman"/>
                <w:color w:val="auto"/>
                <w:kern w:val="0"/>
                <w:sz w:val="24"/>
              </w:rPr>
              <w:t>监测的实施可以根据实际情况由厂方自测或委托有资质的环境监测单位监测，</w:t>
            </w:r>
            <w:r>
              <w:rPr>
                <w:rFonts w:hint="default" w:ascii="Times New Roman" w:hAnsi="Times New Roman" w:eastAsia="宋体" w:cs="Times New Roman"/>
                <w:bCs/>
                <w:color w:val="auto"/>
                <w:kern w:val="0"/>
                <w:sz w:val="24"/>
                <w:lang w:val="en-US" w:eastAsia="zh-CN" w:bidi="en-US"/>
              </w:rPr>
              <w:t>建设项目</w:t>
            </w:r>
            <w:r>
              <w:rPr>
                <w:rFonts w:hint="default" w:ascii="Times New Roman" w:hAnsi="Times New Roman" w:eastAsia="宋体" w:cs="Times New Roman"/>
                <w:bCs/>
                <w:color w:val="auto"/>
                <w:kern w:val="0"/>
                <w:sz w:val="24"/>
                <w:lang w:bidi="en-US"/>
              </w:rPr>
              <w:t>噪声监测计划表4.3-</w:t>
            </w:r>
            <w:r>
              <w:rPr>
                <w:rFonts w:hint="eastAsia" w:cs="Times New Roman"/>
                <w:bCs/>
                <w:color w:val="auto"/>
                <w:kern w:val="0"/>
                <w:sz w:val="24"/>
                <w:lang w:val="en-US" w:eastAsia="zh-CN" w:bidi="en-US"/>
              </w:rPr>
              <w:t>4</w:t>
            </w:r>
            <w:r>
              <w:rPr>
                <w:rFonts w:hint="default" w:ascii="Times New Roman" w:hAnsi="Times New Roman" w:eastAsia="宋体" w:cs="Times New Roman"/>
                <w:color w:val="auto"/>
                <w:kern w:val="0"/>
                <w:sz w:val="24"/>
              </w:rPr>
              <w:t>。</w:t>
            </w:r>
          </w:p>
          <w:p w14:paraId="452D4D7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kern w:val="0"/>
                <w:sz w:val="24"/>
                <w:lang w:bidi="en-US"/>
              </w:rPr>
            </w:pPr>
            <w:r>
              <w:rPr>
                <w:rFonts w:hint="default" w:ascii="Times New Roman" w:hAnsi="Times New Roman" w:eastAsia="宋体" w:cs="Times New Roman"/>
                <w:b/>
                <w:bCs/>
                <w:color w:val="auto"/>
                <w:kern w:val="0"/>
                <w:sz w:val="24"/>
                <w:lang w:bidi="en-US"/>
              </w:rPr>
              <w:t>表4.3-</w:t>
            </w:r>
            <w:r>
              <w:rPr>
                <w:rFonts w:hint="eastAsia" w:cs="Times New Roman"/>
                <w:b/>
                <w:bCs/>
                <w:color w:val="auto"/>
                <w:kern w:val="0"/>
                <w:sz w:val="24"/>
                <w:lang w:val="en-US" w:eastAsia="zh-CN" w:bidi="en-US"/>
              </w:rPr>
              <w:t>4</w:t>
            </w:r>
            <w:r>
              <w:rPr>
                <w:rFonts w:hint="default" w:ascii="Times New Roman" w:hAnsi="Times New Roman" w:eastAsia="宋体" w:cs="Times New Roman"/>
                <w:b/>
                <w:bCs/>
                <w:color w:val="auto"/>
                <w:kern w:val="0"/>
                <w:sz w:val="24"/>
                <w:lang w:bidi="en-US"/>
              </w:rPr>
              <w:t xml:space="preserve">  </w:t>
            </w:r>
            <w:r>
              <w:rPr>
                <w:rFonts w:hint="default" w:ascii="Times New Roman" w:hAnsi="Times New Roman" w:eastAsia="宋体" w:cs="Times New Roman"/>
                <w:b/>
                <w:bCs/>
                <w:color w:val="auto"/>
                <w:kern w:val="0"/>
                <w:sz w:val="24"/>
                <w:lang w:eastAsia="zh-CN" w:bidi="en-US"/>
              </w:rPr>
              <w:t>建设项目</w:t>
            </w:r>
            <w:r>
              <w:rPr>
                <w:rFonts w:hint="default" w:ascii="Times New Roman" w:hAnsi="Times New Roman" w:eastAsia="宋体" w:cs="Times New Roman"/>
                <w:b/>
                <w:bCs/>
                <w:color w:val="auto"/>
                <w:kern w:val="0"/>
                <w:sz w:val="24"/>
                <w:lang w:bidi="en-US"/>
              </w:rPr>
              <w:t>噪声监测计划表</w:t>
            </w:r>
          </w:p>
          <w:tbl>
            <w:tblPr>
              <w:tblStyle w:val="27"/>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1" w:type="dxa"/>
                <w:bottom w:w="0" w:type="dxa"/>
                <w:right w:w="11" w:type="dxa"/>
              </w:tblCellMar>
            </w:tblPr>
            <w:tblGrid>
              <w:gridCol w:w="2877"/>
              <w:gridCol w:w="2017"/>
              <w:gridCol w:w="1259"/>
              <w:gridCol w:w="7292"/>
            </w:tblGrid>
            <w:tr w14:paraId="581CC4E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1" w:type="dxa"/>
                  <w:bottom w:w="0" w:type="dxa"/>
                  <w:right w:w="11" w:type="dxa"/>
                </w:tblCellMar>
              </w:tblPrEx>
              <w:trPr>
                <w:trHeight w:val="255" w:hRule="atLeast"/>
              </w:trPr>
              <w:tc>
                <w:tcPr>
                  <w:tcW w:w="1070" w:type="pct"/>
                  <w:vAlign w:val="center"/>
                </w:tcPr>
                <w:p w14:paraId="66AE384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kern w:val="0"/>
                      <w:sz w:val="18"/>
                      <w:szCs w:val="18"/>
                      <w:lang w:bidi="en-US"/>
                    </w:rPr>
                  </w:pPr>
                  <w:r>
                    <w:rPr>
                      <w:rFonts w:hint="default" w:ascii="Times New Roman" w:hAnsi="Times New Roman" w:eastAsia="宋体" w:cs="Times New Roman"/>
                      <w:b/>
                      <w:bCs/>
                      <w:color w:val="auto"/>
                      <w:kern w:val="0"/>
                      <w:sz w:val="18"/>
                      <w:szCs w:val="18"/>
                      <w:lang w:bidi="en-US"/>
                    </w:rPr>
                    <w:t>监测点位</w:t>
                  </w:r>
                </w:p>
              </w:tc>
              <w:tc>
                <w:tcPr>
                  <w:tcW w:w="750" w:type="pct"/>
                  <w:vAlign w:val="center"/>
                </w:tcPr>
                <w:p w14:paraId="1069B39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kern w:val="0"/>
                      <w:sz w:val="18"/>
                      <w:szCs w:val="18"/>
                      <w:lang w:bidi="en-US"/>
                    </w:rPr>
                  </w:pPr>
                  <w:r>
                    <w:rPr>
                      <w:rFonts w:hint="default" w:ascii="Times New Roman" w:hAnsi="Times New Roman" w:eastAsia="宋体" w:cs="Times New Roman"/>
                      <w:b/>
                      <w:bCs/>
                      <w:color w:val="auto"/>
                      <w:kern w:val="0"/>
                      <w:sz w:val="18"/>
                      <w:szCs w:val="18"/>
                      <w:lang w:bidi="en-US"/>
                    </w:rPr>
                    <w:t>监测指标</w:t>
                  </w:r>
                </w:p>
              </w:tc>
              <w:tc>
                <w:tcPr>
                  <w:tcW w:w="468" w:type="pct"/>
                  <w:vAlign w:val="center"/>
                </w:tcPr>
                <w:p w14:paraId="10E7AD0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kern w:val="0"/>
                      <w:sz w:val="18"/>
                      <w:szCs w:val="18"/>
                      <w:lang w:bidi="en-US"/>
                    </w:rPr>
                  </w:pPr>
                  <w:r>
                    <w:rPr>
                      <w:rFonts w:hint="default" w:ascii="Times New Roman" w:hAnsi="Times New Roman" w:eastAsia="宋体" w:cs="Times New Roman"/>
                      <w:b/>
                      <w:bCs/>
                      <w:color w:val="auto"/>
                      <w:kern w:val="0"/>
                      <w:sz w:val="18"/>
                      <w:szCs w:val="18"/>
                      <w:lang w:bidi="en-US"/>
                    </w:rPr>
                    <w:t>监测频次</w:t>
                  </w:r>
                </w:p>
              </w:tc>
              <w:tc>
                <w:tcPr>
                  <w:tcW w:w="2711" w:type="pct"/>
                  <w:vAlign w:val="center"/>
                </w:tcPr>
                <w:p w14:paraId="5EC0C77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kern w:val="0"/>
                      <w:sz w:val="18"/>
                      <w:szCs w:val="18"/>
                      <w:lang w:bidi="en-US"/>
                    </w:rPr>
                  </w:pPr>
                  <w:r>
                    <w:rPr>
                      <w:rFonts w:hint="default" w:ascii="Times New Roman" w:hAnsi="Times New Roman" w:eastAsia="宋体" w:cs="Times New Roman"/>
                      <w:b/>
                      <w:bCs/>
                      <w:color w:val="auto"/>
                      <w:kern w:val="0"/>
                      <w:sz w:val="18"/>
                      <w:szCs w:val="18"/>
                      <w:lang w:bidi="en-US"/>
                    </w:rPr>
                    <w:t>执行排放标准</w:t>
                  </w:r>
                </w:p>
              </w:tc>
            </w:tr>
            <w:tr w14:paraId="687EC71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1" w:type="dxa"/>
                  <w:bottom w:w="0" w:type="dxa"/>
                  <w:right w:w="11" w:type="dxa"/>
                </w:tblCellMar>
              </w:tblPrEx>
              <w:trPr>
                <w:trHeight w:val="265" w:hRule="atLeast"/>
              </w:trPr>
              <w:tc>
                <w:tcPr>
                  <w:tcW w:w="1070" w:type="pct"/>
                  <w:vAlign w:val="center"/>
                </w:tcPr>
                <w:p w14:paraId="3D87DC7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0"/>
                      <w:sz w:val="18"/>
                      <w:szCs w:val="18"/>
                      <w:lang w:bidi="en-US"/>
                    </w:rPr>
                  </w:pPr>
                  <w:r>
                    <w:rPr>
                      <w:rFonts w:hint="default" w:ascii="Times New Roman" w:hAnsi="Times New Roman" w:eastAsia="宋体" w:cs="Times New Roman"/>
                      <w:color w:val="auto"/>
                      <w:kern w:val="0"/>
                      <w:sz w:val="18"/>
                      <w:szCs w:val="18"/>
                      <w:lang w:val="en-US" w:eastAsia="zh-CN" w:bidi="en-US"/>
                    </w:rPr>
                    <w:t>厂界四周</w:t>
                  </w:r>
                </w:p>
              </w:tc>
              <w:tc>
                <w:tcPr>
                  <w:tcW w:w="750" w:type="pct"/>
                  <w:vAlign w:val="center"/>
                </w:tcPr>
                <w:p w14:paraId="172E11A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0"/>
                      <w:sz w:val="18"/>
                      <w:szCs w:val="18"/>
                      <w:lang w:bidi="en-US"/>
                    </w:rPr>
                  </w:pPr>
                  <w:r>
                    <w:rPr>
                      <w:rFonts w:hint="default" w:ascii="Times New Roman" w:hAnsi="Times New Roman" w:eastAsia="宋体" w:cs="Times New Roman"/>
                      <w:color w:val="auto"/>
                      <w:kern w:val="0"/>
                      <w:sz w:val="18"/>
                      <w:szCs w:val="18"/>
                      <w:lang w:bidi="en-US"/>
                    </w:rPr>
                    <w:t>等效连续A声级</w:t>
                  </w:r>
                </w:p>
              </w:tc>
              <w:tc>
                <w:tcPr>
                  <w:tcW w:w="468" w:type="pct"/>
                  <w:vAlign w:val="center"/>
                </w:tcPr>
                <w:p w14:paraId="0FBB707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0"/>
                      <w:sz w:val="18"/>
                      <w:szCs w:val="18"/>
                      <w:lang w:bidi="en-US"/>
                    </w:rPr>
                  </w:pPr>
                  <w:r>
                    <w:rPr>
                      <w:rFonts w:hint="default" w:ascii="Times New Roman" w:hAnsi="Times New Roman" w:eastAsia="宋体" w:cs="Times New Roman"/>
                      <w:color w:val="auto"/>
                      <w:kern w:val="0"/>
                      <w:sz w:val="18"/>
                      <w:szCs w:val="18"/>
                      <w:lang w:bidi="en-US"/>
                    </w:rPr>
                    <w:t>1次/季度</w:t>
                  </w:r>
                </w:p>
              </w:tc>
              <w:tc>
                <w:tcPr>
                  <w:tcW w:w="2711" w:type="pct"/>
                  <w:vAlign w:val="center"/>
                </w:tcPr>
                <w:p w14:paraId="36FB82F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0"/>
                      <w:sz w:val="18"/>
                      <w:szCs w:val="18"/>
                      <w:lang w:bidi="en-US"/>
                    </w:rPr>
                  </w:pPr>
                  <w:r>
                    <w:rPr>
                      <w:rFonts w:hint="default" w:ascii="Times New Roman" w:hAnsi="Times New Roman" w:eastAsia="宋体" w:cs="Times New Roman"/>
                      <w:color w:val="auto"/>
                      <w:kern w:val="0"/>
                      <w:sz w:val="18"/>
                      <w:szCs w:val="18"/>
                      <w:lang w:bidi="en-US"/>
                    </w:rPr>
                    <w:t>《工业企业厂界环境噪声排放标准》（GB12348-2008）中的3类标准</w:t>
                  </w:r>
                </w:p>
              </w:tc>
            </w:tr>
          </w:tbl>
          <w:p w14:paraId="010D5A4C">
            <w:pPr>
              <w:keepNext w:val="0"/>
              <w:keepLines w:val="0"/>
              <w:pageBreakBefore w:val="0"/>
              <w:widowControl w:val="0"/>
              <w:numPr>
                <w:ilvl w:val="0"/>
                <w:numId w:val="10"/>
              </w:numPr>
              <w:suppressLineNumbers w:val="0"/>
              <w:kinsoku/>
              <w:wordWrap/>
              <w:overflowPunct/>
              <w:topLinePunct w:val="0"/>
              <w:autoSpaceDE/>
              <w:autoSpaceDN/>
              <w:bidi w:val="0"/>
              <w:adjustRightInd/>
              <w:snapToGrid/>
              <w:spacing w:before="157" w:beforeLines="50" w:beforeAutospacing="0" w:after="0" w:afterAutospacing="0"/>
              <w:ind w:left="0" w:leftChars="0" w:right="0" w:firstLine="482" w:firstLineChars="200"/>
              <w:textAlignment w:val="auto"/>
              <w:rPr>
                <w:rFonts w:hint="default" w:ascii="Times New Roman" w:hAnsi="Times New Roman" w:eastAsia="宋体" w:cs="Times New Roman"/>
                <w:b/>
                <w:bCs/>
                <w:color w:val="auto"/>
              </w:rPr>
            </w:pPr>
            <w:r>
              <w:rPr>
                <w:rFonts w:hint="default" w:ascii="Times New Roman" w:hAnsi="Times New Roman" w:eastAsia="宋体" w:cs="Times New Roman"/>
                <w:b/>
                <w:bCs/>
                <w:color w:val="auto"/>
              </w:rPr>
              <w:t>固体废物</w:t>
            </w:r>
          </w:p>
          <w:p w14:paraId="0C1C5319">
            <w:pPr>
              <w:keepNext w:val="0"/>
              <w:keepLines w:val="0"/>
              <w:suppressLineNumbers w:val="0"/>
              <w:bidi w:val="0"/>
              <w:spacing w:before="0" w:beforeAutospacing="0" w:after="0" w:afterAutospacing="0"/>
              <w:ind w:left="0" w:right="0"/>
              <w:rPr>
                <w:rFonts w:hint="default" w:ascii="Times New Roman" w:hAnsi="Times New Roman" w:eastAsia="宋体" w:cs="Times New Roman"/>
                <w:b/>
                <w:bCs/>
                <w:color w:val="auto"/>
              </w:rPr>
            </w:pPr>
            <w:r>
              <w:rPr>
                <w:rFonts w:hint="default" w:ascii="Times New Roman" w:hAnsi="Times New Roman" w:eastAsia="宋体" w:cs="Times New Roman"/>
                <w:b/>
                <w:bCs/>
                <w:color w:val="auto"/>
              </w:rPr>
              <w:t>4.1</w:t>
            </w:r>
            <w:r>
              <w:rPr>
                <w:rFonts w:hint="default" w:ascii="Times New Roman" w:hAnsi="Times New Roman" w:eastAsia="宋体" w:cs="Times New Roman"/>
                <w:b/>
                <w:bCs/>
                <w:color w:val="auto"/>
                <w:lang w:val="en-US" w:eastAsia="zh-CN"/>
              </w:rPr>
              <w:t xml:space="preserve"> </w:t>
            </w:r>
            <w:r>
              <w:rPr>
                <w:rFonts w:hint="default" w:ascii="Times New Roman" w:hAnsi="Times New Roman" w:eastAsia="宋体" w:cs="Times New Roman"/>
                <w:b/>
                <w:bCs/>
                <w:color w:val="auto"/>
              </w:rPr>
              <w:t>固体废物产生环节及源强分析</w:t>
            </w:r>
          </w:p>
          <w:p w14:paraId="3F5A73AB">
            <w:pPr>
              <w:keepNext w:val="0"/>
              <w:keepLines w:val="0"/>
              <w:suppressLineNumbers w:val="0"/>
              <w:bidi w:val="0"/>
              <w:spacing w:before="0" w:beforeAutospacing="0" w:after="0" w:afterAutospacing="0"/>
              <w:ind w:left="0" w:right="0"/>
              <w:rPr>
                <w:rFonts w:hint="default" w:ascii="Times New Roman" w:hAnsi="Times New Roman" w:eastAsia="宋体" w:cs="Times New Roman"/>
                <w:color w:val="auto"/>
              </w:rPr>
            </w:pPr>
            <w:r>
              <w:rPr>
                <w:rFonts w:hint="default" w:ascii="Times New Roman" w:hAnsi="Times New Roman" w:eastAsia="宋体" w:cs="Times New Roman"/>
                <w:color w:val="auto"/>
              </w:rPr>
              <w:t>根据《中华人民共和国固体废物污染环境防治法》、《固体废物鉴别标准通则》（GB34330-2017）的规定，判断</w:t>
            </w:r>
            <w:r>
              <w:rPr>
                <w:rFonts w:hint="default" w:ascii="Times New Roman" w:hAnsi="Times New Roman" w:eastAsia="宋体" w:cs="Times New Roman"/>
                <w:color w:val="auto"/>
                <w:lang w:eastAsia="zh-CN"/>
              </w:rPr>
              <w:t>建设项目</w:t>
            </w:r>
            <w:r>
              <w:rPr>
                <w:rFonts w:hint="default" w:ascii="Times New Roman" w:hAnsi="Times New Roman" w:eastAsia="宋体" w:cs="Times New Roman"/>
                <w:color w:val="auto"/>
              </w:rPr>
              <w:t>生产过程中产生的副产物是否属于固体废物。</w:t>
            </w:r>
            <w:r>
              <w:rPr>
                <w:rFonts w:hint="eastAsia" w:cs="Times New Roman"/>
                <w:color w:val="auto"/>
                <w:lang w:eastAsia="zh-CN"/>
              </w:rPr>
              <w:t>拟建</w:t>
            </w:r>
            <w:r>
              <w:rPr>
                <w:rFonts w:hint="default" w:ascii="Times New Roman" w:hAnsi="Times New Roman" w:eastAsia="宋体" w:cs="Times New Roman"/>
                <w:color w:val="auto"/>
                <w:lang w:eastAsia="zh-CN"/>
              </w:rPr>
              <w:t>项目</w:t>
            </w:r>
            <w:r>
              <w:rPr>
                <w:rFonts w:hint="default" w:ascii="Times New Roman" w:hAnsi="Times New Roman" w:eastAsia="宋体" w:cs="Times New Roman"/>
                <w:color w:val="auto"/>
              </w:rPr>
              <w:t>副产物属性判定分别见表4.4-1。</w:t>
            </w:r>
            <w:r>
              <w:rPr>
                <w:rFonts w:hint="eastAsia" w:cs="Times New Roman"/>
                <w:color w:val="auto"/>
                <w:lang w:eastAsia="zh-CN"/>
              </w:rPr>
              <w:t>拟建</w:t>
            </w:r>
            <w:r>
              <w:rPr>
                <w:rFonts w:hint="default" w:ascii="Times New Roman" w:hAnsi="Times New Roman" w:eastAsia="宋体" w:cs="Times New Roman"/>
                <w:color w:val="auto"/>
                <w:lang w:eastAsia="zh-CN"/>
              </w:rPr>
              <w:t>项目新增</w:t>
            </w:r>
            <w:r>
              <w:rPr>
                <w:rFonts w:hint="default" w:ascii="Times New Roman" w:hAnsi="Times New Roman" w:eastAsia="宋体" w:cs="Times New Roman"/>
                <w:color w:val="auto"/>
              </w:rPr>
              <w:t>固体废物污染源源强核算结果及相关参数一览分别详见表4.4-2。</w:t>
            </w:r>
          </w:p>
          <w:p w14:paraId="0996F36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lang w:val="en-US" w:eastAsia="zh-CN"/>
              </w:rPr>
            </w:pPr>
            <w:r>
              <w:rPr>
                <w:rFonts w:hint="default" w:ascii="Times New Roman" w:hAnsi="Times New Roman" w:eastAsia="宋体" w:cs="Times New Roman"/>
                <w:b/>
                <w:bCs/>
                <w:color w:val="auto"/>
                <w:lang w:val="en-US" w:eastAsia="zh-CN"/>
              </w:rPr>
              <w:t xml:space="preserve">表4.4-1  </w:t>
            </w:r>
            <w:r>
              <w:rPr>
                <w:rFonts w:hint="eastAsia" w:cs="Times New Roman"/>
                <w:b/>
                <w:bCs/>
                <w:color w:val="auto"/>
                <w:lang w:val="en-US" w:eastAsia="zh-CN"/>
              </w:rPr>
              <w:t>拟建</w:t>
            </w:r>
            <w:r>
              <w:rPr>
                <w:rFonts w:hint="default" w:ascii="Times New Roman" w:hAnsi="Times New Roman" w:eastAsia="宋体" w:cs="Times New Roman"/>
                <w:b/>
                <w:bCs/>
                <w:color w:val="auto"/>
                <w:lang w:val="en-US" w:eastAsia="zh-CN"/>
              </w:rPr>
              <w:t xml:space="preserve">项目固体废物属性判别表  </w:t>
            </w:r>
          </w:p>
          <w:tbl>
            <w:tblPr>
              <w:tblStyle w:val="27"/>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43"/>
              <w:gridCol w:w="1222"/>
              <w:gridCol w:w="2276"/>
              <w:gridCol w:w="724"/>
              <w:gridCol w:w="3269"/>
              <w:gridCol w:w="1170"/>
              <w:gridCol w:w="961"/>
              <w:gridCol w:w="923"/>
              <w:gridCol w:w="2257"/>
            </w:tblGrid>
            <w:tr w14:paraId="2E9B9E4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39" w:type="pct"/>
                  <w:vMerge w:val="restart"/>
                  <w:vAlign w:val="center"/>
                </w:tcPr>
                <w:p w14:paraId="7F7BCE7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序号</w:t>
                  </w:r>
                </w:p>
              </w:tc>
              <w:tc>
                <w:tcPr>
                  <w:tcW w:w="454" w:type="pct"/>
                  <w:vMerge w:val="restart"/>
                  <w:vAlign w:val="center"/>
                </w:tcPr>
                <w:p w14:paraId="359DE71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名称</w:t>
                  </w:r>
                </w:p>
              </w:tc>
              <w:tc>
                <w:tcPr>
                  <w:tcW w:w="846" w:type="pct"/>
                  <w:vMerge w:val="restart"/>
                  <w:vAlign w:val="center"/>
                </w:tcPr>
                <w:p w14:paraId="189FF2F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产生工序</w:t>
                  </w:r>
                </w:p>
              </w:tc>
              <w:tc>
                <w:tcPr>
                  <w:tcW w:w="269" w:type="pct"/>
                  <w:vMerge w:val="restart"/>
                  <w:vAlign w:val="center"/>
                </w:tcPr>
                <w:p w14:paraId="3A5FF6C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形态</w:t>
                  </w:r>
                </w:p>
              </w:tc>
              <w:tc>
                <w:tcPr>
                  <w:tcW w:w="1215" w:type="pct"/>
                  <w:vMerge w:val="restart"/>
                  <w:vAlign w:val="center"/>
                </w:tcPr>
                <w:p w14:paraId="621FFEE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主要成分</w:t>
                  </w:r>
                </w:p>
              </w:tc>
              <w:tc>
                <w:tcPr>
                  <w:tcW w:w="435" w:type="pct"/>
                  <w:vMerge w:val="restart"/>
                  <w:vAlign w:val="center"/>
                </w:tcPr>
                <w:p w14:paraId="0CA1F44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b/>
                      <w:bCs/>
                      <w:color w:val="auto"/>
                      <w:sz w:val="18"/>
                      <w:szCs w:val="18"/>
                      <w:lang w:eastAsia="zh-CN"/>
                    </w:rPr>
                  </w:pPr>
                  <w:r>
                    <w:rPr>
                      <w:rFonts w:hint="default" w:ascii="Times New Roman" w:hAnsi="Times New Roman" w:eastAsia="宋体" w:cs="Times New Roman"/>
                      <w:b/>
                      <w:bCs/>
                      <w:color w:val="auto"/>
                      <w:sz w:val="18"/>
                      <w:szCs w:val="18"/>
                      <w:lang w:val="en-US" w:eastAsia="zh-CN"/>
                    </w:rPr>
                    <w:t>产生量</w:t>
                  </w:r>
                  <w:r>
                    <w:rPr>
                      <w:rFonts w:hint="default" w:ascii="Times New Roman" w:hAnsi="Times New Roman" w:eastAsia="宋体" w:cs="Times New Roman"/>
                      <w:b/>
                      <w:bCs/>
                      <w:color w:val="auto"/>
                      <w:sz w:val="18"/>
                      <w:szCs w:val="18"/>
                      <w:lang w:eastAsia="zh-CN"/>
                    </w:rPr>
                    <w:t>（</w:t>
                  </w:r>
                  <w:r>
                    <w:rPr>
                      <w:rFonts w:hint="default" w:ascii="Times New Roman" w:hAnsi="Times New Roman" w:eastAsia="宋体" w:cs="Times New Roman"/>
                      <w:b/>
                      <w:bCs/>
                      <w:color w:val="auto"/>
                      <w:sz w:val="18"/>
                      <w:szCs w:val="18"/>
                      <w:lang w:val="en-US" w:eastAsia="zh-CN"/>
                    </w:rPr>
                    <w:t>t/a</w:t>
                  </w:r>
                  <w:r>
                    <w:rPr>
                      <w:rFonts w:hint="default" w:ascii="Times New Roman" w:hAnsi="Times New Roman" w:eastAsia="宋体" w:cs="Times New Roman"/>
                      <w:b/>
                      <w:bCs/>
                      <w:color w:val="auto"/>
                      <w:sz w:val="18"/>
                      <w:szCs w:val="18"/>
                      <w:lang w:eastAsia="zh-CN"/>
                    </w:rPr>
                    <w:t>）</w:t>
                  </w:r>
                </w:p>
              </w:tc>
              <w:tc>
                <w:tcPr>
                  <w:tcW w:w="1539" w:type="pct"/>
                  <w:gridSpan w:val="3"/>
                  <w:vAlign w:val="center"/>
                </w:tcPr>
                <w:p w14:paraId="2C0471C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种类判断</w:t>
                  </w:r>
                </w:p>
              </w:tc>
            </w:tr>
            <w:tr w14:paraId="000AE19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239" w:type="pct"/>
                  <w:vMerge w:val="continue"/>
                  <w:vAlign w:val="center"/>
                </w:tcPr>
                <w:p w14:paraId="4CCD56A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c>
                <w:tcPr>
                  <w:tcW w:w="454" w:type="pct"/>
                  <w:vMerge w:val="continue"/>
                  <w:vAlign w:val="center"/>
                </w:tcPr>
                <w:p w14:paraId="66079DC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c>
                <w:tcPr>
                  <w:tcW w:w="846" w:type="pct"/>
                  <w:vMerge w:val="continue"/>
                  <w:vAlign w:val="center"/>
                </w:tcPr>
                <w:p w14:paraId="77EE264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c>
                <w:tcPr>
                  <w:tcW w:w="269" w:type="pct"/>
                  <w:vMerge w:val="continue"/>
                  <w:vAlign w:val="center"/>
                </w:tcPr>
                <w:p w14:paraId="0826E43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c>
                <w:tcPr>
                  <w:tcW w:w="1215" w:type="pct"/>
                  <w:vMerge w:val="continue"/>
                  <w:vAlign w:val="center"/>
                </w:tcPr>
                <w:p w14:paraId="480975D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c>
                <w:tcPr>
                  <w:tcW w:w="435" w:type="pct"/>
                  <w:vMerge w:val="continue"/>
                  <w:vAlign w:val="center"/>
                </w:tcPr>
                <w:p w14:paraId="1F5ADB8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p>
              </w:tc>
              <w:tc>
                <w:tcPr>
                  <w:tcW w:w="357" w:type="pct"/>
                  <w:vAlign w:val="center"/>
                </w:tcPr>
                <w:p w14:paraId="6A326B1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固体废物</w:t>
                  </w:r>
                </w:p>
              </w:tc>
              <w:tc>
                <w:tcPr>
                  <w:tcW w:w="343" w:type="pct"/>
                  <w:vAlign w:val="center"/>
                </w:tcPr>
                <w:p w14:paraId="6B0316D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副产品</w:t>
                  </w:r>
                </w:p>
              </w:tc>
              <w:tc>
                <w:tcPr>
                  <w:tcW w:w="839" w:type="pct"/>
                  <w:vAlign w:val="center"/>
                </w:tcPr>
                <w:p w14:paraId="42D79E4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判定依据</w:t>
                  </w:r>
                </w:p>
              </w:tc>
            </w:tr>
            <w:tr w14:paraId="427A821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39" w:type="pct"/>
                  <w:vAlign w:val="center"/>
                </w:tcPr>
                <w:p w14:paraId="148796C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rPr>
                    <w:t>1</w:t>
                  </w:r>
                </w:p>
              </w:tc>
              <w:tc>
                <w:tcPr>
                  <w:tcW w:w="454" w:type="pct"/>
                  <w:vAlign w:val="center"/>
                </w:tcPr>
                <w:p w14:paraId="3249D19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边角料</w:t>
                  </w:r>
                </w:p>
              </w:tc>
              <w:tc>
                <w:tcPr>
                  <w:tcW w:w="846" w:type="pct"/>
                  <w:vAlign w:val="center"/>
                </w:tcPr>
                <w:p w14:paraId="050E5D7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平切、立切、切槽</w:t>
                  </w:r>
                </w:p>
              </w:tc>
              <w:tc>
                <w:tcPr>
                  <w:tcW w:w="269" w:type="pct"/>
                  <w:vAlign w:val="center"/>
                </w:tcPr>
                <w:p w14:paraId="2A29B07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rPr>
                    <w:t>固态</w:t>
                  </w:r>
                </w:p>
              </w:tc>
              <w:tc>
                <w:tcPr>
                  <w:tcW w:w="1215" w:type="pct"/>
                  <w:vAlign w:val="center"/>
                </w:tcPr>
                <w:p w14:paraId="5346141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木浆</w:t>
                  </w:r>
                  <w:r>
                    <w:rPr>
                      <w:rFonts w:hint="eastAsia" w:cs="Times New Roman"/>
                      <w:color w:val="auto"/>
                      <w:kern w:val="2"/>
                      <w:sz w:val="18"/>
                      <w:szCs w:val="18"/>
                      <w:lang w:val="en-US" w:eastAsia="zh-CN" w:bidi="ar-SA"/>
                    </w:rPr>
                    <w:t>、</w:t>
                  </w:r>
                  <w:r>
                    <w:rPr>
                      <w:rFonts w:hint="default" w:ascii="Times New Roman" w:hAnsi="Times New Roman" w:eastAsia="宋体" w:cs="Times New Roman"/>
                      <w:color w:val="auto"/>
                      <w:kern w:val="2"/>
                      <w:sz w:val="18"/>
                      <w:szCs w:val="18"/>
                      <w:lang w:val="en-US" w:eastAsia="zh-CN" w:bidi="ar-SA"/>
                    </w:rPr>
                    <w:t>棉纤维</w:t>
                  </w:r>
                </w:p>
              </w:tc>
              <w:tc>
                <w:tcPr>
                  <w:tcW w:w="435" w:type="pct"/>
                  <w:vAlign w:val="center"/>
                </w:tcPr>
                <w:p w14:paraId="080DFF7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eastAsia" w:cs="Times New Roman"/>
                      <w:color w:val="auto"/>
                      <w:kern w:val="2"/>
                      <w:sz w:val="18"/>
                      <w:szCs w:val="18"/>
                      <w:lang w:val="en-US" w:eastAsia="zh-CN" w:bidi="ar-SA"/>
                    </w:rPr>
                    <w:t>1.2</w:t>
                  </w:r>
                </w:p>
              </w:tc>
              <w:tc>
                <w:tcPr>
                  <w:tcW w:w="357" w:type="pct"/>
                  <w:vAlign w:val="center"/>
                </w:tcPr>
                <w:p w14:paraId="1C5F00E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rPr>
                    <w:t>√</w:t>
                  </w:r>
                </w:p>
              </w:tc>
              <w:tc>
                <w:tcPr>
                  <w:tcW w:w="343" w:type="pct"/>
                  <w:vAlign w:val="center"/>
                </w:tcPr>
                <w:p w14:paraId="428D264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rPr>
                    <w:t>/</w:t>
                  </w:r>
                </w:p>
              </w:tc>
              <w:tc>
                <w:tcPr>
                  <w:tcW w:w="839" w:type="pct"/>
                  <w:vMerge w:val="restart"/>
                  <w:vAlign w:val="center"/>
                </w:tcPr>
                <w:p w14:paraId="422C5C9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《固体废物鉴别标准通则》(GB34330-2017)</w:t>
                  </w:r>
                </w:p>
              </w:tc>
            </w:tr>
            <w:tr w14:paraId="554CA0C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39" w:type="pct"/>
                  <w:vAlign w:val="center"/>
                </w:tcPr>
                <w:p w14:paraId="1E54543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rPr>
                    <w:t>2</w:t>
                  </w:r>
                </w:p>
              </w:tc>
              <w:tc>
                <w:tcPr>
                  <w:tcW w:w="454" w:type="pct"/>
                  <w:vAlign w:val="center"/>
                </w:tcPr>
                <w:p w14:paraId="148E98F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除尘灰</w:t>
                  </w:r>
                </w:p>
              </w:tc>
              <w:tc>
                <w:tcPr>
                  <w:tcW w:w="846" w:type="pct"/>
                  <w:vAlign w:val="center"/>
                </w:tcPr>
                <w:p w14:paraId="64AE5AD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eastAsia" w:cs="Times New Roman"/>
                      <w:color w:val="auto"/>
                      <w:sz w:val="18"/>
                      <w:szCs w:val="18"/>
                      <w:lang w:val="en-US" w:eastAsia="zh-CN"/>
                    </w:rPr>
                    <w:t>袋式除尘</w:t>
                  </w:r>
                </w:p>
              </w:tc>
              <w:tc>
                <w:tcPr>
                  <w:tcW w:w="269" w:type="pct"/>
                  <w:vAlign w:val="center"/>
                </w:tcPr>
                <w:p w14:paraId="2659413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rPr>
                    <w:t>固态</w:t>
                  </w:r>
                </w:p>
              </w:tc>
              <w:tc>
                <w:tcPr>
                  <w:tcW w:w="1215" w:type="pct"/>
                  <w:vAlign w:val="center"/>
                </w:tcPr>
                <w:p w14:paraId="52D174C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eastAsia" w:cs="Times New Roman"/>
                      <w:color w:val="auto"/>
                      <w:sz w:val="18"/>
                      <w:szCs w:val="18"/>
                      <w:lang w:eastAsia="zh-CN"/>
                    </w:rPr>
                    <w:t>灰渣</w:t>
                  </w:r>
                </w:p>
              </w:tc>
              <w:tc>
                <w:tcPr>
                  <w:tcW w:w="435" w:type="pct"/>
                  <w:vAlign w:val="center"/>
                </w:tcPr>
                <w:p w14:paraId="681FC4F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eastAsia" w:cs="Times New Roman"/>
                      <w:color w:val="auto"/>
                      <w:kern w:val="0"/>
                      <w:sz w:val="18"/>
                      <w:szCs w:val="18"/>
                      <w:lang w:val="en-US" w:eastAsia="zh-CN" w:bidi="ar"/>
                    </w:rPr>
                    <w:t>0.745</w:t>
                  </w:r>
                </w:p>
              </w:tc>
              <w:tc>
                <w:tcPr>
                  <w:tcW w:w="357" w:type="pct"/>
                  <w:vAlign w:val="center"/>
                </w:tcPr>
                <w:p w14:paraId="05333D8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rPr>
                    <w:t>√</w:t>
                  </w:r>
                </w:p>
              </w:tc>
              <w:tc>
                <w:tcPr>
                  <w:tcW w:w="343" w:type="pct"/>
                  <w:vAlign w:val="center"/>
                </w:tcPr>
                <w:p w14:paraId="576AF09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rPr>
                    <w:t>/</w:t>
                  </w:r>
                </w:p>
              </w:tc>
              <w:tc>
                <w:tcPr>
                  <w:tcW w:w="839" w:type="pct"/>
                  <w:vMerge w:val="continue"/>
                  <w:vAlign w:val="center"/>
                </w:tcPr>
                <w:p w14:paraId="4FE4B86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p>
              </w:tc>
            </w:tr>
            <w:tr w14:paraId="2AB66FB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0" w:hRule="atLeast"/>
                <w:jc w:val="center"/>
              </w:trPr>
              <w:tc>
                <w:tcPr>
                  <w:tcW w:w="239" w:type="pct"/>
                  <w:vAlign w:val="center"/>
                </w:tcPr>
                <w:p w14:paraId="69140D9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rPr>
                    <w:t>3</w:t>
                  </w:r>
                </w:p>
              </w:tc>
              <w:tc>
                <w:tcPr>
                  <w:tcW w:w="454" w:type="pct"/>
                  <w:vAlign w:val="center"/>
                </w:tcPr>
                <w:p w14:paraId="4018FA0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cs="Times New Roman"/>
                      <w:color w:val="auto"/>
                      <w:sz w:val="18"/>
                      <w:szCs w:val="18"/>
                      <w:lang w:val="en-US" w:eastAsia="zh-CN"/>
                    </w:rPr>
                    <w:t>不合格品</w:t>
                  </w:r>
                </w:p>
              </w:tc>
              <w:tc>
                <w:tcPr>
                  <w:tcW w:w="846" w:type="pct"/>
                  <w:vAlign w:val="center"/>
                </w:tcPr>
                <w:p w14:paraId="3D1854A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eastAsia" w:cs="Times New Roman"/>
                      <w:color w:val="auto"/>
                      <w:sz w:val="18"/>
                      <w:szCs w:val="18"/>
                      <w:lang w:val="en-US" w:eastAsia="zh-CN"/>
                    </w:rPr>
                    <w:t>检验</w:t>
                  </w:r>
                </w:p>
              </w:tc>
              <w:tc>
                <w:tcPr>
                  <w:tcW w:w="269" w:type="pct"/>
                  <w:vAlign w:val="center"/>
                </w:tcPr>
                <w:p w14:paraId="7B2189C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rPr>
                    <w:t>固态</w:t>
                  </w:r>
                </w:p>
              </w:tc>
              <w:tc>
                <w:tcPr>
                  <w:tcW w:w="1215" w:type="pct"/>
                  <w:vAlign w:val="center"/>
                </w:tcPr>
                <w:p w14:paraId="459F43C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cs="Times New Roman"/>
                      <w:color w:val="auto"/>
                      <w:sz w:val="18"/>
                      <w:szCs w:val="18"/>
                      <w:lang w:eastAsia="zh-CN"/>
                    </w:rPr>
                    <w:t>不合格基料、辅助液、膨胀条</w:t>
                  </w:r>
                  <w:r>
                    <w:rPr>
                      <w:rFonts w:hint="default" w:ascii="Times New Roman" w:hAnsi="Times New Roman" w:eastAsia="宋体" w:cs="Times New Roman"/>
                      <w:color w:val="auto"/>
                      <w:sz w:val="18"/>
                      <w:szCs w:val="18"/>
                    </w:rPr>
                    <w:t>、</w:t>
                  </w:r>
                  <w:r>
                    <w:rPr>
                      <w:rFonts w:hint="eastAsia" w:cs="Times New Roman"/>
                      <w:color w:val="auto"/>
                      <w:sz w:val="18"/>
                      <w:szCs w:val="18"/>
                      <w:lang w:eastAsia="zh-CN"/>
                    </w:rPr>
                    <w:t>阻燃剂</w:t>
                  </w:r>
                </w:p>
              </w:tc>
              <w:tc>
                <w:tcPr>
                  <w:tcW w:w="435" w:type="pct"/>
                  <w:vAlign w:val="center"/>
                </w:tcPr>
                <w:p w14:paraId="76AE08C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cs="Times New Roman"/>
                      <w:color w:val="auto"/>
                      <w:sz w:val="18"/>
                      <w:szCs w:val="18"/>
                      <w:lang w:val="en-US" w:eastAsia="zh-CN"/>
                    </w:rPr>
                    <w:t>5</w:t>
                  </w:r>
                </w:p>
              </w:tc>
              <w:tc>
                <w:tcPr>
                  <w:tcW w:w="357" w:type="pct"/>
                  <w:vAlign w:val="center"/>
                </w:tcPr>
                <w:p w14:paraId="0C3D429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rPr>
                    <w:t>√</w:t>
                  </w:r>
                </w:p>
              </w:tc>
              <w:tc>
                <w:tcPr>
                  <w:tcW w:w="343" w:type="pct"/>
                  <w:vAlign w:val="center"/>
                </w:tcPr>
                <w:p w14:paraId="1881EFC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rPr>
                    <w:t>/</w:t>
                  </w:r>
                </w:p>
              </w:tc>
              <w:tc>
                <w:tcPr>
                  <w:tcW w:w="839" w:type="pct"/>
                  <w:vMerge w:val="continue"/>
                  <w:vAlign w:val="center"/>
                </w:tcPr>
                <w:p w14:paraId="34BF831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p>
              </w:tc>
            </w:tr>
            <w:tr w14:paraId="7679096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39" w:type="pct"/>
                  <w:vAlign w:val="center"/>
                </w:tcPr>
                <w:p w14:paraId="7351A4F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z w:val="18"/>
                      <w:szCs w:val="18"/>
                      <w:lang w:val="en-US" w:eastAsia="zh-CN"/>
                    </w:rPr>
                  </w:pPr>
                  <w:r>
                    <w:rPr>
                      <w:rFonts w:hint="eastAsia" w:cs="Times New Roman"/>
                      <w:color w:val="auto"/>
                      <w:sz w:val="18"/>
                      <w:szCs w:val="18"/>
                      <w:lang w:val="en-US" w:eastAsia="zh-CN"/>
                    </w:rPr>
                    <w:t>4</w:t>
                  </w:r>
                </w:p>
              </w:tc>
              <w:tc>
                <w:tcPr>
                  <w:tcW w:w="454" w:type="pct"/>
                  <w:vAlign w:val="center"/>
                </w:tcPr>
                <w:p w14:paraId="427BF44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eastAsia" w:cs="Times New Roman"/>
                      <w:color w:val="auto"/>
                      <w:sz w:val="18"/>
                      <w:szCs w:val="18"/>
                      <w:lang w:val="en-US" w:eastAsia="zh-CN"/>
                    </w:rPr>
                  </w:pPr>
                  <w:r>
                    <w:rPr>
                      <w:rFonts w:hint="default" w:ascii="Times New Roman" w:hAnsi="Times New Roman" w:cs="Times New Roman"/>
                      <w:color w:val="auto"/>
                      <w:sz w:val="18"/>
                      <w:szCs w:val="18"/>
                    </w:rPr>
                    <w:t>生活垃圾</w:t>
                  </w:r>
                </w:p>
              </w:tc>
              <w:tc>
                <w:tcPr>
                  <w:tcW w:w="846" w:type="pct"/>
                  <w:vAlign w:val="center"/>
                </w:tcPr>
                <w:p w14:paraId="1A8E675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eastAsia" w:cs="Times New Roman"/>
                      <w:color w:val="auto"/>
                      <w:sz w:val="18"/>
                      <w:szCs w:val="18"/>
                      <w:lang w:val="en-US" w:eastAsia="zh-CN"/>
                    </w:rPr>
                  </w:pPr>
                  <w:r>
                    <w:rPr>
                      <w:rFonts w:hint="default" w:ascii="Times New Roman" w:hAnsi="Times New Roman" w:cs="Times New Roman"/>
                      <w:color w:val="auto"/>
                      <w:sz w:val="18"/>
                      <w:szCs w:val="18"/>
                    </w:rPr>
                    <w:t>职工生活</w:t>
                  </w:r>
                </w:p>
              </w:tc>
              <w:tc>
                <w:tcPr>
                  <w:tcW w:w="269" w:type="pct"/>
                  <w:vAlign w:val="center"/>
                </w:tcPr>
                <w:p w14:paraId="67F86EE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cs="Times New Roman"/>
                      <w:color w:val="auto"/>
                      <w:sz w:val="18"/>
                      <w:szCs w:val="18"/>
                    </w:rPr>
                    <w:t>固态</w:t>
                  </w:r>
                </w:p>
              </w:tc>
              <w:tc>
                <w:tcPr>
                  <w:tcW w:w="1215" w:type="pct"/>
                  <w:vAlign w:val="center"/>
                </w:tcPr>
                <w:p w14:paraId="0BC846A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eastAsia" w:cs="Times New Roman"/>
                      <w:color w:val="auto"/>
                      <w:sz w:val="18"/>
                      <w:szCs w:val="18"/>
                      <w:lang w:eastAsia="zh-CN"/>
                    </w:rPr>
                  </w:pPr>
                  <w:r>
                    <w:rPr>
                      <w:rFonts w:hint="default" w:ascii="Times New Roman" w:hAnsi="Times New Roman" w:cs="Times New Roman"/>
                      <w:color w:val="auto"/>
                      <w:sz w:val="18"/>
                      <w:szCs w:val="18"/>
                    </w:rPr>
                    <w:t>纸屑、果皮等</w:t>
                  </w:r>
                </w:p>
              </w:tc>
              <w:tc>
                <w:tcPr>
                  <w:tcW w:w="435" w:type="pct"/>
                  <w:vAlign w:val="center"/>
                </w:tcPr>
                <w:p w14:paraId="5BF18C5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cs="Times New Roman"/>
                      <w:color w:val="auto"/>
                      <w:sz w:val="18"/>
                      <w:szCs w:val="18"/>
                      <w:lang w:val="en-US" w:eastAsia="zh-CN"/>
                    </w:rPr>
                  </w:pPr>
                  <w:r>
                    <w:rPr>
                      <w:rFonts w:hint="eastAsia" w:ascii="Times New Roman" w:hAnsi="Times New Roman" w:cs="Times New Roman"/>
                      <w:color w:val="auto"/>
                      <w:kern w:val="2"/>
                      <w:sz w:val="18"/>
                      <w:szCs w:val="18"/>
                      <w:lang w:val="en-US" w:eastAsia="zh-CN" w:bidi="ar-SA"/>
                    </w:rPr>
                    <w:t>1.512</w:t>
                  </w:r>
                </w:p>
              </w:tc>
              <w:tc>
                <w:tcPr>
                  <w:tcW w:w="357" w:type="pct"/>
                  <w:vAlign w:val="center"/>
                </w:tcPr>
                <w:p w14:paraId="706314A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cs="Times New Roman"/>
                      <w:color w:val="auto"/>
                      <w:sz w:val="18"/>
                      <w:szCs w:val="18"/>
                    </w:rPr>
                    <w:t>√</w:t>
                  </w:r>
                </w:p>
              </w:tc>
              <w:tc>
                <w:tcPr>
                  <w:tcW w:w="343" w:type="pct"/>
                  <w:vAlign w:val="center"/>
                </w:tcPr>
                <w:p w14:paraId="4A0EB40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cs="Times New Roman"/>
                      <w:color w:val="auto"/>
                      <w:sz w:val="18"/>
                      <w:szCs w:val="18"/>
                    </w:rPr>
                    <w:t>/</w:t>
                  </w:r>
                </w:p>
              </w:tc>
              <w:tc>
                <w:tcPr>
                  <w:tcW w:w="839" w:type="pct"/>
                  <w:vMerge w:val="continue"/>
                  <w:vAlign w:val="center"/>
                </w:tcPr>
                <w:p w14:paraId="7FD99FC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p>
              </w:tc>
            </w:tr>
          </w:tbl>
          <w:p w14:paraId="4DA87AAA">
            <w:pPr>
              <w:keepNext w:val="0"/>
              <w:keepLines w:val="0"/>
              <w:pageBreakBefore w:val="0"/>
              <w:widowControl w:val="0"/>
              <w:suppressLineNumbers w:val="0"/>
              <w:kinsoku/>
              <w:wordWrap/>
              <w:overflowPunct/>
              <w:topLinePunct w:val="0"/>
              <w:autoSpaceDE/>
              <w:autoSpaceDN/>
              <w:bidi w:val="0"/>
              <w:adjustRightInd/>
              <w:snapToGrid/>
              <w:spacing w:before="157" w:beforeLines="5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lang w:val="en-US" w:eastAsia="zh-CN"/>
              </w:rPr>
            </w:pPr>
            <w:r>
              <w:rPr>
                <w:rFonts w:hint="default" w:ascii="Times New Roman" w:hAnsi="Times New Roman" w:eastAsia="宋体" w:cs="Times New Roman"/>
                <w:b/>
                <w:bCs/>
                <w:color w:val="auto"/>
                <w:lang w:val="en-US" w:eastAsia="zh-CN"/>
              </w:rPr>
              <w:t xml:space="preserve">表4.4-2  </w:t>
            </w:r>
            <w:r>
              <w:rPr>
                <w:rFonts w:hint="eastAsia" w:cs="Times New Roman"/>
                <w:b/>
                <w:bCs/>
                <w:color w:val="auto"/>
                <w:lang w:val="en-US" w:eastAsia="zh-CN"/>
              </w:rPr>
              <w:t>拟建</w:t>
            </w:r>
            <w:r>
              <w:rPr>
                <w:rFonts w:hint="default" w:ascii="Times New Roman" w:hAnsi="Times New Roman" w:eastAsia="宋体" w:cs="Times New Roman"/>
                <w:b/>
                <w:bCs/>
                <w:color w:val="auto"/>
                <w:lang w:val="en-US" w:eastAsia="zh-CN"/>
              </w:rPr>
              <w:t xml:space="preserve">项目固体废物污染源源强核算结果及相关参数一览表  </w:t>
            </w:r>
          </w:p>
          <w:tbl>
            <w:tblPr>
              <w:tblStyle w:val="27"/>
              <w:tblW w:w="5000" w:type="pct"/>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28" w:type="dxa"/>
                <w:bottom w:w="0" w:type="dxa"/>
                <w:right w:w="28" w:type="dxa"/>
              </w:tblCellMar>
            </w:tblPr>
            <w:tblGrid>
              <w:gridCol w:w="1240"/>
              <w:gridCol w:w="1838"/>
              <w:gridCol w:w="1574"/>
              <w:gridCol w:w="939"/>
              <w:gridCol w:w="1450"/>
              <w:gridCol w:w="1598"/>
              <w:gridCol w:w="1203"/>
              <w:gridCol w:w="1625"/>
              <w:gridCol w:w="775"/>
              <w:gridCol w:w="1203"/>
            </w:tblGrid>
            <w:tr w14:paraId="6B05DC74">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461" w:type="pct"/>
                  <w:vMerge w:val="restart"/>
                  <w:tcBorders>
                    <w:tl2br w:val="nil"/>
                    <w:tr2bl w:val="nil"/>
                  </w:tcBorders>
                  <w:vAlign w:val="center"/>
                </w:tcPr>
                <w:p w14:paraId="348C4D3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工序/生产线</w:t>
                  </w:r>
                </w:p>
              </w:tc>
              <w:tc>
                <w:tcPr>
                  <w:tcW w:w="683" w:type="pct"/>
                  <w:vMerge w:val="restart"/>
                  <w:tcBorders>
                    <w:tl2br w:val="nil"/>
                    <w:tr2bl w:val="nil"/>
                  </w:tcBorders>
                  <w:vAlign w:val="center"/>
                </w:tcPr>
                <w:p w14:paraId="655A506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装置</w:t>
                  </w:r>
                </w:p>
              </w:tc>
              <w:tc>
                <w:tcPr>
                  <w:tcW w:w="585" w:type="pct"/>
                  <w:vMerge w:val="restart"/>
                  <w:tcBorders>
                    <w:tl2br w:val="nil"/>
                    <w:tr2bl w:val="nil"/>
                  </w:tcBorders>
                  <w:vAlign w:val="center"/>
                </w:tcPr>
                <w:p w14:paraId="75345E7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固体废物名称</w:t>
                  </w:r>
                </w:p>
              </w:tc>
              <w:tc>
                <w:tcPr>
                  <w:tcW w:w="349" w:type="pct"/>
                  <w:vMerge w:val="restart"/>
                  <w:tcBorders>
                    <w:tl2br w:val="nil"/>
                    <w:tr2bl w:val="nil"/>
                  </w:tcBorders>
                  <w:vAlign w:val="center"/>
                </w:tcPr>
                <w:p w14:paraId="45B5998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固废属性</w:t>
                  </w:r>
                </w:p>
              </w:tc>
              <w:tc>
                <w:tcPr>
                  <w:tcW w:w="539" w:type="pct"/>
                  <w:vMerge w:val="restart"/>
                  <w:tcBorders>
                    <w:tl2br w:val="nil"/>
                    <w:tr2bl w:val="nil"/>
                  </w:tcBorders>
                  <w:vAlign w:val="center"/>
                </w:tcPr>
                <w:p w14:paraId="40E00C9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废物代码</w:t>
                  </w:r>
                </w:p>
              </w:tc>
              <w:tc>
                <w:tcPr>
                  <w:tcW w:w="1041" w:type="pct"/>
                  <w:gridSpan w:val="2"/>
                  <w:tcBorders>
                    <w:tl2br w:val="nil"/>
                    <w:tr2bl w:val="nil"/>
                  </w:tcBorders>
                  <w:vAlign w:val="center"/>
                </w:tcPr>
                <w:p w14:paraId="4434C7A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产生情况</w:t>
                  </w:r>
                </w:p>
              </w:tc>
              <w:tc>
                <w:tcPr>
                  <w:tcW w:w="892" w:type="pct"/>
                  <w:gridSpan w:val="2"/>
                  <w:tcBorders>
                    <w:tl2br w:val="nil"/>
                    <w:tr2bl w:val="nil"/>
                  </w:tcBorders>
                  <w:vAlign w:val="center"/>
                </w:tcPr>
                <w:p w14:paraId="053C0BC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处置措施</w:t>
                  </w:r>
                </w:p>
              </w:tc>
              <w:tc>
                <w:tcPr>
                  <w:tcW w:w="447" w:type="pct"/>
                  <w:vMerge w:val="restart"/>
                  <w:tcBorders>
                    <w:tl2br w:val="nil"/>
                    <w:tr2bl w:val="nil"/>
                  </w:tcBorders>
                  <w:vAlign w:val="center"/>
                </w:tcPr>
                <w:p w14:paraId="38B6525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最终去向</w:t>
                  </w:r>
                </w:p>
              </w:tc>
            </w:tr>
            <w:tr w14:paraId="597E53E2">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trHeight w:val="255" w:hRule="atLeast"/>
                <w:jc w:val="center"/>
              </w:trPr>
              <w:tc>
                <w:tcPr>
                  <w:tcW w:w="461" w:type="pct"/>
                  <w:vMerge w:val="continue"/>
                  <w:tcBorders>
                    <w:tl2br w:val="nil"/>
                    <w:tr2bl w:val="nil"/>
                  </w:tcBorders>
                  <w:vAlign w:val="center"/>
                </w:tcPr>
                <w:p w14:paraId="07C7A90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p>
              </w:tc>
              <w:tc>
                <w:tcPr>
                  <w:tcW w:w="683" w:type="pct"/>
                  <w:vMerge w:val="continue"/>
                  <w:tcBorders>
                    <w:tl2br w:val="nil"/>
                    <w:tr2bl w:val="nil"/>
                  </w:tcBorders>
                  <w:vAlign w:val="center"/>
                </w:tcPr>
                <w:p w14:paraId="544DF3B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p>
              </w:tc>
              <w:tc>
                <w:tcPr>
                  <w:tcW w:w="585" w:type="pct"/>
                  <w:vMerge w:val="continue"/>
                  <w:tcBorders>
                    <w:tl2br w:val="nil"/>
                    <w:tr2bl w:val="nil"/>
                  </w:tcBorders>
                  <w:vAlign w:val="center"/>
                </w:tcPr>
                <w:p w14:paraId="4CE2412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p>
              </w:tc>
              <w:tc>
                <w:tcPr>
                  <w:tcW w:w="349" w:type="pct"/>
                  <w:vMerge w:val="continue"/>
                  <w:tcBorders>
                    <w:tl2br w:val="nil"/>
                    <w:tr2bl w:val="nil"/>
                  </w:tcBorders>
                  <w:vAlign w:val="center"/>
                </w:tcPr>
                <w:p w14:paraId="289FD53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p>
              </w:tc>
              <w:tc>
                <w:tcPr>
                  <w:tcW w:w="539" w:type="pct"/>
                  <w:vMerge w:val="continue"/>
                  <w:tcBorders>
                    <w:tl2br w:val="nil"/>
                    <w:tr2bl w:val="nil"/>
                  </w:tcBorders>
                  <w:vAlign w:val="center"/>
                </w:tcPr>
                <w:p w14:paraId="188307E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p>
              </w:tc>
              <w:tc>
                <w:tcPr>
                  <w:tcW w:w="594" w:type="pct"/>
                  <w:tcBorders>
                    <w:tl2br w:val="nil"/>
                    <w:tr2bl w:val="nil"/>
                  </w:tcBorders>
                  <w:vAlign w:val="center"/>
                </w:tcPr>
                <w:p w14:paraId="1245118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核算方法</w:t>
                  </w:r>
                </w:p>
              </w:tc>
              <w:tc>
                <w:tcPr>
                  <w:tcW w:w="447" w:type="pct"/>
                  <w:tcBorders>
                    <w:tl2br w:val="nil"/>
                    <w:tr2bl w:val="nil"/>
                  </w:tcBorders>
                  <w:vAlign w:val="center"/>
                </w:tcPr>
                <w:p w14:paraId="59D04DB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lang w:eastAsia="zh-CN"/>
                    </w:rPr>
                  </w:pPr>
                  <w:r>
                    <w:rPr>
                      <w:rFonts w:hint="default" w:ascii="Times New Roman" w:hAnsi="Times New Roman" w:eastAsia="宋体" w:cs="Times New Roman"/>
                      <w:b/>
                      <w:color w:val="auto"/>
                      <w:sz w:val="18"/>
                      <w:szCs w:val="18"/>
                    </w:rPr>
                    <w:t>产生量</w:t>
                  </w:r>
                  <w:r>
                    <w:rPr>
                      <w:rFonts w:hint="default" w:ascii="Times New Roman" w:hAnsi="Times New Roman" w:eastAsia="宋体" w:cs="Times New Roman"/>
                      <w:b/>
                      <w:bCs w:val="0"/>
                      <w:color w:val="auto"/>
                      <w:sz w:val="18"/>
                      <w:szCs w:val="18"/>
                      <w:lang w:eastAsia="zh-CN"/>
                    </w:rPr>
                    <w:t>（</w:t>
                  </w:r>
                  <w:r>
                    <w:rPr>
                      <w:rFonts w:hint="default" w:ascii="Times New Roman" w:hAnsi="Times New Roman" w:eastAsia="宋体" w:cs="Times New Roman"/>
                      <w:b/>
                      <w:bCs w:val="0"/>
                      <w:color w:val="auto"/>
                      <w:sz w:val="18"/>
                      <w:szCs w:val="18"/>
                      <w:lang w:val="en-US" w:eastAsia="zh-CN"/>
                    </w:rPr>
                    <w:t>t/a</w:t>
                  </w:r>
                  <w:r>
                    <w:rPr>
                      <w:rFonts w:hint="default" w:ascii="Times New Roman" w:hAnsi="Times New Roman" w:eastAsia="宋体" w:cs="Times New Roman"/>
                      <w:b/>
                      <w:bCs w:val="0"/>
                      <w:color w:val="auto"/>
                      <w:sz w:val="18"/>
                      <w:szCs w:val="18"/>
                      <w:lang w:eastAsia="zh-CN"/>
                    </w:rPr>
                    <w:t>）</w:t>
                  </w:r>
                </w:p>
              </w:tc>
              <w:tc>
                <w:tcPr>
                  <w:tcW w:w="604" w:type="pct"/>
                  <w:tcBorders>
                    <w:tl2br w:val="nil"/>
                    <w:tr2bl w:val="nil"/>
                  </w:tcBorders>
                  <w:vAlign w:val="center"/>
                </w:tcPr>
                <w:p w14:paraId="5AFDEC9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工艺</w:t>
                  </w:r>
                </w:p>
              </w:tc>
              <w:tc>
                <w:tcPr>
                  <w:tcW w:w="288" w:type="pct"/>
                  <w:tcBorders>
                    <w:tl2br w:val="nil"/>
                    <w:tr2bl w:val="nil"/>
                  </w:tcBorders>
                  <w:vAlign w:val="center"/>
                </w:tcPr>
                <w:p w14:paraId="5BA46FD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处置</w:t>
                  </w:r>
                  <w:r>
                    <w:rPr>
                      <w:rFonts w:hint="default" w:ascii="Times New Roman" w:hAnsi="Times New Roman" w:eastAsia="宋体" w:cs="Times New Roman"/>
                      <w:b/>
                      <w:color w:val="auto"/>
                      <w:sz w:val="18"/>
                      <w:szCs w:val="18"/>
                      <w:lang w:val="en-US" w:eastAsia="zh-CN"/>
                    </w:rPr>
                    <w:t>/利用</w:t>
                  </w:r>
                  <w:r>
                    <w:rPr>
                      <w:rFonts w:hint="default" w:ascii="Times New Roman" w:hAnsi="Times New Roman" w:eastAsia="宋体" w:cs="Times New Roman"/>
                      <w:b/>
                      <w:color w:val="auto"/>
                      <w:sz w:val="18"/>
                      <w:szCs w:val="18"/>
                    </w:rPr>
                    <w:t>量</w:t>
                  </w:r>
                </w:p>
              </w:tc>
              <w:tc>
                <w:tcPr>
                  <w:tcW w:w="447" w:type="pct"/>
                  <w:vMerge w:val="continue"/>
                  <w:tcBorders>
                    <w:tl2br w:val="nil"/>
                    <w:tr2bl w:val="nil"/>
                  </w:tcBorders>
                  <w:vAlign w:val="center"/>
                </w:tcPr>
                <w:p w14:paraId="34D2229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p>
              </w:tc>
            </w:tr>
            <w:tr w14:paraId="3B951668">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trHeight w:val="255" w:hRule="atLeast"/>
                <w:jc w:val="center"/>
              </w:trPr>
              <w:tc>
                <w:tcPr>
                  <w:tcW w:w="461" w:type="pct"/>
                  <w:tcBorders>
                    <w:tl2br w:val="nil"/>
                    <w:tr2bl w:val="nil"/>
                  </w:tcBorders>
                  <w:vAlign w:val="center"/>
                </w:tcPr>
                <w:p w14:paraId="190719F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kern w:val="2"/>
                      <w:sz w:val="18"/>
                      <w:szCs w:val="18"/>
                      <w:lang w:val="en-US" w:eastAsia="zh-CN" w:bidi="ar-SA"/>
                    </w:rPr>
                    <w:t>平切、立切、切槽</w:t>
                  </w:r>
                </w:p>
              </w:tc>
              <w:tc>
                <w:tcPr>
                  <w:tcW w:w="683" w:type="pct"/>
                  <w:tcBorders>
                    <w:tl2br w:val="nil"/>
                    <w:tr2bl w:val="nil"/>
                  </w:tcBorders>
                  <w:vAlign w:val="center"/>
                </w:tcPr>
                <w:p w14:paraId="23C13C2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z w:val="18"/>
                      <w:szCs w:val="18"/>
                      <w:lang w:val="en-US" w:eastAsia="zh-CN"/>
                    </w:rPr>
                  </w:pPr>
                  <w:r>
                    <w:rPr>
                      <w:rFonts w:hint="eastAsia" w:cs="Times New Roman"/>
                      <w:color w:val="auto"/>
                      <w:sz w:val="18"/>
                      <w:szCs w:val="18"/>
                      <w:lang w:eastAsia="zh-CN"/>
                    </w:rPr>
                    <w:t>平切机、立切机、堵料锯槽机</w:t>
                  </w:r>
                </w:p>
              </w:tc>
              <w:tc>
                <w:tcPr>
                  <w:tcW w:w="585" w:type="pct"/>
                  <w:tcBorders>
                    <w:tl2br w:val="nil"/>
                    <w:tr2bl w:val="nil"/>
                  </w:tcBorders>
                  <w:vAlign w:val="center"/>
                </w:tcPr>
                <w:p w14:paraId="709299A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kern w:val="2"/>
                      <w:sz w:val="18"/>
                      <w:szCs w:val="18"/>
                      <w:lang w:val="en-US" w:eastAsia="zh-CN" w:bidi="ar-SA"/>
                    </w:rPr>
                    <w:t>边角料</w:t>
                  </w:r>
                </w:p>
              </w:tc>
              <w:tc>
                <w:tcPr>
                  <w:tcW w:w="349" w:type="pct"/>
                  <w:vMerge w:val="restart"/>
                  <w:tcBorders>
                    <w:tl2br w:val="nil"/>
                    <w:tr2bl w:val="nil"/>
                  </w:tcBorders>
                  <w:vAlign w:val="center"/>
                </w:tcPr>
                <w:p w14:paraId="1E12EFA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一般工业固废</w:t>
                  </w:r>
                </w:p>
              </w:tc>
              <w:tc>
                <w:tcPr>
                  <w:tcW w:w="539" w:type="pct"/>
                  <w:tcBorders>
                    <w:tl2br w:val="nil"/>
                    <w:tr2bl w:val="nil"/>
                  </w:tcBorders>
                  <w:vAlign w:val="center"/>
                </w:tcPr>
                <w:p w14:paraId="63DC01E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0"/>
                      <w:sz w:val="18"/>
                      <w:szCs w:val="18"/>
                      <w:lang w:val="en-US" w:eastAsia="zh-CN"/>
                    </w:rPr>
                  </w:pPr>
                  <w:r>
                    <w:rPr>
                      <w:rFonts w:hint="default" w:ascii="Times New Roman" w:hAnsi="Times New Roman" w:eastAsia="宋体" w:cs="Times New Roman"/>
                      <w:bCs/>
                      <w:color w:val="auto"/>
                      <w:kern w:val="0"/>
                      <w:sz w:val="18"/>
                      <w:szCs w:val="18"/>
                    </w:rPr>
                    <w:t>SW</w:t>
                  </w:r>
                  <w:r>
                    <w:rPr>
                      <w:rFonts w:hint="eastAsia" w:ascii="Times New Roman" w:hAnsi="Times New Roman" w:eastAsia="宋体" w:cs="Times New Roman"/>
                      <w:bCs/>
                      <w:color w:val="auto"/>
                      <w:kern w:val="0"/>
                      <w:sz w:val="18"/>
                      <w:szCs w:val="18"/>
                      <w:lang w:val="en-US" w:eastAsia="zh-CN"/>
                    </w:rPr>
                    <w:t>17</w:t>
                  </w:r>
                  <w:r>
                    <w:rPr>
                      <w:rFonts w:hint="default" w:ascii="Times New Roman" w:hAnsi="Times New Roman" w:eastAsia="宋体" w:cs="Times New Roman"/>
                      <w:bCs/>
                      <w:color w:val="auto"/>
                      <w:kern w:val="0"/>
                      <w:sz w:val="18"/>
                      <w:szCs w:val="18"/>
                    </w:rPr>
                    <w:t xml:space="preserve"> </w:t>
                  </w:r>
                  <w:r>
                    <w:rPr>
                      <w:rFonts w:hint="default" w:ascii="Times New Roman" w:hAnsi="Times New Roman" w:eastAsia="宋体" w:cs="Times New Roman"/>
                      <w:color w:val="auto"/>
                      <w:kern w:val="0"/>
                      <w:sz w:val="18"/>
                      <w:szCs w:val="18"/>
                      <w:lang w:val="en-US" w:eastAsia="zh-CN"/>
                    </w:rPr>
                    <w:t>900-0</w:t>
                  </w:r>
                  <w:r>
                    <w:rPr>
                      <w:rFonts w:hint="eastAsia" w:cs="Times New Roman"/>
                      <w:color w:val="auto"/>
                      <w:kern w:val="0"/>
                      <w:sz w:val="18"/>
                      <w:szCs w:val="18"/>
                      <w:lang w:val="en-US" w:eastAsia="zh-CN"/>
                    </w:rPr>
                    <w:t>99</w:t>
                  </w:r>
                  <w:r>
                    <w:rPr>
                      <w:rFonts w:hint="default" w:ascii="Times New Roman" w:hAnsi="Times New Roman" w:eastAsia="宋体" w:cs="Times New Roman"/>
                      <w:color w:val="auto"/>
                      <w:kern w:val="0"/>
                      <w:sz w:val="18"/>
                      <w:szCs w:val="18"/>
                      <w:lang w:val="en-US" w:eastAsia="zh-CN"/>
                    </w:rPr>
                    <w:t>-S17</w:t>
                  </w:r>
                </w:p>
              </w:tc>
              <w:tc>
                <w:tcPr>
                  <w:tcW w:w="594" w:type="pct"/>
                  <w:tcBorders>
                    <w:tl2br w:val="nil"/>
                    <w:tr2bl w:val="nil"/>
                  </w:tcBorders>
                  <w:vAlign w:val="center"/>
                </w:tcPr>
                <w:p w14:paraId="3E20A74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物料衡算法</w:t>
                  </w:r>
                </w:p>
              </w:tc>
              <w:tc>
                <w:tcPr>
                  <w:tcW w:w="447" w:type="pct"/>
                  <w:tcBorders>
                    <w:tl2br w:val="nil"/>
                    <w:tr2bl w:val="nil"/>
                  </w:tcBorders>
                  <w:vAlign w:val="center"/>
                </w:tcPr>
                <w:p w14:paraId="15E5D25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0"/>
                      <w:sz w:val="18"/>
                      <w:szCs w:val="18"/>
                      <w:lang w:val="en-US" w:eastAsia="zh-CN"/>
                    </w:rPr>
                  </w:pPr>
                  <w:r>
                    <w:rPr>
                      <w:rFonts w:hint="eastAsia" w:cs="Times New Roman"/>
                      <w:color w:val="auto"/>
                      <w:kern w:val="2"/>
                      <w:sz w:val="18"/>
                      <w:szCs w:val="18"/>
                      <w:lang w:val="en-US" w:eastAsia="zh-CN" w:bidi="ar-SA"/>
                    </w:rPr>
                    <w:t>1.2</w:t>
                  </w:r>
                </w:p>
              </w:tc>
              <w:tc>
                <w:tcPr>
                  <w:tcW w:w="604" w:type="pct"/>
                  <w:tcBorders>
                    <w:tl2br w:val="nil"/>
                    <w:tr2bl w:val="nil"/>
                  </w:tcBorders>
                  <w:vAlign w:val="center"/>
                </w:tcPr>
                <w:p w14:paraId="56D1DC4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lang w:eastAsia="zh-CN"/>
                    </w:rPr>
                    <w:t>外售综合利用</w:t>
                  </w:r>
                </w:p>
              </w:tc>
              <w:tc>
                <w:tcPr>
                  <w:tcW w:w="288" w:type="pct"/>
                  <w:tcBorders>
                    <w:tl2br w:val="nil"/>
                    <w:tr2bl w:val="nil"/>
                  </w:tcBorders>
                  <w:vAlign w:val="center"/>
                </w:tcPr>
                <w:p w14:paraId="1A7D67A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0"/>
                      <w:sz w:val="18"/>
                      <w:szCs w:val="18"/>
                      <w:lang w:val="en-US" w:eastAsia="zh-CN" w:bidi="ar-SA"/>
                    </w:rPr>
                  </w:pPr>
                  <w:r>
                    <w:rPr>
                      <w:rFonts w:hint="eastAsia" w:cs="Times New Roman"/>
                      <w:color w:val="auto"/>
                      <w:kern w:val="2"/>
                      <w:sz w:val="18"/>
                      <w:szCs w:val="18"/>
                      <w:lang w:val="en-US" w:eastAsia="zh-CN" w:bidi="ar-SA"/>
                    </w:rPr>
                    <w:t>1.2</w:t>
                  </w:r>
                </w:p>
              </w:tc>
              <w:tc>
                <w:tcPr>
                  <w:tcW w:w="447" w:type="pct"/>
                  <w:vMerge w:val="restart"/>
                  <w:tcBorders>
                    <w:tl2br w:val="nil"/>
                    <w:tr2bl w:val="nil"/>
                  </w:tcBorders>
                  <w:vAlign w:val="center"/>
                </w:tcPr>
                <w:p w14:paraId="3DC7C23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eastAsia="zh-CN"/>
                    </w:rPr>
                  </w:pPr>
                  <w:r>
                    <w:rPr>
                      <w:rFonts w:hint="eastAsia" w:cs="Times New Roman"/>
                      <w:color w:val="auto"/>
                      <w:sz w:val="18"/>
                      <w:szCs w:val="18"/>
                      <w:lang w:eastAsia="zh-CN"/>
                    </w:rPr>
                    <w:t>送</w:t>
                  </w:r>
                  <w:r>
                    <w:rPr>
                      <w:rFonts w:hint="eastAsia" w:cs="Times New Roman"/>
                      <w:color w:val="auto"/>
                      <w:sz w:val="18"/>
                      <w:szCs w:val="18"/>
                      <w:lang w:eastAsia="zh-CN"/>
                    </w:rPr>
                    <w:t>有资质的</w:t>
                  </w:r>
                  <w:r>
                    <w:rPr>
                      <w:rFonts w:hint="eastAsia" w:cs="Times New Roman"/>
                      <w:color w:val="auto"/>
                      <w:sz w:val="18"/>
                      <w:szCs w:val="18"/>
                      <w:lang w:eastAsia="zh-CN"/>
                    </w:rPr>
                    <w:t>外单位综合利用或处置</w:t>
                  </w:r>
                </w:p>
              </w:tc>
            </w:tr>
            <w:tr w14:paraId="010FD08E">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461" w:type="pct"/>
                  <w:tcBorders>
                    <w:tl2br w:val="nil"/>
                    <w:tr2bl w:val="nil"/>
                  </w:tcBorders>
                  <w:vAlign w:val="center"/>
                </w:tcPr>
                <w:p w14:paraId="0D6BD30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cs="Times New Roman"/>
                      <w:color w:val="auto"/>
                      <w:sz w:val="18"/>
                      <w:szCs w:val="18"/>
                      <w:lang w:val="en-US" w:eastAsia="zh-CN"/>
                    </w:rPr>
                    <w:t>袋式除尘</w:t>
                  </w:r>
                </w:p>
              </w:tc>
              <w:tc>
                <w:tcPr>
                  <w:tcW w:w="683" w:type="pct"/>
                  <w:tcBorders>
                    <w:tl2br w:val="nil"/>
                    <w:tr2bl w:val="nil"/>
                  </w:tcBorders>
                  <w:vAlign w:val="center"/>
                </w:tcPr>
                <w:p w14:paraId="534DFEE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cs="Times New Roman"/>
                      <w:color w:val="auto"/>
                      <w:sz w:val="18"/>
                      <w:szCs w:val="18"/>
                      <w:lang w:eastAsia="zh-CN"/>
                    </w:rPr>
                    <w:t>袋式除尘器</w:t>
                  </w:r>
                </w:p>
              </w:tc>
              <w:tc>
                <w:tcPr>
                  <w:tcW w:w="585" w:type="pct"/>
                  <w:tcBorders>
                    <w:tl2br w:val="nil"/>
                    <w:tr2bl w:val="nil"/>
                  </w:tcBorders>
                  <w:vAlign w:val="center"/>
                </w:tcPr>
                <w:p w14:paraId="75BB5F0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除尘灰</w:t>
                  </w:r>
                </w:p>
              </w:tc>
              <w:tc>
                <w:tcPr>
                  <w:tcW w:w="349" w:type="pct"/>
                  <w:vMerge w:val="continue"/>
                  <w:tcBorders>
                    <w:tl2br w:val="nil"/>
                    <w:tr2bl w:val="nil"/>
                  </w:tcBorders>
                  <w:vAlign w:val="center"/>
                </w:tcPr>
                <w:p w14:paraId="49838A5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p>
              </w:tc>
              <w:tc>
                <w:tcPr>
                  <w:tcW w:w="539" w:type="pct"/>
                  <w:tcBorders>
                    <w:tl2br w:val="nil"/>
                    <w:tr2bl w:val="nil"/>
                  </w:tcBorders>
                  <w:vAlign w:val="center"/>
                </w:tcPr>
                <w:p w14:paraId="5F2DB84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0"/>
                      <w:sz w:val="18"/>
                      <w:szCs w:val="18"/>
                      <w:lang w:val="en-US" w:eastAsia="zh-CN"/>
                    </w:rPr>
                  </w:pPr>
                  <w:r>
                    <w:rPr>
                      <w:rFonts w:hint="default" w:ascii="Times New Roman" w:hAnsi="Times New Roman" w:eastAsia="宋体" w:cs="Times New Roman"/>
                      <w:bCs/>
                      <w:color w:val="auto"/>
                      <w:kern w:val="0"/>
                      <w:sz w:val="18"/>
                      <w:szCs w:val="18"/>
                    </w:rPr>
                    <w:t>SW59 900-0</w:t>
                  </w:r>
                  <w:r>
                    <w:rPr>
                      <w:rFonts w:hint="eastAsia" w:ascii="Times New Roman" w:hAnsi="Times New Roman" w:eastAsia="宋体" w:cs="Times New Roman"/>
                      <w:bCs/>
                      <w:color w:val="auto"/>
                      <w:kern w:val="0"/>
                      <w:sz w:val="18"/>
                      <w:szCs w:val="18"/>
                      <w:lang w:val="en-US" w:eastAsia="zh-CN"/>
                    </w:rPr>
                    <w:t>0</w:t>
                  </w:r>
                  <w:r>
                    <w:rPr>
                      <w:rFonts w:hint="default" w:ascii="Times New Roman" w:hAnsi="Times New Roman" w:eastAsia="宋体" w:cs="Times New Roman"/>
                      <w:bCs/>
                      <w:color w:val="auto"/>
                      <w:kern w:val="0"/>
                      <w:sz w:val="18"/>
                      <w:szCs w:val="18"/>
                    </w:rPr>
                    <w:t>9-S59</w:t>
                  </w:r>
                </w:p>
              </w:tc>
              <w:tc>
                <w:tcPr>
                  <w:tcW w:w="594" w:type="pct"/>
                  <w:tcBorders>
                    <w:tl2br w:val="nil"/>
                    <w:tr2bl w:val="nil"/>
                  </w:tcBorders>
                  <w:vAlign w:val="center"/>
                </w:tcPr>
                <w:p w14:paraId="28CFA6E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rPr>
                      <w:rFonts w:hint="eastAsia" w:ascii="Times New Roman" w:hAnsi="Times New Roman" w:eastAsia="宋体" w:cs="Times New Roman"/>
                      <w:color w:val="auto"/>
                      <w:sz w:val="18"/>
                      <w:szCs w:val="18"/>
                      <w:lang w:eastAsia="zh-CN"/>
                    </w:rPr>
                  </w:pPr>
                  <w:r>
                    <w:rPr>
                      <w:rFonts w:hint="eastAsia" w:cs="Times New Roman"/>
                      <w:color w:val="auto"/>
                      <w:sz w:val="18"/>
                      <w:szCs w:val="18"/>
                      <w:lang w:eastAsia="zh-CN"/>
                    </w:rPr>
                    <w:t>产污系数法</w:t>
                  </w:r>
                </w:p>
              </w:tc>
              <w:tc>
                <w:tcPr>
                  <w:tcW w:w="447" w:type="pct"/>
                  <w:tcBorders>
                    <w:tl2br w:val="nil"/>
                    <w:tr2bl w:val="nil"/>
                  </w:tcBorders>
                  <w:vAlign w:val="center"/>
                </w:tcPr>
                <w:p w14:paraId="16F2122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0"/>
                      <w:sz w:val="18"/>
                      <w:szCs w:val="18"/>
                      <w:lang w:val="en-US" w:eastAsia="zh-CN"/>
                    </w:rPr>
                  </w:pPr>
                  <w:r>
                    <w:rPr>
                      <w:rFonts w:hint="eastAsia" w:cs="Times New Roman"/>
                      <w:color w:val="auto"/>
                      <w:kern w:val="0"/>
                      <w:sz w:val="18"/>
                      <w:szCs w:val="18"/>
                      <w:lang w:val="en-US" w:eastAsia="zh-CN" w:bidi="ar"/>
                    </w:rPr>
                    <w:t>0.745</w:t>
                  </w:r>
                </w:p>
              </w:tc>
              <w:tc>
                <w:tcPr>
                  <w:tcW w:w="604" w:type="pct"/>
                  <w:tcBorders>
                    <w:tl2br w:val="nil"/>
                    <w:tr2bl w:val="nil"/>
                  </w:tcBorders>
                  <w:vAlign w:val="center"/>
                </w:tcPr>
                <w:p w14:paraId="01E96A9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eastAsia="zh-CN"/>
                    </w:rPr>
                  </w:pPr>
                  <w:r>
                    <w:rPr>
                      <w:rFonts w:hint="default" w:ascii="Times New Roman" w:hAnsi="Times New Roman" w:eastAsia="宋体" w:cs="Times New Roman"/>
                      <w:color w:val="auto"/>
                      <w:sz w:val="18"/>
                      <w:szCs w:val="18"/>
                      <w:lang w:eastAsia="zh-CN"/>
                    </w:rPr>
                    <w:t>外售综合利用</w:t>
                  </w:r>
                </w:p>
              </w:tc>
              <w:tc>
                <w:tcPr>
                  <w:tcW w:w="288" w:type="pct"/>
                  <w:tcBorders>
                    <w:tl2br w:val="nil"/>
                    <w:tr2bl w:val="nil"/>
                  </w:tcBorders>
                  <w:vAlign w:val="center"/>
                </w:tcPr>
                <w:p w14:paraId="7A3933B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0"/>
                      <w:sz w:val="18"/>
                      <w:szCs w:val="18"/>
                      <w:lang w:val="en-US" w:eastAsia="zh-CN" w:bidi="ar-SA"/>
                    </w:rPr>
                  </w:pPr>
                  <w:r>
                    <w:rPr>
                      <w:rFonts w:hint="eastAsia" w:cs="Times New Roman"/>
                      <w:color w:val="auto"/>
                      <w:kern w:val="0"/>
                      <w:sz w:val="18"/>
                      <w:szCs w:val="18"/>
                      <w:lang w:val="en-US" w:eastAsia="zh-CN" w:bidi="ar"/>
                    </w:rPr>
                    <w:t>0.745</w:t>
                  </w:r>
                </w:p>
              </w:tc>
              <w:tc>
                <w:tcPr>
                  <w:tcW w:w="447" w:type="pct"/>
                  <w:vMerge w:val="continue"/>
                  <w:tcBorders>
                    <w:tl2br w:val="nil"/>
                    <w:tr2bl w:val="nil"/>
                  </w:tcBorders>
                  <w:vAlign w:val="center"/>
                </w:tcPr>
                <w:p w14:paraId="5DE7837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z w:val="18"/>
                      <w:szCs w:val="18"/>
                    </w:rPr>
                  </w:pPr>
                </w:p>
              </w:tc>
            </w:tr>
            <w:tr w14:paraId="07772B17">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trHeight w:val="270" w:hRule="atLeast"/>
                <w:jc w:val="center"/>
              </w:trPr>
              <w:tc>
                <w:tcPr>
                  <w:tcW w:w="1144" w:type="pct"/>
                  <w:gridSpan w:val="2"/>
                  <w:tcBorders>
                    <w:tl2br w:val="nil"/>
                    <w:tr2bl w:val="nil"/>
                  </w:tcBorders>
                  <w:vAlign w:val="center"/>
                </w:tcPr>
                <w:p w14:paraId="4A43106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cs="Times New Roman"/>
                      <w:color w:val="auto"/>
                      <w:sz w:val="18"/>
                      <w:szCs w:val="18"/>
                      <w:lang w:val="en-US" w:eastAsia="zh-CN"/>
                    </w:rPr>
                    <w:t>检验</w:t>
                  </w:r>
                </w:p>
              </w:tc>
              <w:tc>
                <w:tcPr>
                  <w:tcW w:w="585" w:type="pct"/>
                  <w:tcBorders>
                    <w:tl2br w:val="nil"/>
                    <w:tr2bl w:val="nil"/>
                  </w:tcBorders>
                  <w:vAlign w:val="center"/>
                </w:tcPr>
                <w:p w14:paraId="1F20494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rPr>
                  </w:pPr>
                  <w:r>
                    <w:rPr>
                      <w:rFonts w:hint="eastAsia" w:cs="Times New Roman"/>
                      <w:color w:val="auto"/>
                      <w:sz w:val="18"/>
                      <w:szCs w:val="18"/>
                      <w:lang w:val="en-US" w:eastAsia="zh-CN"/>
                    </w:rPr>
                    <w:t>不合格品</w:t>
                  </w:r>
                </w:p>
              </w:tc>
              <w:tc>
                <w:tcPr>
                  <w:tcW w:w="349" w:type="pct"/>
                  <w:vMerge w:val="continue"/>
                  <w:tcBorders>
                    <w:tl2br w:val="nil"/>
                    <w:tr2bl w:val="nil"/>
                  </w:tcBorders>
                  <w:vAlign w:val="center"/>
                </w:tcPr>
                <w:p w14:paraId="7870588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p>
              </w:tc>
              <w:tc>
                <w:tcPr>
                  <w:tcW w:w="539" w:type="pct"/>
                  <w:tcBorders>
                    <w:tl2br w:val="nil"/>
                    <w:tr2bl w:val="nil"/>
                  </w:tcBorders>
                  <w:vAlign w:val="center"/>
                </w:tcPr>
                <w:p w14:paraId="276857A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kern w:val="0"/>
                      <w:sz w:val="18"/>
                      <w:szCs w:val="18"/>
                      <w:lang w:val="en-US" w:eastAsia="zh-CN"/>
                    </w:rPr>
                  </w:pPr>
                  <w:r>
                    <w:rPr>
                      <w:rFonts w:hint="default" w:ascii="Times New Roman" w:hAnsi="Times New Roman" w:eastAsia="宋体" w:cs="Times New Roman"/>
                      <w:bCs/>
                      <w:color w:val="auto"/>
                      <w:kern w:val="0"/>
                      <w:sz w:val="18"/>
                      <w:szCs w:val="18"/>
                    </w:rPr>
                    <w:t>SW</w:t>
                  </w:r>
                  <w:r>
                    <w:rPr>
                      <w:rFonts w:hint="eastAsia" w:ascii="Times New Roman" w:hAnsi="Times New Roman" w:eastAsia="宋体" w:cs="Times New Roman"/>
                      <w:bCs/>
                      <w:color w:val="auto"/>
                      <w:kern w:val="0"/>
                      <w:sz w:val="18"/>
                      <w:szCs w:val="18"/>
                      <w:lang w:val="en-US" w:eastAsia="zh-CN"/>
                    </w:rPr>
                    <w:t>17</w:t>
                  </w:r>
                  <w:r>
                    <w:rPr>
                      <w:rFonts w:hint="default" w:ascii="Times New Roman" w:hAnsi="Times New Roman" w:eastAsia="宋体" w:cs="Times New Roman"/>
                      <w:bCs/>
                      <w:color w:val="auto"/>
                      <w:kern w:val="0"/>
                      <w:sz w:val="18"/>
                      <w:szCs w:val="18"/>
                    </w:rPr>
                    <w:t xml:space="preserve"> </w:t>
                  </w:r>
                  <w:r>
                    <w:rPr>
                      <w:rFonts w:hint="default" w:ascii="Times New Roman" w:hAnsi="Times New Roman" w:eastAsia="宋体" w:cs="Times New Roman"/>
                      <w:color w:val="auto"/>
                      <w:kern w:val="0"/>
                      <w:sz w:val="18"/>
                      <w:szCs w:val="18"/>
                      <w:lang w:val="en-US" w:eastAsia="zh-CN"/>
                    </w:rPr>
                    <w:t>900-0</w:t>
                  </w:r>
                  <w:r>
                    <w:rPr>
                      <w:rFonts w:hint="eastAsia" w:cs="Times New Roman"/>
                      <w:color w:val="auto"/>
                      <w:kern w:val="0"/>
                      <w:sz w:val="18"/>
                      <w:szCs w:val="18"/>
                      <w:lang w:val="en-US" w:eastAsia="zh-CN"/>
                    </w:rPr>
                    <w:t>99</w:t>
                  </w:r>
                  <w:r>
                    <w:rPr>
                      <w:rFonts w:hint="default" w:ascii="Times New Roman" w:hAnsi="Times New Roman" w:eastAsia="宋体" w:cs="Times New Roman"/>
                      <w:color w:val="auto"/>
                      <w:kern w:val="0"/>
                      <w:sz w:val="18"/>
                      <w:szCs w:val="18"/>
                      <w:lang w:val="en-US" w:eastAsia="zh-CN"/>
                    </w:rPr>
                    <w:t>-S17</w:t>
                  </w:r>
                </w:p>
              </w:tc>
              <w:tc>
                <w:tcPr>
                  <w:tcW w:w="594" w:type="pct"/>
                  <w:tcBorders>
                    <w:tl2br w:val="nil"/>
                    <w:tr2bl w:val="nil"/>
                  </w:tcBorders>
                  <w:vAlign w:val="center"/>
                </w:tcPr>
                <w:p w14:paraId="01E06BE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rPr>
                      <w:rFonts w:hint="eastAsia"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rPr>
                    <w:t>物料衡算法</w:t>
                  </w:r>
                  <w:r>
                    <w:rPr>
                      <w:rFonts w:hint="eastAsia" w:cs="Times New Roman"/>
                      <w:color w:val="auto"/>
                      <w:sz w:val="18"/>
                      <w:szCs w:val="18"/>
                      <w:lang w:val="en-US" w:eastAsia="zh-CN"/>
                    </w:rPr>
                    <w:t>/产污系数法</w:t>
                  </w:r>
                </w:p>
              </w:tc>
              <w:tc>
                <w:tcPr>
                  <w:tcW w:w="447" w:type="pct"/>
                  <w:tcBorders>
                    <w:tl2br w:val="nil"/>
                    <w:tr2bl w:val="nil"/>
                  </w:tcBorders>
                  <w:vAlign w:val="center"/>
                </w:tcPr>
                <w:p w14:paraId="7BDA0CA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0"/>
                      <w:sz w:val="18"/>
                      <w:szCs w:val="18"/>
                      <w:lang w:val="en-US" w:eastAsia="zh-CN"/>
                    </w:rPr>
                  </w:pPr>
                  <w:r>
                    <w:rPr>
                      <w:rFonts w:hint="eastAsia" w:cs="Times New Roman"/>
                      <w:color w:val="auto"/>
                      <w:sz w:val="18"/>
                      <w:szCs w:val="18"/>
                      <w:lang w:val="en-US" w:eastAsia="zh-CN"/>
                    </w:rPr>
                    <w:t>5</w:t>
                  </w:r>
                </w:p>
              </w:tc>
              <w:tc>
                <w:tcPr>
                  <w:tcW w:w="604" w:type="pct"/>
                  <w:tcBorders>
                    <w:tl2br w:val="nil"/>
                    <w:tr2bl w:val="nil"/>
                  </w:tcBorders>
                  <w:vAlign w:val="center"/>
                </w:tcPr>
                <w:p w14:paraId="6DE7A40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统一收集</w:t>
                  </w:r>
                  <w:r>
                    <w:rPr>
                      <w:rFonts w:hint="default" w:ascii="Times New Roman" w:hAnsi="Times New Roman" w:eastAsia="宋体" w:cs="Times New Roman"/>
                      <w:color w:val="auto"/>
                      <w:sz w:val="18"/>
                      <w:szCs w:val="18"/>
                      <w:lang w:eastAsia="zh-CN"/>
                    </w:rPr>
                    <w:t>后生产线回用</w:t>
                  </w:r>
                </w:p>
              </w:tc>
              <w:tc>
                <w:tcPr>
                  <w:tcW w:w="288" w:type="pct"/>
                  <w:tcBorders>
                    <w:tl2br w:val="nil"/>
                    <w:tr2bl w:val="nil"/>
                  </w:tcBorders>
                  <w:vAlign w:val="center"/>
                </w:tcPr>
                <w:p w14:paraId="29A9654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0"/>
                      <w:sz w:val="18"/>
                      <w:szCs w:val="18"/>
                      <w:lang w:val="en-US" w:eastAsia="zh-CN" w:bidi="ar-SA"/>
                    </w:rPr>
                  </w:pPr>
                  <w:r>
                    <w:rPr>
                      <w:rFonts w:hint="eastAsia" w:cs="Times New Roman"/>
                      <w:color w:val="auto"/>
                      <w:sz w:val="18"/>
                      <w:szCs w:val="18"/>
                      <w:lang w:val="en-US" w:eastAsia="zh-CN"/>
                    </w:rPr>
                    <w:t>5</w:t>
                  </w:r>
                </w:p>
              </w:tc>
              <w:tc>
                <w:tcPr>
                  <w:tcW w:w="447" w:type="pct"/>
                  <w:tcBorders>
                    <w:tl2br w:val="nil"/>
                    <w:tr2bl w:val="nil"/>
                  </w:tcBorders>
                  <w:vAlign w:val="center"/>
                </w:tcPr>
                <w:p w14:paraId="241DAC1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z w:val="18"/>
                      <w:szCs w:val="18"/>
                    </w:rPr>
                  </w:pPr>
                  <w:r>
                    <w:rPr>
                      <w:rFonts w:hint="eastAsia" w:cs="Times New Roman"/>
                      <w:color w:val="auto"/>
                      <w:sz w:val="18"/>
                      <w:szCs w:val="18"/>
                      <w:lang w:eastAsia="zh-CN"/>
                    </w:rPr>
                    <w:t>本单位生产线回用</w:t>
                  </w:r>
                </w:p>
              </w:tc>
            </w:tr>
            <w:tr w14:paraId="4BE0EE10">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trHeight w:val="270" w:hRule="atLeast"/>
                <w:jc w:val="center"/>
              </w:trPr>
              <w:tc>
                <w:tcPr>
                  <w:tcW w:w="1144" w:type="pct"/>
                  <w:gridSpan w:val="2"/>
                  <w:tcBorders>
                    <w:tl2br w:val="nil"/>
                    <w:tr2bl w:val="nil"/>
                  </w:tcBorders>
                  <w:vAlign w:val="center"/>
                </w:tcPr>
                <w:p w14:paraId="2804D68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eastAsia" w:cs="Times New Roman"/>
                      <w:color w:val="auto"/>
                      <w:sz w:val="18"/>
                      <w:szCs w:val="18"/>
                      <w:lang w:val="en-US" w:eastAsia="zh-CN"/>
                    </w:rPr>
                  </w:pPr>
                  <w:r>
                    <w:rPr>
                      <w:rFonts w:hint="default" w:ascii="Times New Roman" w:hAnsi="Times New Roman" w:cs="Times New Roman"/>
                      <w:color w:val="auto"/>
                      <w:sz w:val="18"/>
                      <w:szCs w:val="18"/>
                    </w:rPr>
                    <w:t>职工生活</w:t>
                  </w:r>
                </w:p>
              </w:tc>
              <w:tc>
                <w:tcPr>
                  <w:tcW w:w="585" w:type="pct"/>
                  <w:tcBorders>
                    <w:tl2br w:val="nil"/>
                    <w:tr2bl w:val="nil"/>
                  </w:tcBorders>
                  <w:vAlign w:val="center"/>
                </w:tcPr>
                <w:p w14:paraId="7A522E7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eastAsia" w:cs="Times New Roman"/>
                      <w:color w:val="auto"/>
                      <w:sz w:val="18"/>
                      <w:szCs w:val="18"/>
                      <w:lang w:val="en-US" w:eastAsia="zh-CN"/>
                    </w:rPr>
                  </w:pPr>
                  <w:r>
                    <w:rPr>
                      <w:rFonts w:hint="default" w:ascii="Times New Roman" w:hAnsi="Times New Roman" w:cs="Times New Roman"/>
                      <w:color w:val="auto"/>
                      <w:sz w:val="18"/>
                      <w:szCs w:val="18"/>
                    </w:rPr>
                    <w:t>生活垃圾</w:t>
                  </w:r>
                </w:p>
              </w:tc>
              <w:tc>
                <w:tcPr>
                  <w:tcW w:w="349" w:type="pct"/>
                  <w:tcBorders>
                    <w:tl2br w:val="nil"/>
                    <w:tr2bl w:val="nil"/>
                  </w:tcBorders>
                  <w:vAlign w:val="center"/>
                </w:tcPr>
                <w:p w14:paraId="31824AC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cs="Times New Roman"/>
                      <w:color w:val="auto"/>
                      <w:sz w:val="18"/>
                      <w:szCs w:val="18"/>
                    </w:rPr>
                    <w:t>生活垃圾</w:t>
                  </w:r>
                </w:p>
              </w:tc>
              <w:tc>
                <w:tcPr>
                  <w:tcW w:w="539" w:type="pct"/>
                  <w:tcBorders>
                    <w:tl2br w:val="nil"/>
                    <w:tr2bl w:val="nil"/>
                  </w:tcBorders>
                  <w:vAlign w:val="center"/>
                </w:tcPr>
                <w:p w14:paraId="10DDED8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Cs/>
                      <w:color w:val="auto"/>
                      <w:kern w:val="0"/>
                      <w:sz w:val="18"/>
                      <w:szCs w:val="18"/>
                    </w:rPr>
                  </w:pPr>
                  <w:r>
                    <w:rPr>
                      <w:rFonts w:hint="default" w:ascii="Times New Roman" w:hAnsi="Times New Roman" w:cs="Times New Roman" w:eastAsiaTheme="minorEastAsia"/>
                      <w:bCs/>
                      <w:color w:val="auto"/>
                      <w:kern w:val="0"/>
                      <w:sz w:val="18"/>
                      <w:szCs w:val="18"/>
                      <w:lang w:val="en-US" w:eastAsia="zh-CN" w:bidi="en-US"/>
                    </w:rPr>
                    <w:t>SW64 900-099-S64</w:t>
                  </w:r>
                </w:p>
              </w:tc>
              <w:tc>
                <w:tcPr>
                  <w:tcW w:w="594" w:type="pct"/>
                  <w:tcBorders>
                    <w:tl2br w:val="nil"/>
                    <w:tr2bl w:val="nil"/>
                  </w:tcBorders>
                  <w:vAlign w:val="center"/>
                </w:tcPr>
                <w:p w14:paraId="2BAC891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cs="Times New Roman" w:eastAsiaTheme="minorEastAsia"/>
                      <w:color w:val="auto"/>
                      <w:sz w:val="18"/>
                      <w:szCs w:val="18"/>
                    </w:rPr>
                    <w:t>产污系数法</w:t>
                  </w:r>
                </w:p>
              </w:tc>
              <w:tc>
                <w:tcPr>
                  <w:tcW w:w="447" w:type="pct"/>
                  <w:tcBorders>
                    <w:tl2br w:val="nil"/>
                    <w:tr2bl w:val="nil"/>
                  </w:tcBorders>
                  <w:vAlign w:val="center"/>
                </w:tcPr>
                <w:p w14:paraId="01730FF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eastAsia" w:cs="Times New Roman"/>
                      <w:color w:val="auto"/>
                      <w:sz w:val="18"/>
                      <w:szCs w:val="18"/>
                      <w:lang w:val="en-US" w:eastAsia="zh-CN"/>
                    </w:rPr>
                  </w:pPr>
                  <w:r>
                    <w:rPr>
                      <w:rFonts w:hint="eastAsia" w:ascii="Times New Roman" w:hAnsi="Times New Roman" w:cs="Times New Roman"/>
                      <w:color w:val="auto"/>
                      <w:kern w:val="2"/>
                      <w:sz w:val="18"/>
                      <w:szCs w:val="18"/>
                      <w:lang w:val="en-US" w:eastAsia="zh-CN" w:bidi="ar-SA"/>
                    </w:rPr>
                    <w:t>1.512</w:t>
                  </w:r>
                </w:p>
              </w:tc>
              <w:tc>
                <w:tcPr>
                  <w:tcW w:w="604" w:type="pct"/>
                  <w:tcBorders>
                    <w:tl2br w:val="nil"/>
                    <w:tr2bl w:val="nil"/>
                  </w:tcBorders>
                  <w:vAlign w:val="center"/>
                </w:tcPr>
                <w:p w14:paraId="0120392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cs="Times New Roman" w:eastAsiaTheme="minorEastAsia"/>
                      <w:color w:val="auto"/>
                      <w:sz w:val="18"/>
                      <w:szCs w:val="18"/>
                    </w:rPr>
                    <w:t>环卫清运</w:t>
                  </w:r>
                </w:p>
              </w:tc>
              <w:tc>
                <w:tcPr>
                  <w:tcW w:w="288" w:type="pct"/>
                  <w:tcBorders>
                    <w:tl2br w:val="nil"/>
                    <w:tr2bl w:val="nil"/>
                  </w:tcBorders>
                  <w:vAlign w:val="center"/>
                </w:tcPr>
                <w:p w14:paraId="0E2B7CF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eastAsia" w:cs="Times New Roman"/>
                      <w:color w:val="auto"/>
                      <w:sz w:val="18"/>
                      <w:szCs w:val="18"/>
                      <w:lang w:val="en-US" w:eastAsia="zh-CN"/>
                    </w:rPr>
                  </w:pPr>
                  <w:r>
                    <w:rPr>
                      <w:rFonts w:hint="eastAsia" w:ascii="Times New Roman" w:hAnsi="Times New Roman" w:cs="Times New Roman"/>
                      <w:color w:val="auto"/>
                      <w:kern w:val="2"/>
                      <w:sz w:val="18"/>
                      <w:szCs w:val="18"/>
                      <w:lang w:val="en-US" w:eastAsia="zh-CN" w:bidi="ar-SA"/>
                    </w:rPr>
                    <w:t>1.512</w:t>
                  </w:r>
                </w:p>
              </w:tc>
              <w:tc>
                <w:tcPr>
                  <w:tcW w:w="447" w:type="pct"/>
                  <w:tcBorders>
                    <w:tl2br w:val="nil"/>
                    <w:tr2bl w:val="nil"/>
                  </w:tcBorders>
                  <w:vAlign w:val="center"/>
                </w:tcPr>
                <w:p w14:paraId="748CE67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rPr>
                      <w:rFonts w:hint="eastAsia" w:cs="Times New Roman"/>
                      <w:color w:val="auto"/>
                      <w:sz w:val="18"/>
                      <w:szCs w:val="18"/>
                      <w:lang w:eastAsia="zh-CN"/>
                    </w:rPr>
                  </w:pPr>
                  <w:r>
                    <w:rPr>
                      <w:rFonts w:hint="eastAsia" w:cs="Times New Roman"/>
                      <w:color w:val="auto"/>
                      <w:sz w:val="18"/>
                      <w:szCs w:val="18"/>
                      <w:lang w:eastAsia="zh-CN"/>
                    </w:rPr>
                    <w:t>环卫部门</w:t>
                  </w:r>
                </w:p>
              </w:tc>
            </w:tr>
          </w:tbl>
          <w:p w14:paraId="68555E06">
            <w:pPr>
              <w:pStyle w:val="34"/>
              <w:keepNext w:val="0"/>
              <w:keepLines w:val="0"/>
              <w:suppressLineNumbers w:val="0"/>
              <w:spacing w:before="0" w:beforeAutospacing="0" w:after="0" w:afterAutospacing="0"/>
              <w:ind w:left="0" w:right="0" w:firstLine="0" w:firstLineChars="0"/>
              <w:rPr>
                <w:rFonts w:hint="default" w:ascii="Times New Roman" w:hAnsi="Times New Roman" w:eastAsia="宋体" w:cs="Times New Roman"/>
                <w:b w:val="0"/>
                <w:color w:val="auto"/>
                <w:kern w:val="44"/>
                <w:sz w:val="18"/>
                <w:szCs w:val="18"/>
                <w:lang w:val="en-US" w:eastAsia="zh-CN"/>
              </w:rPr>
            </w:pPr>
          </w:p>
        </w:tc>
      </w:tr>
    </w:tbl>
    <w:p w14:paraId="7500D308">
      <w:pPr>
        <w:ind w:left="0" w:leftChars="0" w:firstLine="0" w:firstLineChars="0"/>
        <w:rPr>
          <w:rFonts w:hint="default" w:ascii="Times New Roman" w:hAnsi="Times New Roman" w:eastAsia="宋体" w:cs="Times New Roman"/>
          <w:color w:val="auto"/>
          <w:lang w:val="en-US" w:eastAsia="zh-CN"/>
        </w:rPr>
        <w:sectPr>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cols w:space="425" w:num="1"/>
          <w:docGrid w:type="lines" w:linePitch="312" w:charSpace="0"/>
        </w:sectPr>
      </w:pP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2"/>
        <w:gridCol w:w="7950"/>
      </w:tblGrid>
      <w:tr w14:paraId="60CA8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2" w:type="dxa"/>
          </w:tcPr>
          <w:p w14:paraId="4FA08A5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textAlignment w:val="auto"/>
              <w:rPr>
                <w:rFonts w:hint="default" w:ascii="Times New Roman" w:hAnsi="Times New Roman" w:eastAsia="宋体" w:cs="Times New Roman"/>
                <w:color w:val="auto"/>
                <w:vertAlign w:val="baseline"/>
                <w:lang w:val="en-US" w:eastAsia="zh-CN"/>
              </w:rPr>
            </w:pPr>
          </w:p>
        </w:tc>
        <w:tc>
          <w:tcPr>
            <w:tcW w:w="7950" w:type="dxa"/>
          </w:tcPr>
          <w:p w14:paraId="5891A48A">
            <w:pPr>
              <w:keepNext w:val="0"/>
              <w:keepLines w:val="0"/>
              <w:suppressLineNumbers w:val="0"/>
              <w:bidi w:val="0"/>
              <w:spacing w:before="0" w:beforeAutospacing="0" w:after="0" w:afterAutospacing="0"/>
              <w:ind w:left="0" w:right="0"/>
              <w:rPr>
                <w:rFonts w:hint="default" w:ascii="Times New Roman" w:hAnsi="Times New Roman" w:eastAsia="宋体" w:cs="Times New Roman"/>
                <w:color w:val="auto"/>
                <w:lang w:val="en-US" w:eastAsia="zh-CN"/>
              </w:rPr>
            </w:pPr>
            <w:r>
              <w:rPr>
                <w:rFonts w:hint="default" w:ascii="Times New Roman" w:hAnsi="Times New Roman" w:eastAsia="宋体" w:cs="Times New Roman"/>
                <w:b/>
                <w:bCs/>
                <w:color w:val="auto"/>
                <w:lang w:val="en-US" w:eastAsia="zh-CN"/>
              </w:rPr>
              <w:t>4.</w:t>
            </w:r>
            <w:r>
              <w:rPr>
                <w:rFonts w:hint="eastAsia" w:ascii="Times New Roman" w:hAnsi="Times New Roman" w:eastAsia="宋体" w:cs="Times New Roman"/>
                <w:b/>
                <w:bCs/>
                <w:color w:val="auto"/>
                <w:lang w:val="en-US" w:eastAsia="zh-CN"/>
              </w:rPr>
              <w:t>2</w:t>
            </w:r>
            <w:r>
              <w:rPr>
                <w:rFonts w:hint="default" w:ascii="Times New Roman" w:hAnsi="Times New Roman" w:eastAsia="宋体" w:cs="Times New Roman"/>
                <w:b/>
                <w:bCs/>
                <w:color w:val="auto"/>
                <w:lang w:val="en-US" w:eastAsia="zh-CN"/>
              </w:rPr>
              <w:t xml:space="preserve"> 污染源强核算过程简述</w:t>
            </w:r>
          </w:p>
          <w:p w14:paraId="679CDC71">
            <w:pPr>
              <w:keepNext w:val="0"/>
              <w:keepLines w:val="0"/>
              <w:suppressLineNumbers w:val="0"/>
              <w:bidi w:val="0"/>
              <w:spacing w:before="0" w:beforeAutospacing="0" w:after="0" w:afterAutospacing="0"/>
              <w:ind w:left="0" w:right="0"/>
              <w:rPr>
                <w:rFonts w:hint="default" w:ascii="Times New Roman" w:hAnsi="Times New Roman" w:eastAsia="宋体" w:cs="Times New Roman"/>
                <w:color w:val="auto"/>
                <w:lang w:val="en-US" w:eastAsia="zh-CN"/>
              </w:rPr>
            </w:pPr>
            <w:r>
              <w:rPr>
                <w:rFonts w:hint="default" w:ascii="Times New Roman" w:hAnsi="Times New Roman" w:eastAsia="宋体" w:cs="Times New Roman"/>
                <w:b w:val="0"/>
                <w:bCs/>
                <w:color w:val="auto"/>
                <w:kern w:val="0"/>
                <w:lang w:eastAsia="zh-CN" w:bidi="en-US"/>
              </w:rPr>
              <w:t>根据工程分析，</w:t>
            </w:r>
            <w:r>
              <w:rPr>
                <w:rFonts w:hint="eastAsia" w:cs="Times New Roman"/>
                <w:b w:val="0"/>
                <w:bCs/>
                <w:color w:val="auto"/>
                <w:kern w:val="0"/>
                <w:lang w:eastAsia="zh-CN" w:bidi="en-US"/>
              </w:rPr>
              <w:t>拟建</w:t>
            </w:r>
            <w:r>
              <w:rPr>
                <w:rFonts w:hint="default" w:ascii="Times New Roman" w:hAnsi="Times New Roman" w:eastAsia="宋体" w:cs="Times New Roman"/>
                <w:b w:val="0"/>
                <w:bCs/>
                <w:color w:val="auto"/>
                <w:kern w:val="0"/>
                <w:lang w:eastAsia="zh-CN" w:bidi="en-US"/>
              </w:rPr>
              <w:t>项目</w:t>
            </w:r>
            <w:r>
              <w:rPr>
                <w:rFonts w:hint="eastAsia" w:cs="Times New Roman"/>
                <w:b w:val="0"/>
                <w:bCs/>
                <w:color w:val="auto"/>
                <w:kern w:val="0"/>
                <w:lang w:eastAsia="zh-CN" w:bidi="en-US"/>
              </w:rPr>
              <w:t>产生的</w:t>
            </w:r>
            <w:r>
              <w:rPr>
                <w:rFonts w:hint="default" w:ascii="Times New Roman" w:hAnsi="Times New Roman" w:eastAsia="宋体" w:cs="Times New Roman"/>
                <w:b w:val="0"/>
                <w:bCs/>
                <w:color w:val="auto"/>
                <w:kern w:val="0"/>
                <w:lang w:eastAsia="zh-CN" w:bidi="en-US"/>
              </w:rPr>
              <w:t>固体废物</w:t>
            </w:r>
            <w:r>
              <w:rPr>
                <w:rFonts w:hint="eastAsia" w:cs="Times New Roman"/>
                <w:b w:val="0"/>
                <w:bCs/>
                <w:color w:val="auto"/>
                <w:kern w:val="0"/>
                <w:lang w:eastAsia="zh-CN" w:bidi="en-US"/>
              </w:rPr>
              <w:t>主要为</w:t>
            </w:r>
            <w:r>
              <w:rPr>
                <w:rFonts w:hint="eastAsia" w:cs="Times New Roman"/>
                <w:b w:val="0"/>
                <w:bCs/>
                <w:color w:val="auto"/>
                <w:kern w:val="0"/>
                <w:lang w:val="en-US" w:eastAsia="zh-CN" w:bidi="en-US"/>
              </w:rPr>
              <w:t>KP800型膨胀堵料膨胀条平切、立切、切槽工序产生的边角料</w:t>
            </w:r>
            <w:r>
              <w:rPr>
                <w:rFonts w:hint="default" w:ascii="Times New Roman" w:hAnsi="Times New Roman" w:eastAsia="宋体" w:cs="Times New Roman"/>
                <w:color w:val="auto"/>
                <w:sz w:val="24"/>
                <w:lang w:val="en-US" w:eastAsia="zh-CN"/>
              </w:rPr>
              <w:t>（S</w:t>
            </w:r>
            <w:r>
              <w:rPr>
                <w:rFonts w:hint="eastAsia" w:cs="Times New Roman"/>
                <w:color w:val="auto"/>
                <w:sz w:val="24"/>
                <w:lang w:val="en-US" w:eastAsia="zh-CN"/>
              </w:rPr>
              <w:t>2-1、S2-2、S2-3</w:t>
            </w:r>
            <w:r>
              <w:rPr>
                <w:rFonts w:hint="default" w:ascii="Times New Roman" w:hAnsi="Times New Roman" w:eastAsia="宋体" w:cs="Times New Roman"/>
                <w:color w:val="auto"/>
                <w:sz w:val="24"/>
                <w:lang w:val="en-US" w:eastAsia="zh-CN"/>
              </w:rPr>
              <w:t>）</w:t>
            </w:r>
            <w:r>
              <w:rPr>
                <w:rFonts w:hint="eastAsia" w:cs="Times New Roman"/>
                <w:color w:val="auto"/>
                <w:sz w:val="24"/>
                <w:lang w:val="en-US" w:eastAsia="zh-CN"/>
              </w:rPr>
              <w:t>；袋式</w:t>
            </w:r>
            <w:r>
              <w:rPr>
                <w:rFonts w:hint="default" w:ascii="Times New Roman" w:hAnsi="Times New Roman" w:eastAsia="宋体" w:cs="Times New Roman"/>
                <w:color w:val="auto"/>
                <w:sz w:val="24"/>
                <w:lang w:val="en-US" w:eastAsia="zh-CN"/>
              </w:rPr>
              <w:t>除尘过程中产生的除尘灰</w:t>
            </w:r>
            <w:r>
              <w:rPr>
                <w:rFonts w:hint="eastAsia" w:cs="Times New Roman"/>
                <w:color w:val="auto"/>
                <w:sz w:val="24"/>
                <w:lang w:val="en-US" w:eastAsia="zh-CN"/>
              </w:rPr>
              <w:t>；TL990型耐火密封填料（基料）及辅助液、KP800型阻燃剂检验工序产生的不合格品，</w:t>
            </w:r>
            <w:r>
              <w:rPr>
                <w:rFonts w:hint="default" w:ascii="Times New Roman" w:hAnsi="Times New Roman" w:eastAsia="宋体" w:cs="Times New Roman"/>
                <w:color w:val="auto"/>
                <w:sz w:val="24"/>
                <w:lang w:val="en-US" w:eastAsia="zh-CN"/>
              </w:rPr>
              <w:t>均为一般工业固体废物</w:t>
            </w:r>
            <w:r>
              <w:rPr>
                <w:rFonts w:hint="default" w:ascii="Times New Roman" w:hAnsi="Times New Roman" w:eastAsia="宋体" w:cs="Times New Roman"/>
                <w:b w:val="0"/>
                <w:bCs/>
                <w:color w:val="auto"/>
                <w:kern w:val="0"/>
                <w:lang w:bidi="en-US"/>
              </w:rPr>
              <w:t>。</w:t>
            </w:r>
          </w:p>
          <w:p w14:paraId="43B0F15A">
            <w:pPr>
              <w:keepNext w:val="0"/>
              <w:keepLines w:val="0"/>
              <w:numPr>
                <w:ilvl w:val="0"/>
                <w:numId w:val="12"/>
              </w:numPr>
              <w:suppressLineNumbers w:val="0"/>
              <w:bidi w:val="0"/>
              <w:spacing w:before="0" w:beforeAutospacing="0" w:after="0" w:afterAutospacing="0"/>
              <w:ind w:left="0" w:right="0"/>
              <w:rPr>
                <w:rFonts w:hint="eastAsia" w:cs="Times New Roman"/>
                <w:b w:val="0"/>
                <w:bCs/>
                <w:color w:val="auto"/>
                <w:kern w:val="0"/>
                <w:lang w:val="en-US" w:eastAsia="zh-CN" w:bidi="en-US"/>
              </w:rPr>
            </w:pPr>
            <w:r>
              <w:rPr>
                <w:rFonts w:hint="default" w:ascii="Times New Roman" w:hAnsi="Times New Roman" w:eastAsia="宋体" w:cs="Times New Roman"/>
                <w:b w:val="0"/>
                <w:bCs/>
                <w:color w:val="auto"/>
                <w:kern w:val="0"/>
                <w:lang w:val="en-US" w:eastAsia="zh-CN" w:bidi="en-US"/>
              </w:rPr>
              <w:t>根据物料衡算，</w:t>
            </w:r>
            <w:r>
              <w:rPr>
                <w:rFonts w:hint="eastAsia" w:cs="Times New Roman"/>
                <w:b w:val="0"/>
                <w:bCs/>
                <w:color w:val="auto"/>
                <w:kern w:val="0"/>
                <w:lang w:val="en-US" w:eastAsia="zh-CN" w:bidi="en-US"/>
              </w:rPr>
              <w:t>KP800型膨胀堵料膨胀条平切、立切、切槽工序边角料</w:t>
            </w:r>
            <w:r>
              <w:rPr>
                <w:rFonts w:hint="default" w:ascii="Times New Roman" w:hAnsi="Times New Roman" w:eastAsia="宋体" w:cs="Times New Roman"/>
                <w:b w:val="0"/>
                <w:bCs/>
                <w:color w:val="auto"/>
                <w:kern w:val="0"/>
                <w:lang w:val="en-US" w:eastAsia="zh-CN" w:bidi="en-US"/>
              </w:rPr>
              <w:t>产生量</w:t>
            </w:r>
            <w:r>
              <w:rPr>
                <w:rFonts w:hint="eastAsia" w:cs="Times New Roman"/>
                <w:b w:val="0"/>
                <w:bCs/>
                <w:color w:val="auto"/>
                <w:kern w:val="0"/>
                <w:lang w:val="en-US" w:eastAsia="zh-CN" w:bidi="en-US"/>
              </w:rPr>
              <w:t>1.2</w:t>
            </w:r>
            <w:r>
              <w:rPr>
                <w:rFonts w:hint="default" w:ascii="Times New Roman" w:hAnsi="Times New Roman" w:eastAsia="宋体" w:cs="Times New Roman"/>
                <w:b w:val="0"/>
                <w:bCs/>
                <w:color w:val="auto"/>
                <w:kern w:val="0"/>
                <w:lang w:val="en-US" w:eastAsia="zh-CN" w:bidi="en-US"/>
              </w:rPr>
              <w:t>t/a</w:t>
            </w:r>
            <w:r>
              <w:rPr>
                <w:rFonts w:hint="eastAsia" w:cs="Times New Roman"/>
                <w:b w:val="0"/>
                <w:bCs/>
                <w:color w:val="auto"/>
                <w:kern w:val="0"/>
                <w:lang w:val="en-US" w:eastAsia="zh-CN" w:bidi="en-US"/>
              </w:rPr>
              <w:t>.</w:t>
            </w:r>
          </w:p>
          <w:p w14:paraId="46E72813">
            <w:pPr>
              <w:keepNext w:val="0"/>
              <w:keepLines w:val="0"/>
              <w:numPr>
                <w:ilvl w:val="0"/>
                <w:numId w:val="12"/>
              </w:numPr>
              <w:suppressLineNumbers w:val="0"/>
              <w:bidi w:val="0"/>
              <w:spacing w:before="0" w:beforeAutospacing="0" w:after="0" w:afterAutospacing="0"/>
              <w:ind w:left="0" w:right="0"/>
              <w:rPr>
                <w:rFonts w:hint="eastAsia" w:cs="Times New Roman"/>
                <w:b w:val="0"/>
                <w:bCs/>
                <w:color w:val="auto"/>
                <w:kern w:val="0"/>
                <w:lang w:val="en-US" w:eastAsia="zh-CN" w:bidi="en-US"/>
              </w:rPr>
            </w:pPr>
            <w:r>
              <w:rPr>
                <w:rFonts w:hint="eastAsia" w:cs="Times New Roman"/>
                <w:b w:val="0"/>
                <w:bCs/>
                <w:color w:val="auto"/>
                <w:kern w:val="0"/>
                <w:lang w:val="en-US" w:eastAsia="zh-CN" w:bidi="en-US"/>
              </w:rPr>
              <w:t>根据废气污染源强分析，袋式除尘过程中产生除尘灰</w:t>
            </w:r>
            <w:r>
              <w:rPr>
                <w:rFonts w:hint="eastAsia" w:cs="Times New Roman"/>
                <w:b w:val="0"/>
                <w:bCs/>
                <w:color w:val="auto"/>
                <w:kern w:val="0"/>
                <w:lang w:val="en-US" w:eastAsia="zh-CN" w:bidi="en-US"/>
              </w:rPr>
              <w:t>0.745</w:t>
            </w:r>
            <w:r>
              <w:rPr>
                <w:rFonts w:hint="eastAsia" w:cs="Times New Roman"/>
                <w:b w:val="0"/>
                <w:bCs/>
                <w:color w:val="auto"/>
                <w:kern w:val="0"/>
                <w:lang w:val="en-US" w:eastAsia="zh-CN" w:bidi="en-US"/>
              </w:rPr>
              <w:t>t/a。</w:t>
            </w:r>
          </w:p>
          <w:p w14:paraId="54B19DE7">
            <w:pPr>
              <w:keepNext w:val="0"/>
              <w:keepLines w:val="0"/>
              <w:numPr>
                <w:ilvl w:val="0"/>
                <w:numId w:val="12"/>
              </w:numPr>
              <w:suppressLineNumbers w:val="0"/>
              <w:bidi w:val="0"/>
              <w:spacing w:before="0" w:beforeAutospacing="0" w:after="0" w:afterAutospacing="0"/>
              <w:ind w:left="0" w:right="0"/>
              <w:rPr>
                <w:rFonts w:hint="default" w:ascii="Times New Roman" w:hAnsi="Times New Roman" w:eastAsia="宋体" w:cs="Times New Roman"/>
                <w:b w:val="0"/>
                <w:bCs/>
                <w:color w:val="auto"/>
                <w:lang w:val="en-US" w:eastAsia="zh-CN"/>
              </w:rPr>
            </w:pPr>
            <w:r>
              <w:rPr>
                <w:rFonts w:hint="eastAsia" w:cs="Times New Roman"/>
                <w:b w:val="0"/>
                <w:bCs/>
                <w:color w:val="auto"/>
                <w:kern w:val="0"/>
                <w:lang w:val="en-US" w:eastAsia="zh-CN" w:bidi="en-US"/>
              </w:rPr>
              <w:t>根据物料衡算，</w:t>
            </w:r>
            <w:r>
              <w:rPr>
                <w:rFonts w:hint="eastAsia" w:cs="Times New Roman"/>
                <w:b w:val="0"/>
                <w:bCs/>
                <w:color w:val="auto"/>
                <w:sz w:val="24"/>
                <w:lang w:val="en-US" w:eastAsia="zh-CN"/>
              </w:rPr>
              <w:t>TL990型耐火密封填料（基料）生产过程中不合格品产生量2.7t/a、KP800型膨胀堵料膨胀条生产过程中不合格品产生量0.2t/a。根据建设单位提供资料，TL990型辅助液及KP800型阻燃剂生产过程中不合格品率约为1%，经计算产生不合格品</w:t>
            </w:r>
            <w:r>
              <w:rPr>
                <w:rFonts w:hint="eastAsia" w:cs="Times New Roman"/>
                <w:b w:val="0"/>
                <w:bCs/>
                <w:color w:val="auto"/>
                <w:kern w:val="0"/>
                <w:lang w:val="en-US" w:eastAsia="zh-CN" w:bidi="en-US"/>
              </w:rPr>
              <w:t>2.1</w:t>
            </w:r>
            <w:r>
              <w:rPr>
                <w:rFonts w:hint="default" w:ascii="Times New Roman" w:hAnsi="Times New Roman" w:eastAsia="宋体" w:cs="Times New Roman"/>
                <w:b w:val="0"/>
                <w:bCs/>
                <w:color w:val="auto"/>
                <w:kern w:val="0"/>
                <w:lang w:val="en-US" w:eastAsia="zh-CN" w:bidi="en-US"/>
              </w:rPr>
              <w:t>t/a</w:t>
            </w:r>
            <w:r>
              <w:rPr>
                <w:rFonts w:hint="eastAsia" w:cs="Times New Roman"/>
                <w:b w:val="0"/>
                <w:bCs/>
                <w:color w:val="auto"/>
                <w:kern w:val="0"/>
                <w:lang w:val="en-US" w:eastAsia="zh-CN" w:bidi="en-US"/>
              </w:rPr>
              <w:t>。合计产生不合格品5t/a，项目产生的各类不合格品均返回</w:t>
            </w:r>
            <w:r>
              <w:rPr>
                <w:rFonts w:hint="default" w:ascii="Times New Roman" w:hAnsi="Times New Roman" w:eastAsia="宋体" w:cs="Times New Roman"/>
                <w:b w:val="0"/>
                <w:bCs/>
                <w:color w:val="auto"/>
                <w:kern w:val="0"/>
                <w:lang w:val="en-US" w:eastAsia="zh-CN" w:bidi="en-US"/>
              </w:rPr>
              <w:t>生产线</w:t>
            </w:r>
            <w:r>
              <w:rPr>
                <w:rFonts w:hint="eastAsia" w:cs="Times New Roman"/>
                <w:b w:val="0"/>
                <w:bCs/>
                <w:color w:val="auto"/>
                <w:kern w:val="0"/>
                <w:lang w:val="en-US" w:eastAsia="zh-CN" w:bidi="en-US"/>
              </w:rPr>
              <w:t>二次利用</w:t>
            </w:r>
            <w:r>
              <w:rPr>
                <w:rFonts w:hint="default" w:ascii="Times New Roman" w:hAnsi="Times New Roman" w:eastAsia="宋体" w:cs="Times New Roman"/>
                <w:b w:val="0"/>
                <w:bCs/>
                <w:color w:val="auto"/>
                <w:kern w:val="0"/>
                <w:lang w:val="en-US" w:eastAsia="zh-CN" w:bidi="en-US"/>
              </w:rPr>
              <w:t>。</w:t>
            </w:r>
          </w:p>
          <w:p w14:paraId="3A1F2BF0">
            <w:pPr>
              <w:keepNext w:val="0"/>
              <w:keepLines w:val="0"/>
              <w:numPr>
                <w:ilvl w:val="0"/>
                <w:numId w:val="12"/>
              </w:numPr>
              <w:suppressLineNumbers w:val="0"/>
              <w:bidi w:val="0"/>
              <w:spacing w:before="0" w:beforeAutospacing="0" w:after="0" w:afterAutospacing="0"/>
              <w:ind w:left="0" w:right="0"/>
              <w:rPr>
                <w:rFonts w:hint="default" w:ascii="Times New Roman" w:hAnsi="Times New Roman" w:eastAsia="宋体" w:cs="Times New Roman"/>
                <w:b w:val="0"/>
                <w:bCs w:val="0"/>
                <w:color w:val="auto"/>
                <w:lang w:val="en-US" w:eastAsia="zh-CN"/>
              </w:rPr>
            </w:pPr>
            <w:r>
              <w:rPr>
                <w:rFonts w:hint="eastAsia" w:cs="Times New Roman"/>
                <w:b w:val="0"/>
                <w:bCs w:val="0"/>
                <w:color w:val="auto"/>
                <w:lang w:val="en-US" w:eastAsia="zh-CN"/>
              </w:rPr>
              <w:t>生活垃圾：</w:t>
            </w:r>
            <w:r>
              <w:rPr>
                <w:rFonts w:hint="eastAsia"/>
                <w:b w:val="0"/>
                <w:bCs w:val="0"/>
                <w:color w:val="auto"/>
                <w:lang w:val="en-US" w:eastAsia="zh-CN"/>
              </w:rPr>
              <w:t>建设项目</w:t>
            </w:r>
            <w:r>
              <w:rPr>
                <w:rFonts w:hint="default" w:ascii="Times New Roman" w:hAnsi="Times New Roman" w:eastAsia="宋体"/>
                <w:b w:val="0"/>
                <w:bCs w:val="0"/>
                <w:color w:val="auto"/>
                <w:lang w:val="en-US" w:eastAsia="zh-CN"/>
              </w:rPr>
              <w:t>职工定员</w:t>
            </w:r>
            <w:r>
              <w:rPr>
                <w:rFonts w:hint="eastAsia" w:ascii="Times New Roman" w:hAnsi="Times New Roman" w:eastAsia="宋体"/>
                <w:b w:val="0"/>
                <w:bCs w:val="0"/>
                <w:color w:val="auto"/>
                <w:lang w:val="en-US" w:eastAsia="zh-CN"/>
              </w:rPr>
              <w:t>12</w:t>
            </w:r>
            <w:r>
              <w:rPr>
                <w:rFonts w:hint="default" w:ascii="Times New Roman" w:hAnsi="Times New Roman" w:eastAsia="宋体"/>
                <w:b w:val="0"/>
                <w:bCs w:val="0"/>
                <w:color w:val="auto"/>
                <w:lang w:val="en-US" w:eastAsia="zh-CN"/>
              </w:rPr>
              <w:t>人，年</w:t>
            </w:r>
            <w:r>
              <w:rPr>
                <w:rFonts w:hint="eastAsia" w:ascii="Times New Roman" w:hAnsi="Times New Roman" w:eastAsia="宋体"/>
                <w:b w:val="0"/>
                <w:bCs w:val="0"/>
                <w:color w:val="auto"/>
                <w:lang w:val="en-US" w:eastAsia="zh-CN"/>
              </w:rPr>
              <w:t>运营</w:t>
            </w:r>
            <w:r>
              <w:rPr>
                <w:rFonts w:hint="default" w:ascii="Times New Roman" w:hAnsi="Times New Roman" w:eastAsia="宋体"/>
                <w:b w:val="0"/>
                <w:bCs w:val="0"/>
                <w:color w:val="auto"/>
                <w:lang w:val="en-US" w:eastAsia="zh-CN"/>
              </w:rPr>
              <w:t>3</w:t>
            </w:r>
            <w:r>
              <w:rPr>
                <w:rFonts w:hint="eastAsia" w:ascii="Times New Roman" w:hAnsi="Times New Roman" w:eastAsia="宋体"/>
                <w:b w:val="0"/>
                <w:bCs w:val="0"/>
                <w:color w:val="auto"/>
                <w:lang w:val="en-US" w:eastAsia="zh-CN"/>
              </w:rPr>
              <w:t>0</w:t>
            </w:r>
            <w:r>
              <w:rPr>
                <w:rFonts w:hint="default" w:ascii="Times New Roman" w:hAnsi="Times New Roman" w:eastAsia="宋体"/>
                <w:b w:val="0"/>
                <w:bCs w:val="0"/>
                <w:color w:val="auto"/>
                <w:lang w:val="en-US" w:eastAsia="zh-CN"/>
              </w:rPr>
              <w:t>0天，</w:t>
            </w:r>
            <w:r>
              <w:rPr>
                <w:rFonts w:hint="eastAsia" w:ascii="Times New Roman" w:hAnsi="Times New Roman" w:eastAsia="宋体"/>
                <w:b w:val="0"/>
                <w:bCs w:val="0"/>
                <w:color w:val="auto"/>
                <w:lang w:val="en-US" w:eastAsia="zh-CN"/>
              </w:rPr>
              <w:t>根据《城镇生活源产排污系数手册》，生活垃圾按0.42kg/人·d计算，则产生量为1.512t/a，由环卫部门清运。</w:t>
            </w:r>
          </w:p>
          <w:p w14:paraId="08E0A133">
            <w:pPr>
              <w:keepNext w:val="0"/>
              <w:keepLines w:val="0"/>
              <w:numPr>
                <w:ilvl w:val="0"/>
                <w:numId w:val="0"/>
              </w:numPr>
              <w:suppressLineNumbers w:val="0"/>
              <w:bidi w:val="0"/>
              <w:spacing w:before="0" w:beforeAutospacing="0" w:after="0" w:afterAutospacing="0"/>
              <w:ind w:left="480" w:leftChars="200" w:right="0" w:rightChars="0"/>
              <w:rPr>
                <w:rFonts w:hint="default" w:ascii="Times New Roman" w:hAnsi="Times New Roman" w:eastAsia="宋体" w:cs="Times New Roman"/>
                <w:b/>
                <w:bCs/>
                <w:color w:val="auto"/>
                <w:lang w:val="en-US" w:eastAsia="zh-CN"/>
              </w:rPr>
            </w:pPr>
            <w:r>
              <w:rPr>
                <w:rFonts w:hint="default" w:ascii="Times New Roman" w:hAnsi="Times New Roman" w:eastAsia="宋体" w:cs="Times New Roman"/>
                <w:b/>
                <w:bCs/>
                <w:color w:val="auto"/>
                <w:lang w:val="en-US" w:eastAsia="zh-CN"/>
              </w:rPr>
              <w:t>4.</w:t>
            </w:r>
            <w:r>
              <w:rPr>
                <w:rFonts w:hint="eastAsia" w:ascii="Times New Roman" w:hAnsi="Times New Roman" w:eastAsia="宋体" w:cs="Times New Roman"/>
                <w:b/>
                <w:bCs/>
                <w:color w:val="auto"/>
                <w:lang w:val="en-US" w:eastAsia="zh-CN"/>
              </w:rPr>
              <w:t>3</w:t>
            </w:r>
            <w:r>
              <w:rPr>
                <w:rFonts w:hint="default" w:ascii="Times New Roman" w:hAnsi="Times New Roman" w:eastAsia="宋体" w:cs="Times New Roman"/>
                <w:b/>
                <w:bCs/>
                <w:color w:val="auto"/>
                <w:lang w:val="en-US" w:eastAsia="zh-CN"/>
              </w:rPr>
              <w:t>环境管理要求</w:t>
            </w:r>
          </w:p>
          <w:p w14:paraId="0AEE767B">
            <w:pPr>
              <w:keepNext w:val="0"/>
              <w:keepLines w:val="0"/>
              <w:pageBreakBefore w:val="0"/>
              <w:widowControl w:val="0"/>
              <w:suppressLineNumbers w:val="0"/>
              <w:kinsoku/>
              <w:wordWrap/>
              <w:overflowPunct/>
              <w:topLinePunct w:val="0"/>
              <w:autoSpaceDE/>
              <w:autoSpaceDN/>
              <w:bidi w:val="0"/>
              <w:spacing w:before="0" w:beforeAutospacing="0" w:after="0" w:afterAutospacing="0" w:line="360" w:lineRule="auto"/>
              <w:ind w:left="0" w:right="0" w:firstLine="480" w:firstLineChars="200"/>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对于</w:t>
            </w:r>
            <w:r>
              <w:rPr>
                <w:rFonts w:hint="default" w:ascii="Times New Roman" w:hAnsi="Times New Roman" w:eastAsia="宋体" w:cs="Times New Roman"/>
                <w:color w:val="auto"/>
                <w:sz w:val="24"/>
                <w:lang w:eastAsia="zh-CN"/>
              </w:rPr>
              <w:t>建设项目</w:t>
            </w:r>
            <w:r>
              <w:rPr>
                <w:rFonts w:hint="default" w:ascii="Times New Roman" w:hAnsi="Times New Roman" w:eastAsia="宋体" w:cs="Times New Roman"/>
                <w:color w:val="auto"/>
                <w:sz w:val="24"/>
              </w:rPr>
              <w:t>运行后的</w:t>
            </w:r>
            <w:r>
              <w:rPr>
                <w:rFonts w:hint="default" w:ascii="Times New Roman" w:hAnsi="Times New Roman" w:eastAsia="宋体" w:cs="Times New Roman"/>
                <w:color w:val="auto"/>
                <w:sz w:val="24"/>
                <w:lang w:eastAsia="zh-CN"/>
              </w:rPr>
              <w:t>一般</w:t>
            </w:r>
            <w:r>
              <w:rPr>
                <w:rFonts w:hint="default" w:ascii="Times New Roman" w:hAnsi="Times New Roman" w:eastAsia="宋体" w:cs="Times New Roman"/>
                <w:color w:val="auto"/>
                <w:sz w:val="24"/>
              </w:rPr>
              <w:t>固体废弃物的环境管理，应做到以下几点：</w:t>
            </w:r>
          </w:p>
          <w:p w14:paraId="6BC54CE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textAlignment w:val="auto"/>
              <w:rPr>
                <w:rFonts w:hint="default" w:ascii="Times New Roman" w:hAnsi="Times New Roman" w:eastAsia="宋体" w:cs="Times New Roman"/>
                <w:color w:val="auto"/>
                <w:kern w:val="0"/>
                <w:sz w:val="24"/>
              </w:rPr>
            </w:pPr>
            <w:r>
              <w:rPr>
                <w:rFonts w:hint="default" w:ascii="Times New Roman" w:hAnsi="Times New Roman" w:eastAsia="宋体" w:cs="Times New Roman"/>
                <w:color w:val="auto"/>
                <w:lang w:val="en-US" w:eastAsia="zh-CN"/>
              </w:rPr>
              <w:t>①</w:t>
            </w:r>
            <w:r>
              <w:rPr>
                <w:rFonts w:hint="default" w:ascii="Times New Roman" w:hAnsi="Times New Roman" w:eastAsia="宋体" w:cs="Times New Roman"/>
                <w:color w:val="auto"/>
                <w:kern w:val="0"/>
                <w:sz w:val="24"/>
              </w:rPr>
              <w:t>一般工业固废</w:t>
            </w:r>
            <w:r>
              <w:rPr>
                <w:rFonts w:hint="default" w:ascii="Times New Roman" w:hAnsi="Times New Roman" w:eastAsia="宋体" w:cs="Times New Roman"/>
                <w:color w:val="auto"/>
                <w:kern w:val="0"/>
                <w:sz w:val="24"/>
                <w:lang w:eastAsia="zh-CN"/>
              </w:rPr>
              <w:t>仓库</w:t>
            </w:r>
            <w:r>
              <w:rPr>
                <w:rFonts w:hint="default" w:ascii="Times New Roman" w:hAnsi="Times New Roman" w:eastAsia="宋体" w:cs="Times New Roman"/>
                <w:color w:val="auto"/>
                <w:sz w:val="24"/>
              </w:rPr>
              <w:t>按照要求设置</w:t>
            </w:r>
            <w:r>
              <w:rPr>
                <w:rFonts w:hint="default" w:ascii="Times New Roman" w:hAnsi="Times New Roman" w:eastAsia="宋体" w:cs="Times New Roman"/>
                <w:color w:val="auto"/>
                <w:sz w:val="24"/>
                <w:lang w:eastAsia="zh-CN"/>
              </w:rPr>
              <w:t>标识牌</w:t>
            </w:r>
            <w:r>
              <w:rPr>
                <w:rFonts w:hint="default" w:ascii="Times New Roman" w:hAnsi="Times New Roman" w:eastAsia="宋体" w:cs="Times New Roman"/>
                <w:color w:val="auto"/>
                <w:sz w:val="24"/>
              </w:rPr>
              <w:t>，</w:t>
            </w:r>
            <w:r>
              <w:rPr>
                <w:rFonts w:hint="default" w:ascii="Times New Roman" w:hAnsi="Times New Roman" w:eastAsia="宋体" w:cs="Times New Roman"/>
                <w:color w:val="auto"/>
                <w:kern w:val="0"/>
                <w:sz w:val="24"/>
              </w:rPr>
              <w:t>一般工业固废</w:t>
            </w:r>
            <w:r>
              <w:rPr>
                <w:rFonts w:hint="default" w:ascii="Times New Roman" w:hAnsi="Times New Roman" w:eastAsia="宋体" w:cs="Times New Roman"/>
                <w:color w:val="auto"/>
                <w:kern w:val="0"/>
                <w:sz w:val="24"/>
                <w:lang w:eastAsia="zh-CN"/>
              </w:rPr>
              <w:t>仓库</w:t>
            </w:r>
            <w:r>
              <w:rPr>
                <w:rFonts w:hint="default" w:ascii="Times New Roman" w:hAnsi="Times New Roman" w:eastAsia="宋体" w:cs="Times New Roman"/>
                <w:color w:val="auto"/>
                <w:kern w:val="0"/>
                <w:sz w:val="24"/>
              </w:rPr>
              <w:t>贮存</w:t>
            </w:r>
            <w:r>
              <w:rPr>
                <w:rFonts w:hint="default" w:ascii="Times New Roman" w:hAnsi="Times New Roman" w:eastAsia="宋体" w:cs="Times New Roman"/>
                <w:color w:val="auto"/>
                <w:sz w:val="24"/>
              </w:rPr>
              <w:t>过程应满足相应防渗漏、防雨淋、防扬尘等环境保护要求</w:t>
            </w:r>
            <w:r>
              <w:rPr>
                <w:rFonts w:hint="default" w:ascii="Times New Roman" w:hAnsi="Times New Roman" w:eastAsia="宋体" w:cs="Times New Roman"/>
                <w:color w:val="auto"/>
                <w:kern w:val="0"/>
                <w:sz w:val="24"/>
              </w:rPr>
              <w:t>。一般工业固废</w:t>
            </w:r>
            <w:r>
              <w:rPr>
                <w:rFonts w:hint="default" w:ascii="Times New Roman" w:hAnsi="Times New Roman" w:eastAsia="宋体" w:cs="Times New Roman"/>
                <w:color w:val="auto"/>
                <w:sz w:val="24"/>
              </w:rPr>
              <w:t>储存</w:t>
            </w:r>
            <w:r>
              <w:rPr>
                <w:rFonts w:hint="default" w:ascii="Times New Roman" w:hAnsi="Times New Roman" w:eastAsia="宋体" w:cs="Times New Roman"/>
                <w:color w:val="auto"/>
                <w:kern w:val="0"/>
                <w:sz w:val="24"/>
              </w:rPr>
              <w:t>执行《一般工业固体废物贮存和填埋污染控制标准》（GB18599-2020）中相关规定</w:t>
            </w:r>
            <w:r>
              <w:rPr>
                <w:rFonts w:hint="default" w:ascii="Times New Roman" w:hAnsi="Times New Roman" w:eastAsia="宋体" w:cs="Times New Roman"/>
                <w:color w:val="auto"/>
                <w:kern w:val="0"/>
                <w:sz w:val="24"/>
                <w:lang w:eastAsia="zh-CN"/>
              </w:rPr>
              <w:t>，具体要求如下：</w:t>
            </w:r>
          </w:p>
          <w:p w14:paraId="15786F5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A.为保障设施、设备正常运营，应选在满足承载力要求的地基上，以避免地基下沉的影响，特别是不均匀或局部下沉的影响。应避开断层、断层破碎带以及天然滑坡或泥石流影响区。</w:t>
            </w:r>
            <w:r>
              <w:rPr>
                <w:rFonts w:hint="default" w:ascii="Times New Roman" w:hAnsi="Times New Roman" w:eastAsia="宋体" w:cs="Times New Roman"/>
                <w:color w:val="auto"/>
                <w:kern w:val="0"/>
                <w:sz w:val="24"/>
              </w:rPr>
              <w:t>一般工业固废</w:t>
            </w:r>
            <w:r>
              <w:rPr>
                <w:rFonts w:hint="default" w:ascii="Times New Roman" w:hAnsi="Times New Roman" w:eastAsia="宋体" w:cs="Times New Roman"/>
                <w:color w:val="auto"/>
                <w:kern w:val="0"/>
                <w:sz w:val="24"/>
                <w:lang w:eastAsia="zh-CN"/>
              </w:rPr>
              <w:t>仓库</w:t>
            </w:r>
            <w:r>
              <w:rPr>
                <w:rFonts w:hint="default" w:ascii="Times New Roman" w:hAnsi="Times New Roman" w:eastAsia="宋体" w:cs="Times New Roman"/>
                <w:color w:val="auto"/>
                <w:sz w:val="24"/>
              </w:rPr>
              <w:t>禁止选在江河、湖泊、水库最高水位线以下的滩地和洪泛区。</w:t>
            </w:r>
          </w:p>
          <w:p w14:paraId="789C27C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B.贮存</w:t>
            </w:r>
            <w:r>
              <w:rPr>
                <w:rFonts w:hint="default" w:ascii="Times New Roman" w:hAnsi="Times New Roman" w:eastAsia="宋体" w:cs="Times New Roman"/>
                <w:color w:val="auto"/>
                <w:sz w:val="24"/>
                <w:lang w:eastAsia="zh-CN"/>
              </w:rPr>
              <w:t>库</w:t>
            </w:r>
            <w:r>
              <w:rPr>
                <w:rFonts w:hint="default" w:ascii="Times New Roman" w:hAnsi="Times New Roman" w:eastAsia="宋体" w:cs="Times New Roman"/>
                <w:color w:val="auto"/>
                <w:sz w:val="24"/>
              </w:rPr>
              <w:t>的建设类型，必须与将要堆放的一般工业固体废物的类别相一致。一般工业固体废物贮存场，禁止危险废物和生活垃圾混入。</w:t>
            </w:r>
          </w:p>
          <w:p w14:paraId="2047025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C.贮存场应采取防止粉尘污染的措施；</w:t>
            </w:r>
          </w:p>
          <w:p w14:paraId="289255D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D.为防止雨水径流进入贮存场内，避免渗滤液量增加和滑坡，贮存场周边应设置导流渠；</w:t>
            </w:r>
          </w:p>
          <w:p w14:paraId="794DDA0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lang w:val="en-US" w:eastAsia="zh-CN"/>
              </w:rPr>
              <w:t>E</w:t>
            </w:r>
            <w:r>
              <w:rPr>
                <w:rFonts w:hint="default" w:ascii="Times New Roman" w:hAnsi="Times New Roman" w:eastAsia="宋体" w:cs="Times New Roman"/>
                <w:color w:val="auto"/>
                <w:sz w:val="24"/>
              </w:rPr>
              <w:t>.为加强监督管理，应建立检查维护制度。发现有损坏可能或异常，应及时采取必要措施，以保障正常使用。贮存、处置场的使用单位，应建立档案制度。应将入场的一般工业固体废物的种类和数量以及下列资料，详细记录在案，长期保存，供随时查阅。</w:t>
            </w:r>
          </w:p>
          <w:p w14:paraId="555BEA8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lang w:val="en-US" w:eastAsia="zh-CN"/>
              </w:rPr>
              <w:t>F</w:t>
            </w:r>
            <w:r>
              <w:rPr>
                <w:rFonts w:hint="default" w:ascii="Times New Roman" w:hAnsi="Times New Roman" w:eastAsia="宋体" w:cs="Times New Roman"/>
                <w:color w:val="auto"/>
                <w:sz w:val="24"/>
              </w:rPr>
              <w:t>.贮存场的环境保护图形标志，应按GB15562.2规定进行检查和维护。</w:t>
            </w:r>
          </w:p>
          <w:p w14:paraId="3B014C6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②</w:t>
            </w:r>
            <w:r>
              <w:rPr>
                <w:rFonts w:hint="eastAsia" w:cs="Times New Roman"/>
                <w:color w:val="auto"/>
                <w:sz w:val="24"/>
                <w:lang w:val="en-US" w:eastAsia="zh-CN"/>
              </w:rPr>
              <w:t>拟建</w:t>
            </w:r>
            <w:r>
              <w:rPr>
                <w:rFonts w:hint="default" w:ascii="Times New Roman" w:hAnsi="Times New Roman" w:eastAsia="宋体" w:cs="Times New Roman"/>
                <w:color w:val="auto"/>
                <w:sz w:val="24"/>
                <w:lang w:val="en-US" w:eastAsia="zh-CN"/>
              </w:rPr>
              <w:t>项目新增一般工业固体废物</w:t>
            </w:r>
            <w:r>
              <w:rPr>
                <w:rFonts w:hint="eastAsia" w:cs="Times New Roman"/>
                <w:color w:val="auto"/>
                <w:sz w:val="24"/>
                <w:lang w:val="en-US" w:eastAsia="zh-CN"/>
              </w:rPr>
              <w:t>6.945</w:t>
            </w:r>
            <w:r>
              <w:rPr>
                <w:rFonts w:hint="default" w:ascii="Times New Roman" w:hAnsi="Times New Roman" w:eastAsia="宋体" w:cs="Times New Roman"/>
                <w:color w:val="auto"/>
                <w:sz w:val="24"/>
                <w:lang w:val="en-US" w:eastAsia="zh-CN"/>
              </w:rPr>
              <w:t>t/a，建设项目</w:t>
            </w:r>
            <w:r>
              <w:rPr>
                <w:rFonts w:hint="default" w:ascii="Times New Roman" w:hAnsi="Times New Roman" w:eastAsia="宋体" w:cs="Times New Roman"/>
                <w:color w:val="auto"/>
                <w:sz w:val="24"/>
              </w:rPr>
              <w:t>一般工业固废</w:t>
            </w:r>
            <w:r>
              <w:rPr>
                <w:rFonts w:hint="default" w:ascii="Times New Roman" w:hAnsi="Times New Roman" w:eastAsia="宋体" w:cs="Times New Roman"/>
                <w:color w:val="auto"/>
                <w:sz w:val="24"/>
                <w:lang w:eastAsia="zh-CN"/>
              </w:rPr>
              <w:t>约</w:t>
            </w:r>
            <w:r>
              <w:rPr>
                <w:rFonts w:hint="eastAsia" w:cs="Times New Roman"/>
                <w:color w:val="auto"/>
                <w:sz w:val="24"/>
                <w:lang w:val="en-US" w:eastAsia="zh-CN"/>
              </w:rPr>
              <w:t>3</w:t>
            </w:r>
            <w:r>
              <w:rPr>
                <w:rFonts w:hint="default" w:ascii="Times New Roman" w:hAnsi="Times New Roman" w:eastAsia="宋体" w:cs="Times New Roman"/>
                <w:color w:val="auto"/>
                <w:sz w:val="24"/>
                <w:lang w:eastAsia="zh-CN"/>
              </w:rPr>
              <w:t>个</w:t>
            </w:r>
            <w:r>
              <w:rPr>
                <w:rFonts w:hint="eastAsia" w:cs="Times New Roman"/>
                <w:color w:val="auto"/>
                <w:sz w:val="24"/>
                <w:lang w:eastAsia="zh-CN"/>
              </w:rPr>
              <w:t>月</w:t>
            </w:r>
            <w:r>
              <w:rPr>
                <w:rFonts w:hint="default" w:ascii="Times New Roman" w:hAnsi="Times New Roman" w:eastAsia="宋体" w:cs="Times New Roman"/>
                <w:color w:val="auto"/>
                <w:sz w:val="24"/>
                <w:lang w:eastAsia="zh-CN"/>
              </w:rPr>
              <w:t>转运一次，经计算其最大贮存量</w:t>
            </w:r>
            <w:r>
              <w:rPr>
                <w:rFonts w:hint="eastAsia" w:cs="Times New Roman"/>
                <w:color w:val="auto"/>
                <w:sz w:val="24"/>
                <w:lang w:val="en-US" w:eastAsia="zh-CN"/>
              </w:rPr>
              <w:t>1.736</w:t>
            </w:r>
            <w:r>
              <w:rPr>
                <w:rFonts w:hint="default" w:ascii="Times New Roman" w:hAnsi="Times New Roman" w:eastAsia="宋体" w:cs="Times New Roman"/>
                <w:color w:val="auto"/>
                <w:sz w:val="24"/>
                <w:lang w:val="en-US" w:eastAsia="zh-CN"/>
              </w:rPr>
              <w:t>t</w:t>
            </w:r>
            <w:r>
              <w:rPr>
                <w:rFonts w:hint="default" w:ascii="Times New Roman" w:hAnsi="Times New Roman" w:eastAsia="宋体" w:cs="Times New Roman"/>
                <w:color w:val="auto"/>
                <w:sz w:val="24"/>
                <w:lang w:val="en-US" w:eastAsia="zh-CN"/>
              </w:rPr>
              <w:t>，</w:t>
            </w:r>
            <w:r>
              <w:rPr>
                <w:rFonts w:hint="eastAsia" w:cs="Times New Roman"/>
                <w:color w:val="auto"/>
                <w:sz w:val="24"/>
                <w:lang w:val="en-US" w:eastAsia="zh-CN"/>
              </w:rPr>
              <w:t>即拟建项目所需最大贮存面积约为1.736m</w:t>
            </w:r>
            <w:r>
              <w:rPr>
                <w:rFonts w:hint="eastAsia" w:cs="Times New Roman"/>
                <w:color w:val="auto"/>
                <w:sz w:val="24"/>
                <w:vertAlign w:val="superscript"/>
                <w:lang w:val="en-US" w:eastAsia="zh-CN"/>
              </w:rPr>
              <w:t>2</w:t>
            </w:r>
            <w:r>
              <w:rPr>
                <w:rFonts w:hint="eastAsia" w:cs="Times New Roman"/>
                <w:color w:val="auto"/>
                <w:sz w:val="24"/>
                <w:vertAlign w:val="baseline"/>
                <w:lang w:val="en-US" w:eastAsia="zh-CN"/>
              </w:rPr>
              <w:t>（不考虑叠堆存放），</w:t>
            </w:r>
            <w:r>
              <w:rPr>
                <w:rFonts w:hint="default" w:ascii="Times New Roman" w:hAnsi="Times New Roman" w:eastAsia="宋体" w:cs="Times New Roman"/>
                <w:color w:val="auto"/>
                <w:sz w:val="24"/>
                <w:lang w:eastAsia="zh-CN"/>
              </w:rPr>
              <w:t>因此新建</w:t>
            </w:r>
            <w:r>
              <w:rPr>
                <w:rFonts w:hint="default" w:ascii="Times New Roman" w:hAnsi="Times New Roman" w:eastAsia="宋体" w:cs="Times New Roman"/>
                <w:color w:val="auto"/>
                <w:sz w:val="24"/>
                <w:lang w:val="en-US" w:eastAsia="zh-CN"/>
              </w:rPr>
              <w:t>一座</w:t>
            </w:r>
            <w:r>
              <w:rPr>
                <w:rFonts w:hint="eastAsia" w:cs="Times New Roman"/>
                <w:color w:val="auto"/>
                <w:sz w:val="24"/>
                <w:lang w:val="en-US" w:eastAsia="zh-CN"/>
              </w:rPr>
              <w:t>5</w:t>
            </w:r>
            <w:r>
              <w:rPr>
                <w:rFonts w:hint="default" w:ascii="Times New Roman" w:hAnsi="Times New Roman" w:eastAsia="宋体" w:cs="Times New Roman"/>
                <w:color w:val="auto"/>
                <w:sz w:val="24"/>
              </w:rPr>
              <w:t>m</w:t>
            </w:r>
            <w:r>
              <w:rPr>
                <w:rFonts w:hint="default" w:ascii="Times New Roman" w:hAnsi="Times New Roman" w:eastAsia="宋体" w:cs="Times New Roman"/>
                <w:color w:val="auto"/>
                <w:sz w:val="24"/>
                <w:vertAlign w:val="superscript"/>
              </w:rPr>
              <w:t>2</w:t>
            </w:r>
            <w:r>
              <w:rPr>
                <w:rFonts w:hint="default" w:ascii="Times New Roman" w:hAnsi="Times New Roman" w:eastAsia="宋体" w:cs="Times New Roman"/>
                <w:color w:val="auto"/>
                <w:sz w:val="24"/>
              </w:rPr>
              <w:t>一般</w:t>
            </w:r>
            <w:r>
              <w:rPr>
                <w:rFonts w:hint="default" w:ascii="Times New Roman" w:hAnsi="Times New Roman" w:eastAsia="宋体" w:cs="Times New Roman"/>
                <w:color w:val="auto"/>
                <w:sz w:val="24"/>
                <w:lang w:val="en-US" w:eastAsia="zh-CN"/>
              </w:rPr>
              <w:t>工业</w:t>
            </w:r>
            <w:r>
              <w:rPr>
                <w:rFonts w:hint="default" w:ascii="Times New Roman" w:hAnsi="Times New Roman" w:eastAsia="宋体" w:cs="Times New Roman"/>
                <w:color w:val="auto"/>
                <w:sz w:val="24"/>
              </w:rPr>
              <w:t>固废</w:t>
            </w:r>
            <w:r>
              <w:rPr>
                <w:rFonts w:hint="default" w:ascii="Times New Roman" w:hAnsi="Times New Roman" w:eastAsia="宋体" w:cs="Times New Roman"/>
                <w:color w:val="auto"/>
                <w:sz w:val="24"/>
                <w:lang w:val="en-US" w:eastAsia="zh-CN"/>
              </w:rPr>
              <w:t>仓库</w:t>
            </w:r>
            <w:r>
              <w:rPr>
                <w:rFonts w:hint="default" w:ascii="Times New Roman" w:hAnsi="Times New Roman" w:eastAsia="宋体" w:cs="Times New Roman"/>
                <w:color w:val="auto"/>
                <w:sz w:val="24"/>
              </w:rPr>
              <w:t>可以满足</w:t>
            </w:r>
            <w:r>
              <w:rPr>
                <w:rFonts w:hint="default" w:ascii="Times New Roman" w:hAnsi="Times New Roman" w:eastAsia="宋体" w:cs="Times New Roman"/>
                <w:color w:val="auto"/>
                <w:sz w:val="24"/>
                <w:lang w:val="en-US" w:eastAsia="zh-CN"/>
              </w:rPr>
              <w:t>一般工业固废</w:t>
            </w:r>
            <w:r>
              <w:rPr>
                <w:rFonts w:hint="default" w:ascii="Times New Roman" w:hAnsi="Times New Roman" w:eastAsia="宋体" w:cs="Times New Roman"/>
                <w:color w:val="auto"/>
                <w:sz w:val="24"/>
              </w:rPr>
              <w:t>贮存需求</w:t>
            </w:r>
            <w:r>
              <w:rPr>
                <w:rFonts w:hint="default" w:ascii="Times New Roman" w:hAnsi="Times New Roman" w:eastAsia="宋体" w:cs="Times New Roman"/>
                <w:color w:val="auto"/>
                <w:sz w:val="24"/>
                <w:lang w:bidi="ar"/>
              </w:rPr>
              <w:t>。</w:t>
            </w:r>
          </w:p>
          <w:p w14:paraId="48D600A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一般工业固废</w:t>
            </w:r>
            <w:r>
              <w:rPr>
                <w:rFonts w:hint="default" w:ascii="Times New Roman" w:hAnsi="Times New Roman" w:eastAsia="宋体" w:cs="Times New Roman"/>
                <w:color w:val="auto"/>
                <w:sz w:val="24"/>
                <w:lang w:eastAsia="zh-CN"/>
              </w:rPr>
              <w:t>中</w:t>
            </w:r>
            <w:r>
              <w:rPr>
                <w:rFonts w:hint="eastAsia" w:cs="Times New Roman"/>
                <w:color w:val="auto"/>
                <w:sz w:val="24"/>
                <w:lang w:eastAsia="zh-CN"/>
              </w:rPr>
              <w:t>边角料、除尘灰</w:t>
            </w:r>
            <w:r>
              <w:rPr>
                <w:rFonts w:hint="default" w:ascii="Times New Roman" w:hAnsi="Times New Roman" w:eastAsia="宋体" w:cs="Times New Roman"/>
                <w:color w:val="auto"/>
                <w:sz w:val="24"/>
              </w:rPr>
              <w:t>统一收集</w:t>
            </w:r>
            <w:r>
              <w:rPr>
                <w:rFonts w:hint="eastAsia" w:cs="Times New Roman"/>
                <w:color w:val="auto"/>
                <w:sz w:val="24"/>
                <w:lang w:eastAsia="zh-CN"/>
              </w:rPr>
              <w:t>后</w:t>
            </w:r>
            <w:r>
              <w:rPr>
                <w:rFonts w:hint="eastAsia" w:cs="Times New Roman"/>
                <w:color w:val="auto"/>
                <w:sz w:val="24"/>
                <w:lang w:eastAsia="zh-CN"/>
              </w:rPr>
              <w:t>送有资质的</w:t>
            </w:r>
            <w:r>
              <w:rPr>
                <w:rFonts w:hint="eastAsia" w:cs="Times New Roman"/>
                <w:color w:val="auto"/>
                <w:sz w:val="24"/>
                <w:lang w:eastAsia="zh-CN"/>
              </w:rPr>
              <w:t>外单位</w:t>
            </w:r>
            <w:r>
              <w:rPr>
                <w:rFonts w:hint="default" w:ascii="Times New Roman" w:hAnsi="Times New Roman" w:eastAsia="宋体" w:cs="Times New Roman"/>
                <w:color w:val="auto"/>
                <w:sz w:val="24"/>
                <w:lang w:eastAsia="zh-CN"/>
              </w:rPr>
              <w:t>综合利用</w:t>
            </w:r>
            <w:r>
              <w:rPr>
                <w:rFonts w:hint="default" w:ascii="Times New Roman" w:hAnsi="Times New Roman" w:eastAsia="宋体" w:cs="Times New Roman"/>
                <w:color w:val="auto"/>
                <w:sz w:val="24"/>
              </w:rPr>
              <w:t>或处置，</w:t>
            </w:r>
            <w:r>
              <w:rPr>
                <w:rFonts w:hint="eastAsia" w:cs="Times New Roman"/>
                <w:color w:val="auto"/>
                <w:sz w:val="24"/>
                <w:lang w:eastAsia="zh-CN"/>
              </w:rPr>
              <w:t>不合格品</w:t>
            </w:r>
            <w:r>
              <w:rPr>
                <w:rFonts w:hint="eastAsia" w:cs="Times New Roman"/>
                <w:color w:val="auto"/>
                <w:sz w:val="24"/>
                <w:lang w:eastAsia="zh-CN"/>
              </w:rPr>
              <w:t>在本单位内</w:t>
            </w:r>
            <w:r>
              <w:rPr>
                <w:rFonts w:hint="default" w:ascii="Times New Roman" w:hAnsi="Times New Roman" w:eastAsia="宋体" w:cs="Times New Roman"/>
                <w:color w:val="auto"/>
                <w:sz w:val="24"/>
                <w:lang w:eastAsia="zh-CN"/>
              </w:rPr>
              <w:t>生产线回用</w:t>
            </w:r>
            <w:r>
              <w:rPr>
                <w:rFonts w:hint="eastAsia" w:cs="Times New Roman"/>
                <w:color w:val="auto"/>
                <w:sz w:val="24"/>
                <w:lang w:eastAsia="zh-CN"/>
              </w:rPr>
              <w:t>；生活垃圾环卫清运处置。</w:t>
            </w:r>
            <w:r>
              <w:rPr>
                <w:rFonts w:hint="default" w:ascii="Times New Roman" w:hAnsi="Times New Roman" w:eastAsia="宋体" w:cs="Times New Roman"/>
                <w:color w:val="auto"/>
                <w:sz w:val="24"/>
                <w:lang w:eastAsia="zh-CN"/>
              </w:rPr>
              <w:t>项目各类固废</w:t>
            </w:r>
            <w:r>
              <w:rPr>
                <w:rFonts w:hint="default" w:ascii="Times New Roman" w:hAnsi="Times New Roman" w:eastAsia="宋体" w:cs="Times New Roman"/>
                <w:color w:val="auto"/>
                <w:sz w:val="24"/>
              </w:rPr>
              <w:t>可以满足一般工业固废贮存的要求。</w:t>
            </w:r>
            <w:r>
              <w:rPr>
                <w:rFonts w:hint="default" w:ascii="Times New Roman" w:hAnsi="Times New Roman" w:eastAsia="宋体" w:cs="Times New Roman"/>
                <w:color w:val="auto"/>
                <w:sz w:val="24"/>
                <w:lang w:eastAsia="zh-CN"/>
              </w:rPr>
              <w:t>综上所述，本项目各类固废</w:t>
            </w:r>
            <w:r>
              <w:rPr>
                <w:rFonts w:hint="default" w:ascii="Times New Roman" w:hAnsi="Times New Roman" w:eastAsia="宋体" w:cs="Times New Roman"/>
                <w:color w:val="auto"/>
                <w:sz w:val="24"/>
              </w:rPr>
              <w:t>对环境的影响在可控范围内。</w:t>
            </w:r>
          </w:p>
          <w:p w14:paraId="42CCC7AA">
            <w:pPr>
              <w:keepNext w:val="0"/>
              <w:keepLines w:val="0"/>
              <w:pageBreakBefore w:val="0"/>
              <w:widowControl w:val="0"/>
              <w:numPr>
                <w:ilvl w:val="0"/>
                <w:numId w:val="10"/>
              </w:numPr>
              <w:suppressLineNumbers w:val="0"/>
              <w:kinsoku/>
              <w:wordWrap/>
              <w:overflowPunct/>
              <w:topLinePunct w:val="0"/>
              <w:autoSpaceDE/>
              <w:autoSpaceDN/>
              <w:bidi w:val="0"/>
              <w:adjustRightInd/>
              <w:snapToGrid/>
              <w:spacing w:before="0" w:beforeAutospacing="0" w:after="0" w:afterAutospacing="0"/>
              <w:ind w:left="0" w:leftChars="0" w:right="0" w:firstLine="482" w:firstLineChars="200"/>
              <w:textAlignment w:val="auto"/>
              <w:rPr>
                <w:rFonts w:hint="default" w:ascii="Times New Roman" w:hAnsi="Times New Roman" w:eastAsia="宋体" w:cs="Times New Roman"/>
                <w:b/>
                <w:bCs/>
                <w:color w:val="auto"/>
                <w:lang w:val="en-US" w:eastAsia="zh-CN"/>
              </w:rPr>
            </w:pPr>
            <w:r>
              <w:rPr>
                <w:rFonts w:hint="default" w:ascii="Times New Roman" w:hAnsi="Times New Roman" w:eastAsia="宋体" w:cs="Times New Roman"/>
                <w:b/>
                <w:bCs/>
                <w:color w:val="auto"/>
                <w:lang w:val="en-US" w:eastAsia="zh-CN"/>
              </w:rPr>
              <w:t>地下水、土壤</w:t>
            </w:r>
          </w:p>
          <w:p w14:paraId="16D44CE8">
            <w:pPr>
              <w:keepNext w:val="0"/>
              <w:keepLines w:val="0"/>
              <w:suppressLineNumbers w:val="0"/>
              <w:spacing w:before="0" w:beforeAutospacing="0" w:after="0" w:afterAutospacing="0"/>
              <w:ind w:left="0" w:right="0" w:firstLine="480"/>
              <w:rPr>
                <w:rFonts w:hint="default" w:ascii="Times New Roman" w:hAnsi="Times New Roman" w:eastAsia="宋体" w:cs="Times New Roman"/>
                <w:color w:val="auto"/>
              </w:rPr>
            </w:pPr>
            <w:r>
              <w:rPr>
                <w:rFonts w:hint="eastAsia" w:cs="Times New Roman"/>
                <w:color w:val="auto"/>
                <w:lang w:val="en-US" w:eastAsia="zh-CN"/>
              </w:rPr>
              <w:t>拟建</w:t>
            </w:r>
            <w:r>
              <w:rPr>
                <w:rFonts w:hint="default" w:ascii="Times New Roman" w:hAnsi="Times New Roman" w:eastAsia="宋体" w:cs="Times New Roman"/>
                <w:color w:val="auto"/>
                <w:lang w:val="en-US" w:eastAsia="zh-CN"/>
              </w:rPr>
              <w:t>项目</w:t>
            </w:r>
            <w:r>
              <w:rPr>
                <w:rFonts w:hint="eastAsia" w:cs="Times New Roman"/>
                <w:color w:val="auto"/>
                <w:lang w:val="en-US" w:eastAsia="zh-CN"/>
              </w:rPr>
              <w:t>不使用有毒有害化学品原料，不产生危险废物及工业废水，</w:t>
            </w:r>
            <w:r>
              <w:rPr>
                <w:rFonts w:hint="default" w:ascii="Times New Roman" w:hAnsi="Times New Roman" w:eastAsia="宋体" w:cs="Times New Roman"/>
                <w:color w:val="auto"/>
              </w:rPr>
              <w:t>建成后</w:t>
            </w:r>
            <w:r>
              <w:rPr>
                <w:rFonts w:hint="default" w:ascii="Times New Roman" w:hAnsi="Times New Roman" w:eastAsia="宋体" w:cs="Times New Roman"/>
                <w:color w:val="auto"/>
                <w:lang w:eastAsia="zh-CN"/>
              </w:rPr>
              <w:t>全厂</w:t>
            </w:r>
            <w:r>
              <w:rPr>
                <w:rFonts w:hint="default" w:ascii="Times New Roman" w:hAnsi="Times New Roman" w:eastAsia="宋体" w:cs="Times New Roman"/>
                <w:color w:val="auto"/>
              </w:rPr>
              <w:t>运营过程中涉及的地下水、土壤</w:t>
            </w:r>
            <w:r>
              <w:rPr>
                <w:rFonts w:hint="default" w:ascii="Times New Roman" w:hAnsi="Times New Roman" w:eastAsia="宋体" w:cs="Times New Roman"/>
                <w:color w:val="auto"/>
                <w:lang w:val="en-US" w:eastAsia="zh-CN"/>
              </w:rPr>
              <w:t>潜在</w:t>
            </w:r>
            <w:r>
              <w:rPr>
                <w:rFonts w:hint="default" w:ascii="Times New Roman" w:hAnsi="Times New Roman" w:eastAsia="宋体" w:cs="Times New Roman"/>
                <w:color w:val="auto"/>
              </w:rPr>
              <w:t>环境影响</w:t>
            </w:r>
            <w:r>
              <w:rPr>
                <w:rFonts w:hint="default" w:ascii="Times New Roman" w:hAnsi="Times New Roman" w:eastAsia="宋体" w:cs="Times New Roman"/>
                <w:color w:val="auto"/>
                <w:lang w:val="en-US" w:eastAsia="zh-CN"/>
              </w:rPr>
              <w:t>场所</w:t>
            </w:r>
            <w:r>
              <w:rPr>
                <w:rFonts w:hint="default" w:ascii="Times New Roman" w:hAnsi="Times New Roman" w:eastAsia="宋体" w:cs="Times New Roman"/>
                <w:color w:val="auto"/>
              </w:rPr>
              <w:t>主要为</w:t>
            </w:r>
            <w:r>
              <w:rPr>
                <w:rFonts w:hint="eastAsia" w:cs="Times New Roman"/>
                <w:color w:val="auto"/>
                <w:lang w:val="en-US" w:eastAsia="zh-CN"/>
              </w:rPr>
              <w:t>生产</w:t>
            </w:r>
            <w:r>
              <w:rPr>
                <w:rFonts w:hint="default" w:ascii="Times New Roman" w:hAnsi="Times New Roman" w:eastAsia="宋体" w:cs="Times New Roman"/>
                <w:color w:val="auto"/>
                <w:lang w:val="en-US" w:eastAsia="zh-CN"/>
              </w:rPr>
              <w:t>厂房</w:t>
            </w:r>
            <w:r>
              <w:rPr>
                <w:rFonts w:hint="default" w:ascii="Times New Roman" w:hAnsi="Times New Roman" w:eastAsia="宋体" w:cs="Times New Roman"/>
                <w:color w:val="auto"/>
              </w:rPr>
              <w:t>、</w:t>
            </w:r>
            <w:r>
              <w:rPr>
                <w:rFonts w:hint="eastAsia" w:cs="Times New Roman"/>
                <w:color w:val="auto"/>
                <w:lang w:eastAsia="zh-CN"/>
              </w:rPr>
              <w:t>氯化镁及氧化镁物料仓储区</w:t>
            </w:r>
            <w:r>
              <w:rPr>
                <w:rFonts w:hint="default" w:ascii="Times New Roman" w:hAnsi="Times New Roman" w:eastAsia="宋体" w:cs="Times New Roman"/>
                <w:color w:val="auto"/>
              </w:rPr>
              <w:t>、</w:t>
            </w:r>
            <w:r>
              <w:rPr>
                <w:rFonts w:hint="default" w:ascii="Times New Roman" w:hAnsi="Times New Roman" w:eastAsia="宋体" w:cs="Times New Roman"/>
                <w:color w:val="auto"/>
                <w:lang w:val="en-US" w:eastAsia="zh-CN"/>
              </w:rPr>
              <w:t>一般工业固废仓库</w:t>
            </w:r>
            <w:r>
              <w:rPr>
                <w:rFonts w:hint="eastAsia" w:cs="Times New Roman"/>
                <w:color w:val="auto"/>
                <w:lang w:val="en-US" w:eastAsia="zh-CN"/>
              </w:rPr>
              <w:t>，拟建项目分区防控措施见表4.5-1</w:t>
            </w:r>
            <w:r>
              <w:rPr>
                <w:rFonts w:hint="default" w:ascii="Times New Roman" w:hAnsi="Times New Roman" w:eastAsia="宋体" w:cs="Times New Roman"/>
                <w:color w:val="auto"/>
              </w:rPr>
              <w:t>。</w:t>
            </w:r>
          </w:p>
          <w:p w14:paraId="56983D97">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Cs w:val="21"/>
              </w:rPr>
            </w:pPr>
            <w:r>
              <w:rPr>
                <w:rFonts w:hint="default" w:ascii="Times New Roman" w:hAnsi="Times New Roman" w:eastAsia="宋体" w:cs="Times New Roman"/>
                <w:b/>
                <w:color w:val="auto"/>
              </w:rPr>
              <w:t>表</w:t>
            </w:r>
            <w:r>
              <w:rPr>
                <w:rFonts w:hint="default" w:ascii="Times New Roman" w:hAnsi="Times New Roman" w:eastAsia="宋体" w:cs="Times New Roman"/>
                <w:b/>
                <w:bCs/>
                <w:color w:val="auto"/>
                <w:lang w:bidi="en-US"/>
              </w:rPr>
              <w:t>4.5</w:t>
            </w:r>
            <w:r>
              <w:rPr>
                <w:rFonts w:hint="default" w:ascii="Times New Roman" w:hAnsi="Times New Roman" w:eastAsia="宋体" w:cs="Times New Roman"/>
                <w:b/>
                <w:color w:val="auto"/>
                <w:kern w:val="0"/>
                <w:szCs w:val="20"/>
              </w:rPr>
              <w:t xml:space="preserve">-1  </w:t>
            </w:r>
            <w:r>
              <w:rPr>
                <w:rFonts w:hint="eastAsia" w:cs="Times New Roman"/>
                <w:b/>
                <w:color w:val="auto"/>
                <w:lang w:val="en-US" w:eastAsia="zh-CN"/>
              </w:rPr>
              <w:t>拟建</w:t>
            </w:r>
            <w:r>
              <w:rPr>
                <w:rFonts w:hint="default" w:ascii="Times New Roman" w:hAnsi="Times New Roman" w:eastAsia="宋体" w:cs="Times New Roman"/>
                <w:b/>
                <w:color w:val="auto"/>
                <w:lang w:val="en-US" w:eastAsia="zh-CN"/>
              </w:rPr>
              <w:t>项目</w:t>
            </w:r>
            <w:r>
              <w:rPr>
                <w:rFonts w:hint="default" w:ascii="Times New Roman" w:hAnsi="Times New Roman" w:eastAsia="宋体" w:cs="Times New Roman"/>
                <w:b/>
                <w:color w:val="auto"/>
              </w:rPr>
              <w:t>分区防控措施一览表</w:t>
            </w:r>
          </w:p>
          <w:tbl>
            <w:tblPr>
              <w:tblStyle w:val="27"/>
              <w:tblW w:w="4998"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28" w:type="dxa"/>
                <w:bottom w:w="0" w:type="dxa"/>
                <w:right w:w="28" w:type="dxa"/>
              </w:tblCellMar>
            </w:tblPr>
            <w:tblGrid>
              <w:gridCol w:w="1568"/>
              <w:gridCol w:w="999"/>
              <w:gridCol w:w="1588"/>
              <w:gridCol w:w="1305"/>
              <w:gridCol w:w="2271"/>
            </w:tblGrid>
            <w:tr w14:paraId="440EF7C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40" w:hRule="atLeast"/>
              </w:trPr>
              <w:tc>
                <w:tcPr>
                  <w:tcW w:w="1014" w:type="pct"/>
                  <w:vAlign w:val="center"/>
                </w:tcPr>
                <w:p w14:paraId="6FA936F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污染源</w:t>
                  </w:r>
                </w:p>
              </w:tc>
              <w:tc>
                <w:tcPr>
                  <w:tcW w:w="646" w:type="pct"/>
                  <w:vAlign w:val="center"/>
                </w:tcPr>
                <w:p w14:paraId="4173922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污染物类型</w:t>
                  </w:r>
                </w:p>
              </w:tc>
              <w:tc>
                <w:tcPr>
                  <w:tcW w:w="1027" w:type="pct"/>
                  <w:vAlign w:val="center"/>
                </w:tcPr>
                <w:p w14:paraId="0BAD185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污染途径</w:t>
                  </w:r>
                </w:p>
              </w:tc>
              <w:tc>
                <w:tcPr>
                  <w:tcW w:w="844" w:type="pct"/>
                  <w:vAlign w:val="center"/>
                </w:tcPr>
                <w:p w14:paraId="538DEED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b/>
                      <w:bCs/>
                      <w:color w:val="auto"/>
                      <w:sz w:val="18"/>
                      <w:szCs w:val="18"/>
                      <w:lang w:val="en-US" w:eastAsia="zh-CN"/>
                    </w:rPr>
                  </w:pPr>
                  <w:r>
                    <w:rPr>
                      <w:rFonts w:hint="default" w:ascii="Times New Roman" w:hAnsi="Times New Roman" w:eastAsia="宋体" w:cs="Times New Roman"/>
                      <w:b/>
                      <w:bCs/>
                      <w:color w:val="auto"/>
                      <w:sz w:val="18"/>
                      <w:szCs w:val="18"/>
                      <w:lang w:val="en-US" w:eastAsia="zh-CN"/>
                    </w:rPr>
                    <w:t>防渗分区</w:t>
                  </w:r>
                </w:p>
              </w:tc>
              <w:tc>
                <w:tcPr>
                  <w:tcW w:w="1468" w:type="pct"/>
                  <w:vAlign w:val="center"/>
                </w:tcPr>
                <w:p w14:paraId="7E69F19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b/>
                      <w:bCs/>
                      <w:color w:val="auto"/>
                      <w:sz w:val="18"/>
                      <w:szCs w:val="18"/>
                      <w:lang w:val="en-US"/>
                    </w:rPr>
                  </w:pPr>
                  <w:r>
                    <w:rPr>
                      <w:rFonts w:hint="default" w:ascii="Times New Roman" w:hAnsi="Times New Roman" w:eastAsia="宋体" w:cs="Times New Roman"/>
                      <w:b/>
                      <w:bCs/>
                      <w:color w:val="auto"/>
                      <w:sz w:val="18"/>
                      <w:szCs w:val="18"/>
                      <w:lang w:val="en-US" w:eastAsia="zh-CN"/>
                    </w:rPr>
                    <w:t>防渗技术要求</w:t>
                  </w:r>
                </w:p>
              </w:tc>
            </w:tr>
            <w:tr w14:paraId="6B92BDD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243" w:hRule="atLeast"/>
              </w:trPr>
              <w:tc>
                <w:tcPr>
                  <w:tcW w:w="1014" w:type="pct"/>
                  <w:vAlign w:val="center"/>
                </w:tcPr>
                <w:p w14:paraId="371B7A0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color w:val="auto"/>
                      <w:sz w:val="18"/>
                      <w:szCs w:val="18"/>
                      <w:lang w:val="en-US" w:eastAsia="zh-CN"/>
                    </w:rPr>
                  </w:pPr>
                  <w:r>
                    <w:rPr>
                      <w:rFonts w:hint="eastAsia" w:cs="Times New Roman"/>
                      <w:color w:val="auto"/>
                      <w:sz w:val="18"/>
                      <w:szCs w:val="18"/>
                      <w:lang w:val="en-US" w:eastAsia="zh-CN"/>
                    </w:rPr>
                    <w:t>生产</w:t>
                  </w:r>
                  <w:r>
                    <w:rPr>
                      <w:rFonts w:hint="default" w:ascii="Times New Roman" w:hAnsi="Times New Roman" w:eastAsia="宋体" w:cs="Times New Roman"/>
                      <w:color w:val="auto"/>
                      <w:sz w:val="18"/>
                      <w:szCs w:val="18"/>
                      <w:lang w:val="en-US" w:eastAsia="zh-CN"/>
                    </w:rPr>
                    <w:t>厂房</w:t>
                  </w:r>
                </w:p>
              </w:tc>
              <w:tc>
                <w:tcPr>
                  <w:tcW w:w="646" w:type="pct"/>
                  <w:vAlign w:val="center"/>
                </w:tcPr>
                <w:p w14:paraId="35950B22">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b w:val="0"/>
                      <w:bCs/>
                      <w:color w:val="auto"/>
                      <w:sz w:val="18"/>
                      <w:szCs w:val="18"/>
                      <w:lang w:val="en-US" w:eastAsia="zh-CN"/>
                    </w:rPr>
                    <w:t>/</w:t>
                  </w:r>
                </w:p>
              </w:tc>
              <w:tc>
                <w:tcPr>
                  <w:tcW w:w="1027" w:type="pct"/>
                  <w:vMerge w:val="restart"/>
                  <w:vAlign w:val="center"/>
                </w:tcPr>
                <w:p w14:paraId="78BBC72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color w:val="auto"/>
                      <w:sz w:val="18"/>
                      <w:szCs w:val="18"/>
                      <w:lang w:val="en-US"/>
                    </w:rPr>
                  </w:pPr>
                  <w:r>
                    <w:rPr>
                      <w:rFonts w:hint="default" w:ascii="Times New Roman" w:hAnsi="Times New Roman" w:eastAsia="宋体" w:cs="Times New Roman"/>
                      <w:color w:val="auto"/>
                      <w:sz w:val="18"/>
                      <w:szCs w:val="18"/>
                      <w:lang w:val="en-US" w:eastAsia="zh-CN"/>
                    </w:rPr>
                    <w:t>垂直入渗、地面漫流</w:t>
                  </w:r>
                </w:p>
              </w:tc>
              <w:tc>
                <w:tcPr>
                  <w:tcW w:w="844" w:type="pct"/>
                  <w:vAlign w:val="center"/>
                </w:tcPr>
                <w:p w14:paraId="5E880A5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一般防渗区</w:t>
                  </w:r>
                </w:p>
              </w:tc>
              <w:tc>
                <w:tcPr>
                  <w:tcW w:w="1468" w:type="pct"/>
                  <w:vMerge w:val="restart"/>
                  <w:vAlign w:val="center"/>
                </w:tcPr>
                <w:p w14:paraId="27A58CF0">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等效黏土防渗层Mb≥1.5m，K≤1×10</w:t>
                  </w:r>
                  <w:r>
                    <w:rPr>
                      <w:rFonts w:hint="default" w:ascii="Times New Roman" w:hAnsi="Times New Roman" w:eastAsia="宋体" w:cs="Times New Roman"/>
                      <w:color w:val="auto"/>
                      <w:sz w:val="18"/>
                      <w:szCs w:val="18"/>
                      <w:vertAlign w:val="superscript"/>
                    </w:rPr>
                    <w:t>-7</w:t>
                  </w:r>
                  <w:r>
                    <w:rPr>
                      <w:rFonts w:hint="default" w:ascii="Times New Roman" w:hAnsi="Times New Roman" w:eastAsia="宋体" w:cs="Times New Roman"/>
                      <w:color w:val="auto"/>
                      <w:sz w:val="18"/>
                      <w:szCs w:val="18"/>
                    </w:rPr>
                    <w:t>cm/s；或参照GB16889执行</w:t>
                  </w:r>
                </w:p>
              </w:tc>
            </w:tr>
            <w:tr w14:paraId="5F01448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255" w:hRule="atLeast"/>
              </w:trPr>
              <w:tc>
                <w:tcPr>
                  <w:tcW w:w="1014" w:type="pct"/>
                  <w:vAlign w:val="center"/>
                </w:tcPr>
                <w:p w14:paraId="4133537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氯化镁及氧化镁物料仓储区</w:t>
                  </w:r>
                </w:p>
              </w:tc>
              <w:tc>
                <w:tcPr>
                  <w:tcW w:w="646" w:type="pct"/>
                  <w:vAlign w:val="center"/>
                </w:tcPr>
                <w:p w14:paraId="0E8BDA3B">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b w:val="0"/>
                      <w:bCs/>
                      <w:color w:val="auto"/>
                      <w:sz w:val="18"/>
                      <w:szCs w:val="18"/>
                      <w:lang w:val="en-US" w:eastAsia="zh-CN"/>
                    </w:rPr>
                    <w:t>/</w:t>
                  </w:r>
                </w:p>
              </w:tc>
              <w:tc>
                <w:tcPr>
                  <w:tcW w:w="1027" w:type="pct"/>
                  <w:vMerge w:val="continue"/>
                  <w:vAlign w:val="center"/>
                </w:tcPr>
                <w:p w14:paraId="37776C5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color w:val="auto"/>
                      <w:sz w:val="18"/>
                      <w:szCs w:val="18"/>
                    </w:rPr>
                  </w:pPr>
                </w:p>
              </w:tc>
              <w:tc>
                <w:tcPr>
                  <w:tcW w:w="844" w:type="pct"/>
                  <w:vAlign w:val="center"/>
                </w:tcPr>
                <w:p w14:paraId="4612974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lang w:val="en-US" w:eastAsia="zh-CN"/>
                    </w:rPr>
                    <w:t>一般防渗区</w:t>
                  </w:r>
                </w:p>
              </w:tc>
              <w:tc>
                <w:tcPr>
                  <w:tcW w:w="1468" w:type="pct"/>
                  <w:vMerge w:val="continue"/>
                  <w:vAlign w:val="center"/>
                </w:tcPr>
                <w:p w14:paraId="6F54BD73">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p>
              </w:tc>
            </w:tr>
            <w:tr w14:paraId="5A23A5E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40" w:hRule="atLeast"/>
              </w:trPr>
              <w:tc>
                <w:tcPr>
                  <w:tcW w:w="1014" w:type="pct"/>
                  <w:vAlign w:val="center"/>
                </w:tcPr>
                <w:p w14:paraId="62C24C8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color w:val="auto"/>
                      <w:sz w:val="18"/>
                      <w:szCs w:val="18"/>
                      <w:lang w:eastAsia="zh-CN"/>
                    </w:rPr>
                  </w:pPr>
                  <w:r>
                    <w:rPr>
                      <w:rFonts w:hint="default" w:ascii="Times New Roman" w:hAnsi="Times New Roman" w:eastAsia="宋体" w:cs="Times New Roman"/>
                      <w:color w:val="auto"/>
                      <w:sz w:val="18"/>
                      <w:szCs w:val="18"/>
                      <w:lang w:val="en-US" w:eastAsia="zh-CN"/>
                    </w:rPr>
                    <w:t>一般工业固废仓库</w:t>
                  </w:r>
                </w:p>
              </w:tc>
              <w:tc>
                <w:tcPr>
                  <w:tcW w:w="646" w:type="pct"/>
                  <w:vAlign w:val="center"/>
                </w:tcPr>
                <w:p w14:paraId="7575FB0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b w:val="0"/>
                      <w:bCs/>
                      <w:color w:val="auto"/>
                      <w:sz w:val="18"/>
                      <w:szCs w:val="18"/>
                      <w:lang w:val="en-US" w:eastAsia="zh-CN"/>
                    </w:rPr>
                    <w:t>/</w:t>
                  </w:r>
                </w:p>
              </w:tc>
              <w:tc>
                <w:tcPr>
                  <w:tcW w:w="1027" w:type="pct"/>
                  <w:vAlign w:val="center"/>
                </w:tcPr>
                <w:p w14:paraId="7C6CF81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lang w:val="en-US" w:eastAsia="zh-CN"/>
                    </w:rPr>
                    <w:t>垂直入渗、地面漫流</w:t>
                  </w:r>
                </w:p>
              </w:tc>
              <w:tc>
                <w:tcPr>
                  <w:tcW w:w="844" w:type="pct"/>
                  <w:vAlign w:val="center"/>
                </w:tcPr>
                <w:p w14:paraId="1CBA25F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lang w:val="en-US" w:eastAsia="zh-CN"/>
                    </w:rPr>
                    <w:t>一般防渗区</w:t>
                  </w:r>
                </w:p>
              </w:tc>
              <w:tc>
                <w:tcPr>
                  <w:tcW w:w="1468" w:type="pct"/>
                  <w:vMerge w:val="continue"/>
                  <w:vAlign w:val="center"/>
                </w:tcPr>
                <w:p w14:paraId="0CE3F1A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18"/>
                      <w:szCs w:val="18"/>
                    </w:rPr>
                  </w:pPr>
                </w:p>
              </w:tc>
            </w:tr>
          </w:tbl>
          <w:p w14:paraId="20FC1482">
            <w:pPr>
              <w:keepNext w:val="0"/>
              <w:keepLines w:val="0"/>
              <w:suppressLineNumbers w:val="0"/>
              <w:spacing w:before="0" w:beforeAutospacing="0" w:after="0" w:afterAutospacing="0"/>
              <w:ind w:left="0" w:right="0"/>
              <w:rPr>
                <w:rFonts w:hint="default" w:ascii="Times New Roman" w:hAnsi="Times New Roman" w:eastAsia="宋体" w:cs="Times New Roman"/>
                <w:b w:val="0"/>
                <w:bCs w:val="0"/>
                <w:color w:val="auto"/>
              </w:rPr>
            </w:pPr>
            <w:r>
              <w:rPr>
                <w:rFonts w:hint="default" w:ascii="Times New Roman" w:hAnsi="Times New Roman" w:eastAsia="宋体" w:cs="Times New Roman"/>
                <w:b w:val="0"/>
                <w:bCs w:val="0"/>
                <w:color w:val="auto"/>
                <w:lang w:val="en-US" w:eastAsia="zh-CN"/>
              </w:rPr>
              <w:t>拟建项目涉及的原料为固态物料，</w:t>
            </w:r>
            <w:r>
              <w:rPr>
                <w:rFonts w:hint="eastAsia" w:cs="Times New Roman"/>
                <w:b w:val="0"/>
                <w:bCs w:val="0"/>
                <w:color w:val="auto"/>
                <w:lang w:val="en-US" w:eastAsia="zh-CN"/>
              </w:rPr>
              <w:t>使用时</w:t>
            </w:r>
            <w:r>
              <w:rPr>
                <w:rFonts w:hint="default" w:ascii="Times New Roman" w:hAnsi="Times New Roman" w:eastAsia="宋体" w:cs="Times New Roman"/>
                <w:b w:val="0"/>
                <w:bCs w:val="0"/>
                <w:color w:val="auto"/>
                <w:lang w:val="en-US" w:eastAsia="zh-CN"/>
              </w:rPr>
              <w:t>与水混料，</w:t>
            </w:r>
            <w:r>
              <w:rPr>
                <w:rFonts w:hint="eastAsia" w:cs="Times New Roman"/>
                <w:b w:val="0"/>
                <w:bCs w:val="0"/>
                <w:color w:val="auto"/>
                <w:lang w:val="en-US" w:eastAsia="zh-CN"/>
              </w:rPr>
              <w:t>因此</w:t>
            </w:r>
            <w:r>
              <w:rPr>
                <w:rFonts w:hint="default" w:ascii="Times New Roman" w:hAnsi="Times New Roman" w:eastAsia="宋体" w:cs="Times New Roman"/>
                <w:b w:val="0"/>
                <w:bCs w:val="0"/>
                <w:color w:val="auto"/>
                <w:lang w:val="en-US" w:eastAsia="zh-CN"/>
              </w:rPr>
              <w:t>考虑垂直入渗、地面漫流等污染途径</w:t>
            </w:r>
            <w:r>
              <w:rPr>
                <w:rFonts w:hint="eastAsia" w:cs="Times New Roman"/>
                <w:b w:val="0"/>
                <w:bCs w:val="0"/>
                <w:color w:val="auto"/>
                <w:lang w:val="en-US" w:eastAsia="zh-CN"/>
              </w:rPr>
              <w:t>。</w:t>
            </w:r>
          </w:p>
          <w:p w14:paraId="52EE4FF9">
            <w:pPr>
              <w:keepNext w:val="0"/>
              <w:keepLines w:val="0"/>
              <w:suppressLineNumbers w:val="0"/>
              <w:spacing w:before="0" w:beforeAutospacing="0" w:after="0" w:afterAutospacing="0"/>
              <w:ind w:left="0" w:right="0"/>
              <w:rPr>
                <w:rFonts w:hint="default" w:ascii="Times New Roman" w:hAnsi="Times New Roman" w:eastAsia="宋体" w:cs="Times New Roman"/>
                <w:b w:val="0"/>
                <w:bCs w:val="0"/>
                <w:color w:val="auto"/>
              </w:rPr>
            </w:pPr>
            <w:r>
              <w:rPr>
                <w:rFonts w:hint="eastAsia" w:cs="Times New Roman"/>
                <w:b w:val="0"/>
                <w:bCs w:val="0"/>
                <w:color w:val="auto"/>
                <w:lang w:eastAsia="zh-CN"/>
              </w:rPr>
              <w:t>拟建</w:t>
            </w:r>
            <w:r>
              <w:rPr>
                <w:rFonts w:hint="default" w:ascii="Times New Roman" w:hAnsi="Times New Roman" w:eastAsia="宋体" w:cs="Times New Roman"/>
                <w:b w:val="0"/>
                <w:bCs w:val="0"/>
                <w:color w:val="auto"/>
                <w:lang w:eastAsia="zh-CN"/>
              </w:rPr>
              <w:t>项目涉及</w:t>
            </w:r>
            <w:r>
              <w:rPr>
                <w:rFonts w:hint="default" w:ascii="Times New Roman" w:hAnsi="Times New Roman" w:eastAsia="宋体" w:cs="Times New Roman"/>
                <w:b w:val="0"/>
                <w:bCs w:val="0"/>
                <w:color w:val="auto"/>
              </w:rPr>
              <w:t>原材料为</w:t>
            </w:r>
            <w:r>
              <w:rPr>
                <w:rFonts w:hint="eastAsia" w:cs="Times New Roman"/>
                <w:color w:val="auto"/>
                <w:lang w:eastAsia="zh-CN"/>
              </w:rPr>
              <w:t>氯化镁及氧化镁</w:t>
            </w:r>
            <w:r>
              <w:rPr>
                <w:rFonts w:hint="default" w:ascii="Times New Roman" w:hAnsi="Times New Roman" w:eastAsia="宋体" w:cs="Times New Roman"/>
                <w:b w:val="0"/>
                <w:bCs w:val="0"/>
                <w:color w:val="auto"/>
              </w:rPr>
              <w:t>、</w:t>
            </w:r>
            <w:r>
              <w:rPr>
                <w:rFonts w:hint="eastAsia" w:cs="Times New Roman"/>
                <w:b w:val="0"/>
                <w:bCs w:val="0"/>
                <w:color w:val="auto"/>
                <w:lang w:eastAsia="zh-CN"/>
              </w:rPr>
              <w:t>碳酸钙、</w:t>
            </w:r>
            <w:r>
              <w:rPr>
                <w:rFonts w:hint="eastAsia" w:cs="Times New Roman"/>
                <w:b w:val="0"/>
                <w:bCs w:val="0"/>
                <w:color w:val="auto"/>
                <w:lang w:val="en-US" w:eastAsia="zh-CN"/>
              </w:rPr>
              <w:t>高岭土</w:t>
            </w:r>
            <w:r>
              <w:rPr>
                <w:rFonts w:hint="default" w:ascii="Times New Roman" w:hAnsi="Times New Roman" w:eastAsia="宋体" w:cs="Times New Roman"/>
                <w:b w:val="0"/>
                <w:bCs w:val="0"/>
                <w:color w:val="auto"/>
              </w:rPr>
              <w:t>等</w:t>
            </w:r>
            <w:r>
              <w:rPr>
                <w:rFonts w:hint="default" w:ascii="Times New Roman" w:hAnsi="Times New Roman" w:eastAsia="宋体" w:cs="Times New Roman"/>
                <w:b w:val="0"/>
                <w:bCs w:val="0"/>
                <w:color w:val="auto"/>
                <w:lang w:eastAsia="zh-CN"/>
              </w:rPr>
              <w:t>，</w:t>
            </w:r>
            <w:r>
              <w:rPr>
                <w:rFonts w:hint="default" w:ascii="Times New Roman" w:hAnsi="Times New Roman" w:eastAsia="宋体" w:cs="Times New Roman"/>
                <w:b w:val="0"/>
                <w:bCs w:val="0"/>
                <w:color w:val="auto"/>
                <w:lang w:val="en-US" w:eastAsia="zh-CN"/>
              </w:rPr>
              <w:t>均为固态物料，项目</w:t>
            </w:r>
            <w:r>
              <w:rPr>
                <w:rFonts w:hint="eastAsia" w:cs="Times New Roman"/>
                <w:b w:val="0"/>
                <w:bCs w:val="0"/>
                <w:color w:val="auto"/>
                <w:lang w:val="en-US" w:eastAsia="zh-CN"/>
              </w:rPr>
              <w:t>生产</w:t>
            </w:r>
            <w:r>
              <w:rPr>
                <w:rFonts w:hint="default" w:ascii="Times New Roman" w:hAnsi="Times New Roman" w:eastAsia="宋体" w:cs="Times New Roman"/>
                <w:b w:val="0"/>
                <w:bCs w:val="0"/>
                <w:color w:val="auto"/>
                <w:lang w:val="en-US" w:eastAsia="zh-CN"/>
              </w:rPr>
              <w:t>厂房、氯化镁及氧化镁物料仓储区、一般工业固废仓库地面</w:t>
            </w:r>
            <w:r>
              <w:rPr>
                <w:rFonts w:hint="default" w:ascii="Times New Roman" w:hAnsi="Times New Roman" w:eastAsia="宋体" w:cs="Times New Roman"/>
                <w:b w:val="0"/>
                <w:bCs w:val="0"/>
                <w:color w:val="auto"/>
              </w:rPr>
              <w:t>采取</w:t>
            </w:r>
            <w:r>
              <w:rPr>
                <w:rFonts w:hint="default" w:ascii="Times New Roman" w:hAnsi="Times New Roman" w:eastAsia="宋体" w:cs="Times New Roman"/>
                <w:b w:val="0"/>
                <w:bCs w:val="0"/>
                <w:color w:val="auto"/>
                <w:lang w:eastAsia="zh-CN"/>
              </w:rPr>
              <w:t>地面</w:t>
            </w:r>
            <w:r>
              <w:rPr>
                <w:rFonts w:hint="default" w:ascii="Times New Roman" w:hAnsi="Times New Roman" w:eastAsia="宋体" w:cs="Times New Roman"/>
                <w:b w:val="0"/>
                <w:bCs w:val="0"/>
                <w:color w:val="auto"/>
              </w:rPr>
              <w:t>硬化等</w:t>
            </w:r>
            <w:r>
              <w:rPr>
                <w:rFonts w:hint="default" w:ascii="Times New Roman" w:hAnsi="Times New Roman" w:eastAsia="宋体" w:cs="Times New Roman"/>
                <w:b w:val="0"/>
                <w:bCs w:val="0"/>
                <w:color w:val="auto"/>
                <w:lang w:eastAsia="zh-CN"/>
              </w:rPr>
              <w:t>满足防渗层要求的</w:t>
            </w:r>
            <w:r>
              <w:rPr>
                <w:rFonts w:hint="default" w:ascii="Times New Roman" w:hAnsi="Times New Roman" w:eastAsia="宋体" w:cs="Times New Roman"/>
                <w:b w:val="0"/>
                <w:bCs w:val="0"/>
                <w:color w:val="auto"/>
              </w:rPr>
              <w:t>污染防治措施并定期巡查防止外泄，采取以上措施后对场地内和周边的土壤、地下水影响不大。</w:t>
            </w:r>
          </w:p>
          <w:p w14:paraId="4C5030EE">
            <w:pPr>
              <w:keepNext w:val="0"/>
              <w:keepLines w:val="0"/>
              <w:pageBreakBefore w:val="0"/>
              <w:widowControl w:val="0"/>
              <w:numPr>
                <w:ilvl w:val="0"/>
                <w:numId w:val="10"/>
              </w:numPr>
              <w:suppressLineNumbers w:val="0"/>
              <w:kinsoku/>
              <w:wordWrap/>
              <w:overflowPunct/>
              <w:topLinePunct w:val="0"/>
              <w:autoSpaceDE/>
              <w:autoSpaceDN/>
              <w:bidi w:val="0"/>
              <w:adjustRightInd/>
              <w:snapToGrid/>
              <w:spacing w:before="0" w:beforeAutospacing="0" w:after="0" w:afterAutospacing="0"/>
              <w:ind w:left="0" w:leftChars="0" w:right="0" w:firstLine="482" w:firstLineChars="200"/>
              <w:textAlignment w:val="auto"/>
              <w:rPr>
                <w:rFonts w:hint="default" w:ascii="Times New Roman" w:hAnsi="Times New Roman" w:eastAsia="宋体" w:cs="Times New Roman"/>
                <w:b/>
                <w:bCs/>
                <w:color w:val="auto"/>
                <w:lang w:val="en-US" w:eastAsia="zh-CN"/>
              </w:rPr>
            </w:pPr>
            <w:r>
              <w:rPr>
                <w:rFonts w:hint="default" w:ascii="Times New Roman" w:hAnsi="Times New Roman" w:eastAsia="宋体" w:cs="Times New Roman"/>
                <w:b/>
                <w:bCs/>
                <w:color w:val="auto"/>
                <w:lang w:val="en-US" w:eastAsia="zh-CN"/>
              </w:rPr>
              <w:t>生态</w:t>
            </w:r>
          </w:p>
          <w:p w14:paraId="46B4BBF6">
            <w:pPr>
              <w:keepNext w:val="0"/>
              <w:keepLines w:val="0"/>
              <w:suppressLineNumbers w:val="0"/>
              <w:bidi w:val="0"/>
              <w:spacing w:before="0" w:beforeAutospacing="0" w:after="0" w:afterAutospacing="0"/>
              <w:ind w:left="0" w:right="0"/>
              <w:rPr>
                <w:rFonts w:hint="default" w:ascii="Times New Roman" w:hAnsi="Times New Roman" w:eastAsia="宋体" w:cs="Times New Roman"/>
                <w:color w:val="auto"/>
              </w:rPr>
            </w:pPr>
            <w:r>
              <w:rPr>
                <w:rFonts w:hint="default" w:ascii="Times New Roman" w:hAnsi="Times New Roman" w:eastAsia="宋体" w:cs="Times New Roman"/>
                <w:color w:val="auto"/>
                <w:kern w:val="0"/>
                <w:sz w:val="24"/>
                <w:lang w:val="en-US" w:eastAsia="zh-CN"/>
              </w:rPr>
              <w:t>建设项目</w:t>
            </w:r>
            <w:r>
              <w:rPr>
                <w:rFonts w:hint="eastAsia" w:cs="Times New Roman"/>
                <w:color w:val="auto"/>
                <w:lang w:eastAsia="zh-CN"/>
              </w:rPr>
              <w:t>依托</w:t>
            </w:r>
            <w:r>
              <w:rPr>
                <w:rFonts w:hint="default" w:ascii="Times New Roman" w:hAnsi="Times New Roman" w:eastAsia="宋体" w:cs="Times New Roman"/>
                <w:color w:val="auto"/>
                <w:lang w:val="en-US" w:eastAsia="zh-CN"/>
              </w:rPr>
              <w:t>现有</w:t>
            </w:r>
            <w:r>
              <w:rPr>
                <w:rFonts w:hint="eastAsia" w:cs="Times New Roman"/>
                <w:color w:val="auto"/>
                <w:lang w:val="en-US" w:eastAsia="zh-CN"/>
              </w:rPr>
              <w:t>厂房</w:t>
            </w:r>
            <w:r>
              <w:rPr>
                <w:rFonts w:hint="default" w:ascii="Times New Roman" w:hAnsi="Times New Roman" w:eastAsia="宋体" w:cs="Times New Roman"/>
                <w:color w:val="auto"/>
                <w:lang w:val="en-US" w:eastAsia="zh-CN"/>
              </w:rPr>
              <w:t>，项目不新增占地</w:t>
            </w:r>
            <w:r>
              <w:rPr>
                <w:rFonts w:hint="default" w:ascii="Times New Roman" w:hAnsi="Times New Roman" w:eastAsia="宋体" w:cs="Times New Roman"/>
                <w:color w:val="auto"/>
                <w:kern w:val="0"/>
                <w:sz w:val="24"/>
                <w:lang w:eastAsia="zh-CN"/>
              </w:rPr>
              <w:t>，</w:t>
            </w:r>
            <w:r>
              <w:rPr>
                <w:rFonts w:hint="default" w:ascii="Times New Roman" w:hAnsi="Times New Roman" w:eastAsia="宋体" w:cs="Times New Roman"/>
                <w:color w:val="auto"/>
                <w:kern w:val="0"/>
                <w:sz w:val="24"/>
              </w:rPr>
              <w:t>不</w:t>
            </w:r>
            <w:r>
              <w:rPr>
                <w:rFonts w:hint="default" w:ascii="Times New Roman" w:hAnsi="Times New Roman" w:eastAsia="宋体" w:cs="Times New Roman"/>
                <w:color w:val="auto"/>
                <w:kern w:val="0"/>
                <w:sz w:val="24"/>
                <w:lang w:val="en-US" w:eastAsia="zh-CN"/>
              </w:rPr>
              <w:t>涉及</w:t>
            </w:r>
            <w:r>
              <w:rPr>
                <w:rFonts w:hint="default" w:ascii="Times New Roman" w:hAnsi="Times New Roman" w:eastAsia="宋体" w:cs="Times New Roman"/>
                <w:color w:val="auto"/>
                <w:kern w:val="0"/>
                <w:sz w:val="24"/>
              </w:rPr>
              <w:t>生态保护目标</w:t>
            </w:r>
            <w:r>
              <w:rPr>
                <w:rFonts w:hint="default" w:ascii="Times New Roman" w:hAnsi="Times New Roman" w:eastAsia="宋体" w:cs="Times New Roman"/>
                <w:color w:val="auto"/>
              </w:rPr>
              <w:t>，对生态环境影响较小。</w:t>
            </w:r>
          </w:p>
          <w:p w14:paraId="0ACB84D7">
            <w:pPr>
              <w:keepNext w:val="0"/>
              <w:keepLines w:val="0"/>
              <w:pageBreakBefore w:val="0"/>
              <w:widowControl w:val="0"/>
              <w:numPr>
                <w:ilvl w:val="0"/>
                <w:numId w:val="10"/>
              </w:numPr>
              <w:suppressLineNumbers w:val="0"/>
              <w:kinsoku/>
              <w:wordWrap/>
              <w:overflowPunct/>
              <w:topLinePunct w:val="0"/>
              <w:autoSpaceDE/>
              <w:autoSpaceDN/>
              <w:bidi w:val="0"/>
              <w:adjustRightInd/>
              <w:snapToGrid/>
              <w:spacing w:before="0" w:beforeAutospacing="0" w:after="0" w:afterAutospacing="0"/>
              <w:ind w:left="0" w:leftChars="0" w:right="0" w:firstLine="482" w:firstLineChars="200"/>
              <w:textAlignment w:val="auto"/>
              <w:rPr>
                <w:rFonts w:hint="default" w:ascii="Times New Roman" w:hAnsi="Times New Roman" w:eastAsia="宋体" w:cs="Times New Roman"/>
                <w:b/>
                <w:bCs/>
                <w:color w:val="auto"/>
                <w:lang w:val="en-US" w:eastAsia="zh-CN"/>
              </w:rPr>
            </w:pPr>
            <w:r>
              <w:rPr>
                <w:rFonts w:hint="default" w:ascii="Times New Roman" w:hAnsi="Times New Roman" w:eastAsia="宋体" w:cs="Times New Roman"/>
                <w:b/>
                <w:bCs/>
                <w:color w:val="auto"/>
                <w:lang w:val="en-US" w:eastAsia="zh-CN"/>
              </w:rPr>
              <w:t>环境风险</w:t>
            </w:r>
          </w:p>
          <w:p w14:paraId="5E62FECD">
            <w:pPr>
              <w:keepNext w:val="0"/>
              <w:keepLines w:val="0"/>
              <w:pageBreakBefore w:val="0"/>
              <w:widowControl w:val="0"/>
              <w:numPr>
                <w:ilvl w:val="1"/>
                <w:numId w:val="10"/>
              </w:numPr>
              <w:suppressLineNumbers w:val="0"/>
              <w:kinsoku/>
              <w:wordWrap/>
              <w:overflowPunct/>
              <w:topLinePunct w:val="0"/>
              <w:autoSpaceDE/>
              <w:autoSpaceDN/>
              <w:bidi w:val="0"/>
              <w:adjustRightInd/>
              <w:snapToGrid/>
              <w:spacing w:before="0" w:beforeAutospacing="0" w:after="0" w:afterAutospacing="0"/>
              <w:ind w:left="0" w:leftChars="0" w:right="0" w:firstLine="482" w:firstLineChars="200"/>
              <w:textAlignment w:val="auto"/>
              <w:rPr>
                <w:rFonts w:hint="default" w:ascii="Times New Roman" w:hAnsi="Times New Roman" w:eastAsia="宋体" w:cs="Times New Roman"/>
                <w:color w:val="auto"/>
                <w:lang w:val="en-US" w:eastAsia="zh-CN"/>
              </w:rPr>
            </w:pPr>
            <w:r>
              <w:rPr>
                <w:rFonts w:hint="default" w:ascii="Times New Roman" w:hAnsi="Times New Roman" w:eastAsia="宋体" w:cs="Times New Roman"/>
                <w:b/>
                <w:bCs/>
                <w:color w:val="auto"/>
                <w:lang w:val="en-US" w:eastAsia="zh-CN"/>
              </w:rPr>
              <w:t>风险源调查</w:t>
            </w:r>
          </w:p>
          <w:p w14:paraId="25E6A1C4">
            <w:pPr>
              <w:pStyle w:val="37"/>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eastAsia" w:ascii="Times New Roman" w:hAnsi="Times New Roman" w:eastAsia="宋体" w:cs="Times New Roman"/>
                <w:b w:val="0"/>
                <w:bCs w:val="0"/>
                <w:color w:val="auto"/>
                <w:kern w:val="2"/>
                <w:sz w:val="24"/>
                <w:szCs w:val="24"/>
                <w:lang w:val="en-US" w:eastAsia="zh-CN" w:bidi="ar-SA"/>
              </w:rPr>
              <w:t>拟建</w:t>
            </w:r>
            <w:r>
              <w:rPr>
                <w:rFonts w:hint="default" w:ascii="Times New Roman" w:hAnsi="Times New Roman" w:eastAsia="宋体" w:cs="Times New Roman"/>
                <w:b w:val="0"/>
                <w:bCs w:val="0"/>
                <w:color w:val="auto"/>
                <w:kern w:val="2"/>
                <w:sz w:val="24"/>
                <w:szCs w:val="24"/>
                <w:lang w:val="en-US" w:eastAsia="zh-CN" w:bidi="ar-SA"/>
              </w:rPr>
              <w:t>项目</w:t>
            </w:r>
            <w:r>
              <w:rPr>
                <w:rFonts w:hint="eastAsia" w:ascii="Times New Roman" w:cs="Times New Roman"/>
                <w:b w:val="0"/>
                <w:bCs w:val="0"/>
                <w:color w:val="auto"/>
                <w:kern w:val="2"/>
                <w:sz w:val="24"/>
                <w:szCs w:val="24"/>
                <w:lang w:val="en-US" w:eastAsia="zh-CN" w:bidi="ar-SA"/>
              </w:rPr>
              <w:t>从事耐火材料制造，拟建</w:t>
            </w:r>
            <w:r>
              <w:rPr>
                <w:rFonts w:hint="default" w:ascii="Times New Roman" w:hAnsi="Times New Roman" w:eastAsia="宋体" w:cs="Times New Roman"/>
                <w:b w:val="0"/>
                <w:bCs w:val="0"/>
                <w:color w:val="auto"/>
                <w:kern w:val="2"/>
                <w:sz w:val="24"/>
                <w:szCs w:val="24"/>
                <w:lang w:val="en-US" w:eastAsia="zh-CN" w:bidi="ar-SA"/>
              </w:rPr>
              <w:t>项目</w:t>
            </w:r>
            <w:r>
              <w:rPr>
                <w:rFonts w:hint="eastAsia" w:ascii="Times New Roman" w:cs="Times New Roman"/>
                <w:b w:val="0"/>
                <w:bCs w:val="0"/>
                <w:color w:val="auto"/>
                <w:kern w:val="2"/>
                <w:sz w:val="24"/>
                <w:szCs w:val="24"/>
                <w:lang w:val="en-US" w:eastAsia="zh-CN" w:bidi="ar-SA"/>
              </w:rPr>
              <w:t>不涉及</w:t>
            </w:r>
            <w:r>
              <w:rPr>
                <w:rFonts w:hint="default" w:ascii="Times New Roman" w:hAnsi="Times New Roman" w:eastAsia="宋体" w:cs="Times New Roman"/>
                <w:b w:val="0"/>
                <w:bCs w:val="0"/>
                <w:color w:val="auto"/>
                <w:kern w:val="2"/>
                <w:sz w:val="24"/>
                <w:szCs w:val="24"/>
                <w:lang w:val="en-US" w:eastAsia="zh-CN" w:bidi="ar-SA"/>
              </w:rPr>
              <w:t>有毒有害、易燃易爆等危险物质</w:t>
            </w:r>
            <w:r>
              <w:rPr>
                <w:rFonts w:hint="eastAsia" w:ascii="Times New Roman" w:cs="Times New Roman"/>
                <w:b w:val="0"/>
                <w:bCs w:val="0"/>
                <w:color w:val="auto"/>
                <w:kern w:val="2"/>
                <w:sz w:val="24"/>
                <w:szCs w:val="24"/>
                <w:lang w:val="en-US" w:eastAsia="zh-CN" w:bidi="ar-SA"/>
              </w:rPr>
              <w:t>，拟建项目使用的原料氯化镁、氧化镁等物料不属于《建设项目环境风险评价技术导则》（HJ169-2018）附录B中的危险物质</w:t>
            </w:r>
            <w:r>
              <w:rPr>
                <w:rFonts w:hint="default" w:ascii="Times New Roman" w:hAnsi="Times New Roman" w:eastAsia="宋体" w:cs="Times New Roman"/>
                <w:b w:val="0"/>
                <w:bCs w:val="0"/>
                <w:color w:val="auto"/>
                <w:kern w:val="2"/>
                <w:sz w:val="24"/>
                <w:szCs w:val="24"/>
                <w:lang w:val="en-US" w:eastAsia="zh-CN" w:bidi="ar-SA"/>
              </w:rPr>
              <w:t>。</w:t>
            </w:r>
          </w:p>
          <w:p w14:paraId="4E91C351">
            <w:pPr>
              <w:pStyle w:val="37"/>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82" w:firstLineChars="200"/>
              <w:jc w:val="both"/>
              <w:textAlignment w:val="auto"/>
              <w:rPr>
                <w:rFonts w:hint="default" w:ascii="Times New Roman" w:hAnsi="Times New Roman" w:eastAsia="宋体" w:cs="Times New Roman"/>
                <w:b/>
                <w:bCs/>
                <w:color w:val="auto"/>
                <w:kern w:val="2"/>
                <w:lang w:val="en-US" w:eastAsia="zh-CN"/>
              </w:rPr>
            </w:pPr>
            <w:r>
              <w:rPr>
                <w:rFonts w:hint="default" w:ascii="Times New Roman" w:hAnsi="Times New Roman" w:eastAsia="宋体" w:cs="Times New Roman"/>
                <w:b/>
                <w:bCs/>
                <w:color w:val="auto"/>
                <w:kern w:val="2"/>
                <w:sz w:val="24"/>
                <w:szCs w:val="24"/>
                <w:lang w:val="en-US" w:eastAsia="zh-CN" w:bidi="ar-SA"/>
              </w:rPr>
              <w:t>7.2</w:t>
            </w:r>
            <w:r>
              <w:rPr>
                <w:rFonts w:hint="default" w:ascii="Times New Roman" w:hAnsi="Times New Roman" w:eastAsia="宋体" w:cs="Times New Roman"/>
                <w:b/>
                <w:bCs/>
                <w:color w:val="auto"/>
                <w:kern w:val="2"/>
                <w:lang w:val="en-US" w:eastAsia="zh-CN"/>
              </w:rPr>
              <w:t>环境风险识别</w:t>
            </w:r>
          </w:p>
          <w:p w14:paraId="68684488">
            <w:pPr>
              <w:keepNext w:val="0"/>
              <w:keepLines w:val="0"/>
              <w:widowControl/>
              <w:suppressLineNumbers w:val="0"/>
              <w:autoSpaceDE w:val="0"/>
              <w:autoSpaceDN w:val="0"/>
              <w:adjustRightInd w:val="0"/>
              <w:snapToGrid w:val="0"/>
              <w:spacing w:before="0" w:beforeAutospacing="0" w:after="0" w:afterAutospacing="0"/>
              <w:ind w:left="0" w:right="0" w:firstLine="480"/>
              <w:jc w:val="left"/>
              <w:rPr>
                <w:rFonts w:hint="default" w:ascii="Times New Roman" w:hAnsi="Times New Roman" w:eastAsia="宋体" w:cs="Times New Roman"/>
                <w:color w:val="auto"/>
                <w:kern w:val="0"/>
              </w:rPr>
            </w:pPr>
            <w:r>
              <w:rPr>
                <w:rFonts w:hint="default" w:ascii="Times New Roman" w:hAnsi="Times New Roman" w:eastAsia="宋体" w:cs="Times New Roman"/>
                <w:color w:val="auto"/>
                <w:kern w:val="0"/>
              </w:rPr>
              <w:t>根据风险调查结果，</w:t>
            </w:r>
            <w:r>
              <w:rPr>
                <w:rFonts w:hint="eastAsia" w:cs="Times New Roman"/>
                <w:color w:val="auto"/>
                <w:kern w:val="0"/>
                <w:lang w:eastAsia="zh-CN"/>
              </w:rPr>
              <w:t>拟建</w:t>
            </w:r>
            <w:r>
              <w:rPr>
                <w:rFonts w:hint="default" w:ascii="Times New Roman" w:hAnsi="Times New Roman" w:eastAsia="宋体" w:cs="Times New Roman"/>
                <w:color w:val="auto"/>
                <w:kern w:val="0"/>
                <w:lang w:eastAsia="zh-CN"/>
              </w:rPr>
              <w:t>项目建成后全厂</w:t>
            </w:r>
            <w:r>
              <w:rPr>
                <w:rFonts w:hint="default" w:ascii="Times New Roman" w:hAnsi="Times New Roman" w:eastAsia="宋体" w:cs="Times New Roman"/>
                <w:color w:val="auto"/>
                <w:kern w:val="0"/>
              </w:rPr>
              <w:t>环境风险识别如下</w:t>
            </w:r>
            <w:r>
              <w:rPr>
                <w:rFonts w:hint="eastAsia" w:cs="Times New Roman"/>
                <w:color w:val="auto"/>
                <w:kern w:val="0"/>
                <w:lang w:eastAsia="zh-CN"/>
              </w:rPr>
              <w:t>表</w:t>
            </w:r>
            <w:r>
              <w:rPr>
                <w:rFonts w:hint="eastAsia" w:cs="Times New Roman"/>
                <w:color w:val="auto"/>
                <w:kern w:val="0"/>
                <w:lang w:val="en-US" w:eastAsia="zh-CN"/>
              </w:rPr>
              <w:t>7.1-1。</w:t>
            </w:r>
          </w:p>
          <w:p w14:paraId="04717428">
            <w:pPr>
              <w:keepNext w:val="0"/>
              <w:keepLines w:val="0"/>
              <w:widowControl/>
              <w:suppressLineNumbers w:val="0"/>
              <w:adjustRightInd w:val="0"/>
              <w:snapToGrid w:val="0"/>
              <w:spacing w:before="0" w:beforeAutospacing="0" w:after="0" w:afterAutospacing="0" w:line="240" w:lineRule="auto"/>
              <w:ind w:left="0" w:right="0" w:firstLine="482"/>
              <w:jc w:val="center"/>
              <w:rPr>
                <w:rFonts w:hint="default" w:ascii="Times New Roman" w:hAnsi="Times New Roman" w:eastAsia="宋体" w:cs="Times New Roman"/>
                <w:b/>
                <w:bCs/>
                <w:color w:val="auto"/>
                <w:kern w:val="0"/>
              </w:rPr>
            </w:pPr>
            <w:r>
              <w:rPr>
                <w:rFonts w:hint="default" w:ascii="Times New Roman" w:hAnsi="Times New Roman" w:eastAsia="宋体" w:cs="Times New Roman"/>
                <w:b/>
                <w:bCs/>
                <w:color w:val="auto"/>
                <w:kern w:val="0"/>
              </w:rPr>
              <w:t>表</w:t>
            </w:r>
            <w:r>
              <w:rPr>
                <w:rFonts w:hint="eastAsia" w:ascii="Times New Roman" w:hAnsi="Times New Roman" w:eastAsia="宋体" w:cs="Times New Roman"/>
                <w:b/>
                <w:bCs/>
                <w:color w:val="auto"/>
                <w:kern w:val="0"/>
                <w:lang w:val="en-US" w:eastAsia="zh-CN" w:bidi="en-US"/>
              </w:rPr>
              <w:t>7.1</w:t>
            </w:r>
            <w:r>
              <w:rPr>
                <w:rFonts w:hint="default" w:ascii="Times New Roman" w:hAnsi="Times New Roman" w:eastAsia="宋体" w:cs="Times New Roman"/>
                <w:b/>
                <w:bCs/>
                <w:color w:val="auto"/>
                <w:kern w:val="0"/>
                <w:lang w:bidi="en-US"/>
              </w:rPr>
              <w:t>-</w:t>
            </w:r>
            <w:r>
              <w:rPr>
                <w:rFonts w:hint="eastAsia" w:ascii="Times New Roman" w:hAnsi="Times New Roman" w:eastAsia="宋体" w:cs="Times New Roman"/>
                <w:b/>
                <w:bCs/>
                <w:color w:val="auto"/>
                <w:kern w:val="0"/>
                <w:lang w:val="en-US" w:eastAsia="zh-CN" w:bidi="en-US"/>
              </w:rPr>
              <w:t>1</w:t>
            </w:r>
            <w:r>
              <w:rPr>
                <w:rFonts w:hint="default" w:ascii="Times New Roman" w:hAnsi="Times New Roman" w:eastAsia="宋体" w:cs="Times New Roman"/>
                <w:b/>
                <w:bCs/>
                <w:color w:val="auto"/>
                <w:kern w:val="0"/>
                <w:lang w:bidi="en-US"/>
              </w:rPr>
              <w:t xml:space="preserve"> </w:t>
            </w:r>
            <w:r>
              <w:rPr>
                <w:rFonts w:hint="default" w:ascii="Times New Roman" w:hAnsi="Times New Roman" w:eastAsia="宋体" w:cs="Times New Roman"/>
                <w:b/>
                <w:bCs/>
                <w:color w:val="auto"/>
                <w:kern w:val="0"/>
                <w:lang w:val="en-US" w:eastAsia="zh-CN" w:bidi="en-US"/>
              </w:rPr>
              <w:t>全厂</w:t>
            </w:r>
            <w:r>
              <w:rPr>
                <w:rFonts w:hint="default" w:ascii="Times New Roman" w:hAnsi="Times New Roman" w:eastAsia="宋体" w:cs="Times New Roman"/>
                <w:b/>
                <w:bCs/>
                <w:color w:val="auto"/>
                <w:kern w:val="0"/>
              </w:rPr>
              <w:t>环境风险识别汇总表</w:t>
            </w:r>
          </w:p>
          <w:tbl>
            <w:tblPr>
              <w:tblStyle w:val="27"/>
              <w:tblW w:w="5000" w:type="pct"/>
              <w:jc w:val="center"/>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Layout w:type="autofit"/>
              <w:tblCellMar>
                <w:top w:w="0" w:type="dxa"/>
                <w:left w:w="28" w:type="dxa"/>
                <w:bottom w:w="0" w:type="dxa"/>
                <w:right w:w="28" w:type="dxa"/>
              </w:tblCellMar>
            </w:tblPr>
            <w:tblGrid>
              <w:gridCol w:w="540"/>
              <w:gridCol w:w="834"/>
              <w:gridCol w:w="1508"/>
              <w:gridCol w:w="961"/>
              <w:gridCol w:w="1622"/>
              <w:gridCol w:w="2269"/>
            </w:tblGrid>
            <w:tr w14:paraId="26C7201B">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28" w:type="dxa"/>
                  <w:bottom w:w="0" w:type="dxa"/>
                  <w:right w:w="28" w:type="dxa"/>
                </w:tblCellMar>
              </w:tblPrEx>
              <w:trPr>
                <w:trHeight w:val="467" w:hRule="atLeast"/>
                <w:jc w:val="center"/>
              </w:trPr>
              <w:tc>
                <w:tcPr>
                  <w:tcW w:w="349" w:type="pct"/>
                  <w:tcBorders>
                    <w:tl2br w:val="nil"/>
                    <w:tr2bl w:val="nil"/>
                  </w:tcBorders>
                  <w:vAlign w:val="center"/>
                </w:tcPr>
                <w:p w14:paraId="43BD0BB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序号</w:t>
                  </w:r>
                </w:p>
              </w:tc>
              <w:tc>
                <w:tcPr>
                  <w:tcW w:w="539" w:type="pct"/>
                  <w:tcBorders>
                    <w:tl2br w:val="nil"/>
                    <w:tr2bl w:val="nil"/>
                  </w:tcBorders>
                  <w:vAlign w:val="center"/>
                </w:tcPr>
                <w:p w14:paraId="053E12B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危险单元</w:t>
                  </w:r>
                </w:p>
              </w:tc>
              <w:tc>
                <w:tcPr>
                  <w:tcW w:w="974" w:type="pct"/>
                  <w:tcBorders>
                    <w:tl2br w:val="nil"/>
                    <w:tr2bl w:val="nil"/>
                  </w:tcBorders>
                  <w:vAlign w:val="center"/>
                </w:tcPr>
                <w:p w14:paraId="30EEDB4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主要危险物质</w:t>
                  </w:r>
                </w:p>
              </w:tc>
              <w:tc>
                <w:tcPr>
                  <w:tcW w:w="621" w:type="pct"/>
                  <w:tcBorders>
                    <w:tl2br w:val="nil"/>
                    <w:tr2bl w:val="nil"/>
                  </w:tcBorders>
                  <w:vAlign w:val="center"/>
                </w:tcPr>
                <w:p w14:paraId="4EC8FC8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环境风险</w:t>
                  </w:r>
                </w:p>
                <w:p w14:paraId="1F97119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类型</w:t>
                  </w:r>
                </w:p>
              </w:tc>
              <w:tc>
                <w:tcPr>
                  <w:tcW w:w="1048" w:type="pct"/>
                  <w:tcBorders>
                    <w:tl2br w:val="nil"/>
                    <w:tr2bl w:val="nil"/>
                  </w:tcBorders>
                  <w:vAlign w:val="center"/>
                </w:tcPr>
                <w:p w14:paraId="4A36D8E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环境影响途径</w:t>
                  </w:r>
                </w:p>
              </w:tc>
              <w:tc>
                <w:tcPr>
                  <w:tcW w:w="1466" w:type="pct"/>
                  <w:tcBorders>
                    <w:tl2br w:val="nil"/>
                    <w:tr2bl w:val="nil"/>
                  </w:tcBorders>
                  <w:vAlign w:val="center"/>
                </w:tcPr>
                <w:p w14:paraId="708F45E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18"/>
                      <w:szCs w:val="18"/>
                    </w:rPr>
                  </w:pPr>
                  <w:r>
                    <w:rPr>
                      <w:rFonts w:hint="default" w:ascii="Times New Roman" w:hAnsi="Times New Roman" w:eastAsia="宋体" w:cs="Times New Roman"/>
                      <w:b/>
                      <w:color w:val="auto"/>
                      <w:sz w:val="18"/>
                      <w:szCs w:val="18"/>
                    </w:rPr>
                    <w:t>可能受影响的环境敏感目标</w:t>
                  </w:r>
                </w:p>
              </w:tc>
            </w:tr>
            <w:tr w14:paraId="7DAA4DC4">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28" w:type="dxa"/>
                  <w:bottom w:w="0" w:type="dxa"/>
                  <w:right w:w="28" w:type="dxa"/>
                </w:tblCellMar>
              </w:tblPrEx>
              <w:trPr>
                <w:trHeight w:val="320" w:hRule="atLeast"/>
                <w:jc w:val="center"/>
              </w:trPr>
              <w:tc>
                <w:tcPr>
                  <w:tcW w:w="349" w:type="pct"/>
                  <w:tcBorders>
                    <w:tl2br w:val="nil"/>
                    <w:tr2bl w:val="nil"/>
                  </w:tcBorders>
                  <w:vAlign w:val="center"/>
                </w:tcPr>
                <w:p w14:paraId="33D2EAD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1</w:t>
                  </w:r>
                </w:p>
              </w:tc>
              <w:tc>
                <w:tcPr>
                  <w:tcW w:w="539" w:type="pct"/>
                  <w:tcBorders>
                    <w:tl2br w:val="nil"/>
                    <w:tr2bl w:val="nil"/>
                  </w:tcBorders>
                  <w:vAlign w:val="center"/>
                </w:tcPr>
                <w:p w14:paraId="34929C9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生产厂房</w:t>
                  </w:r>
                </w:p>
              </w:tc>
              <w:tc>
                <w:tcPr>
                  <w:tcW w:w="974" w:type="pct"/>
                  <w:tcBorders>
                    <w:tl2br w:val="nil"/>
                    <w:tr2bl w:val="nil"/>
                  </w:tcBorders>
                  <w:vAlign w:val="center"/>
                </w:tcPr>
                <w:p w14:paraId="6CEC4B4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氯化镁与水的化合物</w:t>
                  </w:r>
                </w:p>
              </w:tc>
              <w:tc>
                <w:tcPr>
                  <w:tcW w:w="621" w:type="pct"/>
                  <w:tcBorders>
                    <w:tl2br w:val="nil"/>
                    <w:tr2bl w:val="nil"/>
                  </w:tcBorders>
                  <w:vAlign w:val="center"/>
                </w:tcPr>
                <w:p w14:paraId="5C136AA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lang w:eastAsia="zh-CN"/>
                    </w:rPr>
                    <w:t>泄漏</w:t>
                  </w:r>
                </w:p>
              </w:tc>
              <w:tc>
                <w:tcPr>
                  <w:tcW w:w="1048" w:type="pct"/>
                  <w:tcBorders>
                    <w:tl2br w:val="nil"/>
                    <w:tr2bl w:val="nil"/>
                  </w:tcBorders>
                  <w:vAlign w:val="center"/>
                </w:tcPr>
                <w:p w14:paraId="4143501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eastAsia="zh-CN"/>
                    </w:rPr>
                  </w:pPr>
                  <w:r>
                    <w:rPr>
                      <w:rFonts w:hint="eastAsia" w:cs="Times New Roman"/>
                      <w:color w:val="auto"/>
                      <w:sz w:val="18"/>
                      <w:szCs w:val="18"/>
                      <w:lang w:eastAsia="zh-CN"/>
                    </w:rPr>
                    <w:t>泄漏造成</w:t>
                  </w:r>
                  <w:r>
                    <w:rPr>
                      <w:rFonts w:hint="default" w:ascii="Times New Roman" w:hAnsi="Times New Roman" w:eastAsia="宋体" w:cs="Times New Roman"/>
                      <w:color w:val="auto"/>
                      <w:sz w:val="18"/>
                      <w:szCs w:val="18"/>
                    </w:rPr>
                    <w:t>土壤</w:t>
                  </w:r>
                  <w:r>
                    <w:rPr>
                      <w:rFonts w:hint="default" w:ascii="Times New Roman" w:hAnsi="Times New Roman" w:eastAsia="宋体" w:cs="Times New Roman"/>
                      <w:color w:val="auto"/>
                      <w:sz w:val="18"/>
                      <w:szCs w:val="18"/>
                      <w:lang w:eastAsia="zh-CN"/>
                    </w:rPr>
                    <w:t>及</w:t>
                  </w:r>
                  <w:r>
                    <w:rPr>
                      <w:rFonts w:hint="default" w:ascii="Times New Roman" w:hAnsi="Times New Roman" w:eastAsia="宋体" w:cs="Times New Roman"/>
                      <w:color w:val="auto"/>
                      <w:sz w:val="18"/>
                      <w:szCs w:val="18"/>
                    </w:rPr>
                    <w:t>地下水渗透吸收</w:t>
                  </w:r>
                </w:p>
              </w:tc>
              <w:tc>
                <w:tcPr>
                  <w:tcW w:w="1466" w:type="pct"/>
                  <w:tcBorders>
                    <w:tl2br w:val="nil"/>
                    <w:tr2bl w:val="nil"/>
                  </w:tcBorders>
                  <w:vAlign w:val="center"/>
                </w:tcPr>
                <w:p w14:paraId="108C936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地下水及土壤，附近水体等</w:t>
                  </w:r>
                </w:p>
              </w:tc>
            </w:tr>
            <w:tr w14:paraId="0102C08F">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28" w:type="dxa"/>
                  <w:bottom w:w="0" w:type="dxa"/>
                  <w:right w:w="28" w:type="dxa"/>
                </w:tblCellMar>
              </w:tblPrEx>
              <w:trPr>
                <w:trHeight w:val="320" w:hRule="atLeast"/>
                <w:jc w:val="center"/>
              </w:trPr>
              <w:tc>
                <w:tcPr>
                  <w:tcW w:w="349" w:type="pct"/>
                  <w:tcBorders>
                    <w:tl2br w:val="nil"/>
                    <w:tr2bl w:val="nil"/>
                  </w:tcBorders>
                  <w:vAlign w:val="center"/>
                </w:tcPr>
                <w:p w14:paraId="7937026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2</w:t>
                  </w:r>
                </w:p>
              </w:tc>
              <w:tc>
                <w:tcPr>
                  <w:tcW w:w="539" w:type="pct"/>
                  <w:tcBorders>
                    <w:tl2br w:val="nil"/>
                    <w:tr2bl w:val="nil"/>
                  </w:tcBorders>
                  <w:vAlign w:val="center"/>
                </w:tcPr>
                <w:p w14:paraId="04EDFF0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一般工业固废仓库</w:t>
                  </w:r>
                </w:p>
              </w:tc>
              <w:tc>
                <w:tcPr>
                  <w:tcW w:w="974" w:type="pct"/>
                  <w:tcBorders>
                    <w:tl2br w:val="nil"/>
                    <w:tr2bl w:val="nil"/>
                  </w:tcBorders>
                  <w:vAlign w:val="center"/>
                </w:tcPr>
                <w:p w14:paraId="509B24E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18"/>
                      <w:szCs w:val="18"/>
                    </w:rPr>
                  </w:pPr>
                  <w:r>
                    <w:rPr>
                      <w:rFonts w:hint="eastAsia" w:cs="Times New Roman"/>
                      <w:color w:val="auto"/>
                      <w:sz w:val="18"/>
                      <w:szCs w:val="18"/>
                      <w:lang w:eastAsia="zh-CN"/>
                    </w:rPr>
                    <w:t>液态不合格品</w:t>
                  </w:r>
                </w:p>
              </w:tc>
              <w:tc>
                <w:tcPr>
                  <w:tcW w:w="621" w:type="pct"/>
                  <w:tcBorders>
                    <w:tl2br w:val="nil"/>
                    <w:tr2bl w:val="nil"/>
                  </w:tcBorders>
                  <w:vAlign w:val="center"/>
                </w:tcPr>
                <w:p w14:paraId="3E587A2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lang w:eastAsia="zh-CN"/>
                    </w:rPr>
                    <w:t>泄漏</w:t>
                  </w:r>
                </w:p>
              </w:tc>
              <w:tc>
                <w:tcPr>
                  <w:tcW w:w="1048" w:type="pct"/>
                  <w:tcBorders>
                    <w:tl2br w:val="nil"/>
                    <w:tr2bl w:val="nil"/>
                  </w:tcBorders>
                  <w:vAlign w:val="center"/>
                </w:tcPr>
                <w:p w14:paraId="45FD60F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rPr>
                  </w:pPr>
                  <w:r>
                    <w:rPr>
                      <w:rFonts w:hint="eastAsia" w:cs="Times New Roman"/>
                      <w:color w:val="auto"/>
                      <w:sz w:val="18"/>
                      <w:szCs w:val="18"/>
                      <w:lang w:eastAsia="zh-CN"/>
                    </w:rPr>
                    <w:t>泄漏造成</w:t>
                  </w:r>
                  <w:r>
                    <w:rPr>
                      <w:rFonts w:hint="default" w:ascii="Times New Roman" w:hAnsi="Times New Roman" w:eastAsia="宋体" w:cs="Times New Roman"/>
                      <w:color w:val="auto"/>
                      <w:sz w:val="18"/>
                      <w:szCs w:val="18"/>
                    </w:rPr>
                    <w:t>土壤</w:t>
                  </w:r>
                  <w:r>
                    <w:rPr>
                      <w:rFonts w:hint="default" w:ascii="Times New Roman" w:hAnsi="Times New Roman" w:eastAsia="宋体" w:cs="Times New Roman"/>
                      <w:color w:val="auto"/>
                      <w:sz w:val="18"/>
                      <w:szCs w:val="18"/>
                      <w:lang w:eastAsia="zh-CN"/>
                    </w:rPr>
                    <w:t>及</w:t>
                  </w:r>
                  <w:r>
                    <w:rPr>
                      <w:rFonts w:hint="default" w:ascii="Times New Roman" w:hAnsi="Times New Roman" w:eastAsia="宋体" w:cs="Times New Roman"/>
                      <w:color w:val="auto"/>
                      <w:sz w:val="18"/>
                      <w:szCs w:val="18"/>
                    </w:rPr>
                    <w:t>地下水渗透吸收</w:t>
                  </w:r>
                </w:p>
              </w:tc>
              <w:tc>
                <w:tcPr>
                  <w:tcW w:w="1466" w:type="pct"/>
                  <w:tcBorders>
                    <w:tl2br w:val="nil"/>
                    <w:tr2bl w:val="nil"/>
                  </w:tcBorders>
                  <w:vAlign w:val="center"/>
                </w:tcPr>
                <w:p w14:paraId="13D1C50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18"/>
                      <w:szCs w:val="18"/>
                      <w:lang w:eastAsia="zh-CN"/>
                    </w:rPr>
                  </w:pPr>
                  <w:r>
                    <w:rPr>
                      <w:rFonts w:hint="default" w:ascii="Times New Roman" w:hAnsi="Times New Roman" w:eastAsia="宋体" w:cs="Times New Roman"/>
                      <w:color w:val="auto"/>
                      <w:sz w:val="18"/>
                      <w:szCs w:val="18"/>
                    </w:rPr>
                    <w:t>地下水及土壤，附近水体等</w:t>
                  </w:r>
                </w:p>
              </w:tc>
            </w:tr>
          </w:tbl>
          <w:p w14:paraId="53EF203B">
            <w:pPr>
              <w:keepNext w:val="0"/>
              <w:keepLines w:val="0"/>
              <w:pageBreakBefore w:val="0"/>
              <w:widowControl w:val="0"/>
              <w:suppressLineNumbers w:val="0"/>
              <w:kinsoku/>
              <w:wordWrap/>
              <w:overflowPunct/>
              <w:topLinePunct w:val="0"/>
              <w:bidi w:val="0"/>
              <w:adjustRightInd w:val="0"/>
              <w:snapToGrid w:val="0"/>
              <w:spacing w:before="157" w:beforeLines="50" w:beforeAutospacing="0" w:after="0" w:afterAutospacing="0" w:line="360" w:lineRule="auto"/>
              <w:ind w:left="0" w:right="0"/>
              <w:textAlignment w:val="auto"/>
              <w:rPr>
                <w:rFonts w:hint="default" w:ascii="Times New Roman" w:hAnsi="Times New Roman" w:eastAsia="宋体" w:cs="Times New Roman"/>
                <w:b/>
                <w:bCs/>
                <w:color w:val="auto"/>
              </w:rPr>
            </w:pPr>
            <w:r>
              <w:rPr>
                <w:rFonts w:hint="default" w:ascii="Times New Roman" w:hAnsi="Times New Roman" w:eastAsia="宋体" w:cs="Times New Roman"/>
                <w:b/>
                <w:bCs/>
                <w:color w:val="auto"/>
              </w:rPr>
              <w:t>7.3</w:t>
            </w:r>
            <w:r>
              <w:rPr>
                <w:rFonts w:hint="default" w:ascii="Times New Roman" w:hAnsi="Times New Roman" w:eastAsia="宋体" w:cs="Times New Roman"/>
                <w:b/>
                <w:bCs/>
                <w:color w:val="auto"/>
                <w:lang w:val="en-US" w:eastAsia="zh-CN"/>
              </w:rPr>
              <w:t xml:space="preserve"> </w:t>
            </w:r>
            <w:r>
              <w:rPr>
                <w:rFonts w:hint="default" w:ascii="Times New Roman" w:hAnsi="Times New Roman" w:eastAsia="宋体" w:cs="Times New Roman"/>
                <w:b/>
                <w:bCs/>
                <w:color w:val="auto"/>
              </w:rPr>
              <w:t>环境风险防范措施</w:t>
            </w:r>
          </w:p>
          <w:p w14:paraId="70832026">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480"/>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rPr>
              <w:t>（1）泄漏</w:t>
            </w:r>
          </w:p>
          <w:p w14:paraId="3C283B64">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480"/>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加强生产过程中的规范化操作，定期进行设备、构筑物维护检修。落实安全管理主体责任</w:t>
            </w:r>
            <w:r>
              <w:rPr>
                <w:rFonts w:hint="eastAsia" w:cs="Times New Roman"/>
                <w:color w:val="auto"/>
                <w:lang w:val="en-US" w:eastAsia="zh-CN"/>
              </w:rPr>
              <w:t>，</w:t>
            </w:r>
            <w:r>
              <w:rPr>
                <w:rFonts w:hint="default" w:ascii="Times New Roman" w:hAnsi="Times New Roman" w:eastAsia="宋体" w:cs="Times New Roman"/>
                <w:color w:val="auto"/>
              </w:rPr>
              <w:t>发现</w:t>
            </w:r>
            <w:r>
              <w:rPr>
                <w:rFonts w:hint="default" w:ascii="Times New Roman" w:hAnsi="Times New Roman" w:eastAsia="宋体" w:cs="Times New Roman"/>
                <w:color w:val="auto"/>
                <w:lang w:eastAsia="zh-CN"/>
              </w:rPr>
              <w:t>物料</w:t>
            </w:r>
            <w:r>
              <w:rPr>
                <w:rFonts w:hint="default" w:ascii="Times New Roman" w:hAnsi="Times New Roman" w:eastAsia="宋体" w:cs="Times New Roman"/>
                <w:color w:val="auto"/>
              </w:rPr>
              <w:t>输送管外表</w:t>
            </w:r>
            <w:r>
              <w:rPr>
                <w:rFonts w:hint="eastAsia" w:ascii="Times New Roman" w:hAnsi="Times New Roman" w:eastAsia="宋体" w:cs="Times New Roman"/>
                <w:color w:val="auto"/>
                <w:lang w:eastAsia="zh-CN"/>
              </w:rPr>
              <w:t>及构筑物</w:t>
            </w:r>
            <w:r>
              <w:rPr>
                <w:rFonts w:hint="default" w:ascii="Times New Roman" w:hAnsi="Times New Roman" w:eastAsia="宋体" w:cs="Times New Roman"/>
                <w:color w:val="auto"/>
              </w:rPr>
              <w:t>有破损迹象及时更换。</w:t>
            </w:r>
            <w:r>
              <w:rPr>
                <w:rFonts w:hint="eastAsia" w:cs="Times New Roman"/>
                <w:color w:val="auto"/>
                <w:lang w:val="en-US" w:eastAsia="zh-CN"/>
              </w:rPr>
              <w:t>物料仓储区</w:t>
            </w:r>
            <w:r>
              <w:rPr>
                <w:rFonts w:hint="default" w:ascii="Times New Roman" w:hAnsi="Times New Roman" w:eastAsia="宋体" w:cs="Times New Roman"/>
                <w:color w:val="auto"/>
                <w:lang w:val="en-US" w:eastAsia="zh-CN"/>
              </w:rPr>
              <w:t>做好防渗工作。</w:t>
            </w:r>
          </w:p>
          <w:p w14:paraId="406C651E">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480"/>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rPr>
              <w:t>（</w:t>
            </w:r>
            <w:r>
              <w:rPr>
                <w:rFonts w:hint="eastAsia" w:cs="Times New Roman"/>
                <w:color w:val="auto"/>
                <w:lang w:val="en-US" w:eastAsia="zh-CN"/>
              </w:rPr>
              <w:t>2</w:t>
            </w:r>
            <w:r>
              <w:rPr>
                <w:rFonts w:hint="default" w:ascii="Times New Roman" w:hAnsi="Times New Roman" w:eastAsia="宋体" w:cs="Times New Roman"/>
                <w:color w:val="auto"/>
              </w:rPr>
              <w:t>）固废事故风险防范措施</w:t>
            </w:r>
          </w:p>
          <w:p w14:paraId="1369A3FD">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480"/>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rPr>
              <w:t>厂内各</w:t>
            </w:r>
            <w:r>
              <w:rPr>
                <w:rFonts w:hint="eastAsia" w:cs="Times New Roman"/>
                <w:color w:val="auto"/>
                <w:lang w:eastAsia="zh-CN"/>
              </w:rPr>
              <w:t>类</w:t>
            </w:r>
            <w:r>
              <w:rPr>
                <w:rFonts w:hint="default" w:ascii="Times New Roman" w:hAnsi="Times New Roman" w:eastAsia="宋体" w:cs="Times New Roman"/>
                <w:color w:val="auto"/>
              </w:rPr>
              <w:t>固废分类收集，盛放，</w:t>
            </w:r>
            <w:r>
              <w:rPr>
                <w:rFonts w:hint="eastAsia" w:cs="Times New Roman"/>
                <w:color w:val="auto"/>
                <w:lang w:eastAsia="zh-CN"/>
              </w:rPr>
              <w:t>一般工业固废仓库设置防渗漏、防雨淋及防尘措施</w:t>
            </w:r>
            <w:r>
              <w:rPr>
                <w:rFonts w:hint="default" w:ascii="Times New Roman" w:hAnsi="Times New Roman" w:eastAsia="宋体" w:cs="Times New Roman"/>
                <w:color w:val="auto"/>
              </w:rPr>
              <w:t>，所有固废都得到合适的处置或综合利用</w:t>
            </w:r>
            <w:r>
              <w:rPr>
                <w:rFonts w:hint="default" w:ascii="Times New Roman" w:hAnsi="Times New Roman" w:eastAsia="宋体" w:cs="Times New Roman"/>
                <w:color w:val="auto"/>
                <w:lang w:eastAsia="zh-CN"/>
              </w:rPr>
              <w:t>；</w:t>
            </w:r>
            <w:r>
              <w:rPr>
                <w:rFonts w:hint="default" w:ascii="Times New Roman" w:hAnsi="Times New Roman" w:eastAsia="宋体" w:cs="Times New Roman"/>
                <w:color w:val="auto"/>
              </w:rPr>
              <w:t>生活垃圾由环卫部门统一收集处理，固废实现“零排放”。</w:t>
            </w:r>
          </w:p>
          <w:p w14:paraId="3EC4C252">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480"/>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rPr>
              <w:t>（</w:t>
            </w:r>
            <w:r>
              <w:rPr>
                <w:rFonts w:hint="eastAsia" w:cs="Times New Roman"/>
                <w:color w:val="auto"/>
                <w:lang w:val="en-US" w:eastAsia="zh-CN"/>
              </w:rPr>
              <w:t>3</w:t>
            </w:r>
            <w:r>
              <w:rPr>
                <w:rFonts w:hint="default" w:ascii="Times New Roman" w:hAnsi="Times New Roman" w:eastAsia="宋体" w:cs="Times New Roman"/>
                <w:color w:val="auto"/>
              </w:rPr>
              <w:t>）废气</w:t>
            </w:r>
            <w:r>
              <w:rPr>
                <w:rFonts w:hint="default" w:ascii="Times New Roman" w:hAnsi="Times New Roman" w:eastAsia="宋体" w:cs="Times New Roman"/>
                <w:color w:val="auto"/>
                <w:lang w:eastAsia="zh-CN"/>
              </w:rPr>
              <w:t>处理设施</w:t>
            </w:r>
            <w:r>
              <w:rPr>
                <w:rFonts w:hint="default" w:ascii="Times New Roman" w:hAnsi="Times New Roman" w:eastAsia="宋体" w:cs="Times New Roman"/>
                <w:color w:val="auto"/>
              </w:rPr>
              <w:t>风险防范措施</w:t>
            </w:r>
          </w:p>
          <w:p w14:paraId="4C0C7780">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480"/>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rPr>
              <w:t>①平时加强</w:t>
            </w:r>
            <w:r>
              <w:rPr>
                <w:rFonts w:hint="default" w:ascii="Times New Roman" w:hAnsi="Times New Roman" w:eastAsia="宋体" w:cs="Times New Roman"/>
                <w:color w:val="auto"/>
                <w:lang w:eastAsia="zh-CN"/>
              </w:rPr>
              <w:t>废气处理</w:t>
            </w:r>
            <w:r>
              <w:rPr>
                <w:rFonts w:hint="default" w:ascii="Times New Roman" w:hAnsi="Times New Roman" w:eastAsia="宋体" w:cs="Times New Roman"/>
                <w:color w:val="auto"/>
              </w:rPr>
              <w:t>设施的维护保养，定期检查废气处理装置，及时发现处理设备的隐患，确保废气处理系统正常运行</w:t>
            </w:r>
            <w:r>
              <w:rPr>
                <w:rFonts w:hint="default" w:ascii="Times New Roman" w:hAnsi="Times New Roman" w:eastAsia="宋体" w:cs="Times New Roman"/>
                <w:color w:val="auto"/>
                <w:lang w:eastAsia="zh-CN"/>
              </w:rPr>
              <w:t>。建设单位</w:t>
            </w:r>
            <w:r>
              <w:rPr>
                <w:rFonts w:hint="default" w:ascii="Times New Roman" w:hAnsi="Times New Roman" w:eastAsia="宋体" w:cs="Times New Roman"/>
                <w:color w:val="auto"/>
              </w:rPr>
              <w:t>应</w:t>
            </w:r>
            <w:r>
              <w:rPr>
                <w:rFonts w:hint="default" w:ascii="Times New Roman" w:hAnsi="Times New Roman" w:eastAsia="宋体" w:cs="Times New Roman"/>
                <w:color w:val="auto"/>
                <w:lang w:eastAsia="zh-CN"/>
              </w:rPr>
              <w:t>重点加强</w:t>
            </w:r>
            <w:r>
              <w:rPr>
                <w:rFonts w:hint="default" w:ascii="Times New Roman" w:hAnsi="Times New Roman" w:eastAsia="宋体" w:cs="Times New Roman"/>
                <w:color w:val="auto"/>
              </w:rPr>
              <w:t>对袋式除尘器定期维护保养，定期进行检修，及时更换布袋，最大程度减少设备发生故障的可能性；生产设备和废气收集处理设施同步运行，废气收集处理设施发生故障或检修时，停止运行对应的生产设备，待检修完毕后投入使用。</w:t>
            </w:r>
          </w:p>
          <w:p w14:paraId="54A9A5D3">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480"/>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rPr>
              <w:t>②建立健全的环保机构，对管理人员和技术人员进行岗位培训，对废气处理实行全过程跟踪控制。</w:t>
            </w:r>
          </w:p>
          <w:p w14:paraId="4925D847">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480"/>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rPr>
              <w:t>③生产场所严禁各类明火；需要在生产场所进行动火作业时，必须停止生产作业，并采取相应的防护措施。根据不同的作业条件与环境，配备消防器材和个人劳动防护用品。</w:t>
            </w:r>
          </w:p>
          <w:p w14:paraId="24DC78FB">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482"/>
              <w:textAlignment w:val="auto"/>
              <w:rPr>
                <w:rFonts w:hint="default" w:ascii="Times New Roman" w:hAnsi="Times New Roman" w:eastAsia="宋体" w:cs="Times New Roman"/>
                <w:b/>
                <w:bCs/>
                <w:color w:val="auto"/>
              </w:rPr>
            </w:pPr>
            <w:r>
              <w:rPr>
                <w:rFonts w:hint="default" w:ascii="Times New Roman" w:hAnsi="Times New Roman" w:eastAsia="宋体" w:cs="Times New Roman"/>
                <w:b/>
                <w:bCs/>
                <w:color w:val="auto"/>
              </w:rPr>
              <w:t>8.电磁辐射</w:t>
            </w:r>
          </w:p>
          <w:p w14:paraId="7A83B783">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textAlignment w:val="auto"/>
              <w:rPr>
                <w:rFonts w:hint="default" w:ascii="Times New Roman" w:hAnsi="Times New Roman" w:eastAsia="宋体" w:cs="Times New Roman"/>
                <w:color w:val="auto"/>
                <w:kern w:val="0"/>
                <w:sz w:val="24"/>
              </w:rPr>
            </w:pPr>
            <w:r>
              <w:rPr>
                <w:rFonts w:hint="default" w:ascii="Times New Roman" w:hAnsi="Times New Roman" w:eastAsia="宋体" w:cs="Times New Roman"/>
                <w:color w:val="auto"/>
                <w:kern w:val="0"/>
                <w:sz w:val="24"/>
                <w:lang w:val="en-US" w:eastAsia="zh-CN"/>
              </w:rPr>
              <w:t>建设项目</w:t>
            </w:r>
            <w:r>
              <w:rPr>
                <w:rFonts w:hint="default" w:ascii="Times New Roman" w:hAnsi="Times New Roman" w:eastAsia="宋体" w:cs="Times New Roman"/>
                <w:color w:val="auto"/>
                <w:kern w:val="0"/>
                <w:sz w:val="24"/>
              </w:rPr>
              <w:t>不涉及电磁辐射环境影响。</w:t>
            </w:r>
          </w:p>
          <w:p w14:paraId="39ED2396">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textAlignment w:val="auto"/>
              <w:rPr>
                <w:rFonts w:hint="default" w:ascii="Times New Roman" w:hAnsi="Times New Roman" w:eastAsia="宋体" w:cs="Times New Roman"/>
                <w:color w:val="auto"/>
                <w:kern w:val="0"/>
                <w:sz w:val="24"/>
              </w:rPr>
            </w:pPr>
          </w:p>
          <w:p w14:paraId="05CA59AD">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textAlignment w:val="auto"/>
              <w:rPr>
                <w:rFonts w:hint="default" w:ascii="Times New Roman" w:hAnsi="Times New Roman" w:eastAsia="宋体" w:cs="Times New Roman"/>
                <w:color w:val="auto"/>
                <w:kern w:val="0"/>
                <w:sz w:val="24"/>
              </w:rPr>
            </w:pPr>
          </w:p>
          <w:p w14:paraId="0060B750">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textAlignment w:val="auto"/>
              <w:rPr>
                <w:rFonts w:hint="default" w:ascii="Times New Roman" w:hAnsi="Times New Roman" w:eastAsia="宋体" w:cs="Times New Roman"/>
                <w:color w:val="auto"/>
                <w:kern w:val="0"/>
                <w:sz w:val="24"/>
              </w:rPr>
            </w:pPr>
          </w:p>
          <w:p w14:paraId="1D73E617">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textAlignment w:val="auto"/>
              <w:rPr>
                <w:rFonts w:hint="default" w:ascii="Times New Roman" w:hAnsi="Times New Roman" w:eastAsia="宋体" w:cs="Times New Roman"/>
                <w:color w:val="auto"/>
                <w:kern w:val="0"/>
                <w:sz w:val="24"/>
              </w:rPr>
            </w:pPr>
          </w:p>
          <w:p w14:paraId="3666F763">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textAlignment w:val="auto"/>
              <w:rPr>
                <w:rFonts w:hint="default" w:ascii="Times New Roman" w:hAnsi="Times New Roman" w:eastAsia="宋体" w:cs="Times New Roman"/>
                <w:color w:val="auto"/>
                <w:kern w:val="0"/>
                <w:sz w:val="24"/>
              </w:rPr>
            </w:pPr>
          </w:p>
          <w:p w14:paraId="07CE7BF1">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textAlignment w:val="auto"/>
              <w:rPr>
                <w:rFonts w:hint="default" w:ascii="Times New Roman" w:hAnsi="Times New Roman" w:eastAsia="宋体" w:cs="Times New Roman"/>
                <w:color w:val="auto"/>
                <w:kern w:val="0"/>
                <w:sz w:val="24"/>
              </w:rPr>
            </w:pPr>
          </w:p>
          <w:p w14:paraId="35FDBA81">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textAlignment w:val="auto"/>
              <w:rPr>
                <w:rFonts w:hint="default" w:ascii="Times New Roman" w:hAnsi="Times New Roman" w:eastAsia="宋体" w:cs="Times New Roman"/>
                <w:color w:val="auto"/>
                <w:kern w:val="0"/>
                <w:sz w:val="24"/>
              </w:rPr>
            </w:pPr>
          </w:p>
          <w:p w14:paraId="03EE3A82">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textAlignment w:val="auto"/>
              <w:rPr>
                <w:rFonts w:hint="default" w:ascii="Times New Roman" w:hAnsi="Times New Roman" w:eastAsia="宋体" w:cs="Times New Roman"/>
                <w:color w:val="auto"/>
                <w:kern w:val="0"/>
                <w:sz w:val="24"/>
              </w:rPr>
            </w:pPr>
          </w:p>
          <w:p w14:paraId="694B64A9">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textAlignment w:val="auto"/>
              <w:rPr>
                <w:rFonts w:hint="default" w:ascii="Times New Roman" w:hAnsi="Times New Roman" w:eastAsia="宋体" w:cs="Times New Roman"/>
                <w:color w:val="auto"/>
                <w:kern w:val="0"/>
                <w:sz w:val="24"/>
              </w:rPr>
            </w:pPr>
          </w:p>
          <w:p w14:paraId="0E7AE0D1">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textAlignment w:val="auto"/>
              <w:rPr>
                <w:rFonts w:hint="default" w:ascii="Times New Roman" w:hAnsi="Times New Roman" w:eastAsia="宋体" w:cs="Times New Roman"/>
                <w:color w:val="auto"/>
                <w:kern w:val="0"/>
                <w:sz w:val="24"/>
              </w:rPr>
            </w:pPr>
          </w:p>
          <w:p w14:paraId="56D0EC36">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textAlignment w:val="auto"/>
              <w:rPr>
                <w:rFonts w:hint="default" w:ascii="Times New Roman" w:hAnsi="Times New Roman" w:eastAsia="宋体" w:cs="Times New Roman"/>
                <w:color w:val="auto"/>
                <w:kern w:val="0"/>
                <w:sz w:val="24"/>
              </w:rPr>
            </w:pPr>
          </w:p>
          <w:p w14:paraId="3F7134CA">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textAlignment w:val="auto"/>
              <w:rPr>
                <w:rFonts w:hint="default" w:ascii="Times New Roman" w:hAnsi="Times New Roman" w:eastAsia="宋体" w:cs="Times New Roman"/>
                <w:color w:val="auto"/>
                <w:kern w:val="0"/>
                <w:sz w:val="24"/>
              </w:rPr>
            </w:pPr>
          </w:p>
          <w:p w14:paraId="78007707">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textAlignment w:val="auto"/>
              <w:rPr>
                <w:rFonts w:hint="default" w:ascii="Times New Roman" w:hAnsi="Times New Roman" w:eastAsia="宋体" w:cs="Times New Roman"/>
                <w:color w:val="auto"/>
                <w:kern w:val="0"/>
                <w:sz w:val="24"/>
              </w:rPr>
            </w:pPr>
          </w:p>
          <w:p w14:paraId="0D0D8AE6">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textAlignment w:val="auto"/>
              <w:rPr>
                <w:rFonts w:hint="default" w:ascii="Times New Roman" w:hAnsi="Times New Roman" w:eastAsia="宋体" w:cs="Times New Roman"/>
                <w:color w:val="auto"/>
                <w:kern w:val="0"/>
                <w:sz w:val="24"/>
              </w:rPr>
            </w:pPr>
          </w:p>
          <w:p w14:paraId="7C50ECC6">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textAlignment w:val="auto"/>
              <w:rPr>
                <w:rFonts w:hint="default" w:ascii="Times New Roman" w:hAnsi="Times New Roman" w:eastAsia="宋体" w:cs="Times New Roman"/>
                <w:color w:val="auto"/>
                <w:kern w:val="0"/>
                <w:sz w:val="24"/>
              </w:rPr>
            </w:pPr>
          </w:p>
          <w:p w14:paraId="36AF099C">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textAlignment w:val="auto"/>
              <w:rPr>
                <w:rFonts w:hint="default" w:ascii="Times New Roman" w:hAnsi="Times New Roman" w:eastAsia="宋体" w:cs="Times New Roman"/>
                <w:color w:val="auto"/>
                <w:kern w:val="0"/>
                <w:sz w:val="24"/>
              </w:rPr>
            </w:pPr>
          </w:p>
          <w:p w14:paraId="757C533B">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textAlignment w:val="auto"/>
              <w:rPr>
                <w:rFonts w:hint="default" w:ascii="Times New Roman" w:hAnsi="Times New Roman" w:eastAsia="宋体" w:cs="Times New Roman"/>
                <w:color w:val="auto"/>
                <w:kern w:val="0"/>
                <w:sz w:val="24"/>
              </w:rPr>
            </w:pPr>
          </w:p>
          <w:p w14:paraId="32412757">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textAlignment w:val="auto"/>
              <w:rPr>
                <w:rFonts w:hint="default" w:ascii="Times New Roman" w:hAnsi="Times New Roman" w:eastAsia="宋体" w:cs="Times New Roman"/>
                <w:color w:val="auto"/>
                <w:kern w:val="0"/>
                <w:sz w:val="24"/>
              </w:rPr>
            </w:pPr>
          </w:p>
          <w:p w14:paraId="0A72A9E5">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textAlignment w:val="auto"/>
              <w:rPr>
                <w:rFonts w:hint="default" w:ascii="Times New Roman" w:hAnsi="Times New Roman" w:eastAsia="宋体" w:cs="Times New Roman"/>
                <w:color w:val="auto"/>
                <w:kern w:val="0"/>
                <w:sz w:val="24"/>
              </w:rPr>
            </w:pPr>
          </w:p>
          <w:p w14:paraId="20043E11">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textAlignment w:val="auto"/>
              <w:rPr>
                <w:rFonts w:hint="default" w:ascii="Times New Roman" w:hAnsi="Times New Roman" w:eastAsia="宋体" w:cs="Times New Roman"/>
                <w:color w:val="auto"/>
                <w:kern w:val="0"/>
                <w:sz w:val="24"/>
              </w:rPr>
            </w:pPr>
          </w:p>
          <w:p w14:paraId="0F5250C6">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textAlignment w:val="auto"/>
              <w:rPr>
                <w:rFonts w:hint="eastAsia" w:ascii="Times New Roman" w:hAnsi="Times New Roman" w:eastAsia="宋体" w:cs="Times New Roman"/>
                <w:color w:val="auto"/>
                <w:vertAlign w:val="baseline"/>
                <w:lang w:val="en-US" w:eastAsia="zh-CN"/>
              </w:rPr>
            </w:pPr>
          </w:p>
        </w:tc>
      </w:tr>
    </w:tbl>
    <w:p w14:paraId="594B791A">
      <w:pPr>
        <w:ind w:left="0" w:leftChars="0" w:firstLine="0" w:firstLineChars="0"/>
        <w:rPr>
          <w:rFonts w:hint="default" w:ascii="Times New Roman" w:hAnsi="Times New Roman" w:eastAsia="宋体" w:cs="Times New Roman"/>
          <w:color w:val="auto"/>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07E0811C">
      <w:pPr>
        <w:numPr>
          <w:ilvl w:val="0"/>
          <w:numId w:val="0"/>
        </w:numPr>
        <w:spacing w:line="240" w:lineRule="auto"/>
        <w:ind w:firstLine="0" w:firstLineChars="0"/>
        <w:jc w:val="center"/>
        <w:outlineLvl w:val="0"/>
        <w:rPr>
          <w:rFonts w:hint="default" w:ascii="Times New Roman" w:hAnsi="Times New Roman" w:eastAsia="宋体" w:cs="Times New Roman"/>
          <w:b/>
          <w:bCs/>
          <w:color w:val="auto"/>
          <w:sz w:val="28"/>
          <w:szCs w:val="28"/>
          <w:lang w:val="en-US" w:eastAsia="zh-CN"/>
        </w:rPr>
      </w:pPr>
      <w:bookmarkStart w:id="16" w:name="_Toc25772"/>
      <w:bookmarkStart w:id="17" w:name="_Toc16503"/>
      <w:r>
        <w:rPr>
          <w:rFonts w:hint="default" w:ascii="Times New Roman" w:hAnsi="Times New Roman" w:eastAsia="宋体" w:cs="Times New Roman"/>
          <w:b/>
          <w:bCs/>
          <w:color w:val="auto"/>
          <w:kern w:val="2"/>
          <w:sz w:val="28"/>
          <w:szCs w:val="28"/>
          <w:lang w:val="en-US" w:eastAsia="zh-CN" w:bidi="ar-SA"/>
        </w:rPr>
        <w:t>五、</w:t>
      </w:r>
      <w:r>
        <w:rPr>
          <w:rFonts w:hint="default" w:ascii="Times New Roman" w:hAnsi="Times New Roman" w:eastAsia="宋体" w:cs="Times New Roman"/>
          <w:b/>
          <w:bCs/>
          <w:color w:val="auto"/>
          <w:sz w:val="28"/>
          <w:szCs w:val="28"/>
          <w:lang w:val="en-US" w:eastAsia="zh-CN"/>
        </w:rPr>
        <w:t>环境保护措施监督检查清单</w:t>
      </w:r>
      <w:bookmarkEnd w:id="16"/>
      <w:bookmarkEnd w:id="17"/>
    </w:p>
    <w:tbl>
      <w:tblPr>
        <w:tblStyle w:val="27"/>
        <w:tblW w:w="890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
      <w:tblGrid>
        <w:gridCol w:w="1021"/>
        <w:gridCol w:w="579"/>
        <w:gridCol w:w="827"/>
        <w:gridCol w:w="1150"/>
        <w:gridCol w:w="1131"/>
        <w:gridCol w:w="1749"/>
        <w:gridCol w:w="2443"/>
      </w:tblGrid>
      <w:tr w14:paraId="0517DF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021" w:type="dxa"/>
            <w:tcBorders>
              <w:top w:val="single" w:color="auto" w:sz="8" w:space="0"/>
              <w:left w:val="single" w:color="auto" w:sz="8" w:space="0"/>
              <w:bottom w:val="single" w:color="auto" w:sz="4" w:space="0"/>
              <w:right w:val="single" w:color="auto" w:sz="4" w:space="0"/>
            </w:tcBorders>
            <w:vAlign w:val="center"/>
          </w:tcPr>
          <w:p w14:paraId="2996F655">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内容</w:t>
            </w:r>
          </w:p>
          <w:p w14:paraId="49851DB9">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要素</w:t>
            </w:r>
          </w:p>
        </w:tc>
        <w:tc>
          <w:tcPr>
            <w:tcW w:w="2556" w:type="dxa"/>
            <w:gridSpan w:val="3"/>
            <w:tcBorders>
              <w:top w:val="single" w:color="auto" w:sz="8" w:space="0"/>
              <w:left w:val="single" w:color="auto" w:sz="4" w:space="0"/>
              <w:bottom w:val="single" w:color="auto" w:sz="4" w:space="0"/>
              <w:right w:val="single" w:color="auto" w:sz="4" w:space="0"/>
            </w:tcBorders>
            <w:vAlign w:val="center"/>
          </w:tcPr>
          <w:p w14:paraId="3C17C370">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排放口(编号、</w:t>
            </w:r>
          </w:p>
          <w:p w14:paraId="71EB0A9C">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名称)/污染源</w:t>
            </w:r>
          </w:p>
        </w:tc>
        <w:tc>
          <w:tcPr>
            <w:tcW w:w="1131" w:type="dxa"/>
            <w:tcBorders>
              <w:top w:val="single" w:color="auto" w:sz="8" w:space="0"/>
              <w:left w:val="single" w:color="auto" w:sz="4" w:space="0"/>
              <w:bottom w:val="single" w:color="auto" w:sz="4" w:space="0"/>
              <w:right w:val="single" w:color="auto" w:sz="4" w:space="0"/>
            </w:tcBorders>
            <w:vAlign w:val="center"/>
          </w:tcPr>
          <w:p w14:paraId="3B027328">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污染物项目</w:t>
            </w:r>
          </w:p>
        </w:tc>
        <w:tc>
          <w:tcPr>
            <w:tcW w:w="1749" w:type="dxa"/>
            <w:tcBorders>
              <w:top w:val="single" w:color="auto" w:sz="8" w:space="0"/>
              <w:left w:val="single" w:color="auto" w:sz="4" w:space="0"/>
              <w:bottom w:val="single" w:color="auto" w:sz="4" w:space="0"/>
              <w:right w:val="single" w:color="auto" w:sz="4" w:space="0"/>
            </w:tcBorders>
            <w:vAlign w:val="center"/>
          </w:tcPr>
          <w:p w14:paraId="4A712A4D">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环境保护措施</w:t>
            </w:r>
          </w:p>
        </w:tc>
        <w:tc>
          <w:tcPr>
            <w:tcW w:w="2443" w:type="dxa"/>
            <w:tcBorders>
              <w:top w:val="single" w:color="auto" w:sz="8" w:space="0"/>
              <w:left w:val="single" w:color="auto" w:sz="4" w:space="0"/>
              <w:bottom w:val="single" w:color="auto" w:sz="4" w:space="0"/>
              <w:right w:val="single" w:color="auto" w:sz="8" w:space="0"/>
            </w:tcBorders>
            <w:vAlign w:val="center"/>
          </w:tcPr>
          <w:p w14:paraId="73B2E7FC">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执行标准</w:t>
            </w:r>
          </w:p>
        </w:tc>
      </w:tr>
      <w:tr w14:paraId="3528D3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021" w:type="dxa"/>
            <w:vMerge w:val="restart"/>
            <w:tcBorders>
              <w:top w:val="single" w:color="auto" w:sz="4" w:space="0"/>
              <w:left w:val="single" w:color="auto" w:sz="8" w:space="0"/>
              <w:right w:val="single" w:color="auto" w:sz="4" w:space="0"/>
            </w:tcBorders>
            <w:vAlign w:val="center"/>
          </w:tcPr>
          <w:p w14:paraId="0A7A63F7">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大气环境</w:t>
            </w:r>
          </w:p>
        </w:tc>
        <w:tc>
          <w:tcPr>
            <w:tcW w:w="579" w:type="dxa"/>
            <w:tcBorders>
              <w:top w:val="single" w:color="auto" w:sz="4" w:space="0"/>
              <w:left w:val="single" w:color="auto" w:sz="4" w:space="0"/>
              <w:bottom w:val="single" w:color="000000" w:sz="6" w:space="0"/>
              <w:right w:val="single" w:color="auto" w:sz="4" w:space="0"/>
            </w:tcBorders>
            <w:vAlign w:val="center"/>
          </w:tcPr>
          <w:p w14:paraId="5796B436">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有组织</w:t>
            </w:r>
          </w:p>
        </w:tc>
        <w:tc>
          <w:tcPr>
            <w:tcW w:w="827" w:type="dxa"/>
            <w:tcBorders>
              <w:top w:val="single" w:color="auto" w:sz="4" w:space="0"/>
              <w:left w:val="single" w:color="auto" w:sz="4" w:space="0"/>
              <w:bottom w:val="single" w:color="000000" w:sz="6" w:space="0"/>
              <w:right w:val="single" w:color="auto" w:sz="4" w:space="0"/>
            </w:tcBorders>
            <w:vAlign w:val="center"/>
          </w:tcPr>
          <w:p w14:paraId="33E53D34">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15m</w:t>
            </w:r>
            <w:r>
              <w:rPr>
                <w:rFonts w:hint="default" w:ascii="Times New Roman" w:hAnsi="Times New Roman" w:eastAsia="宋体" w:cs="Times New Roman"/>
                <w:color w:val="auto"/>
                <w:sz w:val="21"/>
                <w:szCs w:val="21"/>
              </w:rPr>
              <w:t>DA00</w:t>
            </w:r>
            <w:r>
              <w:rPr>
                <w:rFonts w:hint="default" w:ascii="Times New Roman" w:hAnsi="Times New Roman" w:eastAsia="宋体" w:cs="Times New Roman"/>
                <w:color w:val="auto"/>
                <w:sz w:val="21"/>
                <w:szCs w:val="21"/>
                <w:lang w:val="en-US" w:eastAsia="zh-CN"/>
              </w:rPr>
              <w:t>1</w:t>
            </w:r>
          </w:p>
        </w:tc>
        <w:tc>
          <w:tcPr>
            <w:tcW w:w="1150" w:type="dxa"/>
            <w:tcBorders>
              <w:top w:val="single" w:color="auto" w:sz="4" w:space="0"/>
              <w:left w:val="single" w:color="auto" w:sz="4" w:space="0"/>
              <w:right w:val="single" w:color="auto" w:sz="4" w:space="0"/>
            </w:tcBorders>
            <w:vAlign w:val="center"/>
          </w:tcPr>
          <w:p w14:paraId="0823B432">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0"/>
                <w:sz w:val="21"/>
                <w:szCs w:val="21"/>
              </w:rPr>
            </w:pPr>
            <w:r>
              <w:rPr>
                <w:rFonts w:hint="eastAsia" w:cs="Times New Roman"/>
                <w:color w:val="auto"/>
                <w:kern w:val="0"/>
                <w:sz w:val="21"/>
                <w:szCs w:val="21"/>
                <w:lang w:val="en-US" w:eastAsia="zh-CN"/>
              </w:rPr>
              <w:t>配料搅拌；</w:t>
            </w:r>
            <w:r>
              <w:rPr>
                <w:rFonts w:hint="default" w:ascii="Times New Roman" w:hAnsi="Times New Roman" w:eastAsia="宋体" w:cs="Times New Roman"/>
                <w:color w:val="auto"/>
                <w:kern w:val="0"/>
                <w:sz w:val="18"/>
                <w:szCs w:val="18"/>
                <w:lang w:val="en-US" w:eastAsia="zh-CN"/>
              </w:rPr>
              <w:t>平切、立切、切槽</w:t>
            </w:r>
          </w:p>
        </w:tc>
        <w:tc>
          <w:tcPr>
            <w:tcW w:w="1131" w:type="dxa"/>
            <w:tcBorders>
              <w:top w:val="single" w:color="auto" w:sz="4" w:space="0"/>
              <w:left w:val="single" w:color="auto" w:sz="4" w:space="0"/>
              <w:bottom w:val="single" w:color="auto" w:sz="4" w:space="0"/>
              <w:right w:val="single" w:color="auto" w:sz="4" w:space="0"/>
            </w:tcBorders>
            <w:vAlign w:val="center"/>
          </w:tcPr>
          <w:p w14:paraId="37A7DA47">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0"/>
                <w:sz w:val="21"/>
                <w:szCs w:val="21"/>
                <w:lang w:eastAsia="zh-CN"/>
              </w:rPr>
            </w:pPr>
            <w:r>
              <w:rPr>
                <w:rFonts w:hint="default" w:ascii="Times New Roman" w:hAnsi="Times New Roman" w:eastAsia="宋体" w:cs="Times New Roman"/>
                <w:color w:val="auto"/>
                <w:kern w:val="0"/>
                <w:sz w:val="21"/>
                <w:szCs w:val="21"/>
                <w:lang w:val="en-US" w:eastAsia="zh-CN"/>
              </w:rPr>
              <w:t>颗粒物</w:t>
            </w:r>
          </w:p>
        </w:tc>
        <w:tc>
          <w:tcPr>
            <w:tcW w:w="1749" w:type="dxa"/>
            <w:tcBorders>
              <w:top w:val="single" w:color="auto" w:sz="4" w:space="0"/>
              <w:left w:val="single" w:color="auto" w:sz="4" w:space="0"/>
              <w:right w:val="single" w:color="auto" w:sz="4" w:space="0"/>
            </w:tcBorders>
            <w:vAlign w:val="center"/>
          </w:tcPr>
          <w:p w14:paraId="7942F32D">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kern w:val="0"/>
                <w:sz w:val="21"/>
                <w:szCs w:val="21"/>
                <w:lang w:val="en-US" w:eastAsia="zh-CN"/>
              </w:rPr>
              <w:t>袋式除尘器1套</w:t>
            </w:r>
            <w:r>
              <w:rPr>
                <w:rFonts w:hint="default" w:ascii="Times New Roman" w:hAnsi="Times New Roman" w:eastAsia="宋体" w:cs="Times New Roman"/>
                <w:color w:val="auto"/>
                <w:sz w:val="21"/>
                <w:szCs w:val="21"/>
                <w:vertAlign w:val="baseline"/>
                <w:lang w:val="en-US" w:eastAsia="zh-CN"/>
              </w:rPr>
              <w:t>，</w:t>
            </w:r>
            <w:r>
              <w:rPr>
                <w:rFonts w:hint="eastAsia" w:cs="Times New Roman"/>
                <w:color w:val="auto"/>
                <w:sz w:val="21"/>
                <w:szCs w:val="21"/>
                <w:vertAlign w:val="baseline"/>
                <w:lang w:val="en-US" w:eastAsia="zh-CN"/>
              </w:rPr>
              <w:t>25</w:t>
            </w:r>
            <w:r>
              <w:rPr>
                <w:rFonts w:hint="default" w:ascii="Times New Roman" w:hAnsi="Times New Roman" w:eastAsia="宋体" w:cs="Times New Roman"/>
                <w:color w:val="auto"/>
                <w:sz w:val="21"/>
                <w:szCs w:val="21"/>
                <w:vertAlign w:val="baseline"/>
                <w:lang w:val="en-US" w:eastAsia="zh-CN"/>
              </w:rPr>
              <w:t>00m</w:t>
            </w:r>
            <w:r>
              <w:rPr>
                <w:rFonts w:hint="default" w:ascii="Times New Roman" w:hAnsi="Times New Roman" w:eastAsia="宋体" w:cs="Times New Roman"/>
                <w:color w:val="auto"/>
                <w:sz w:val="21"/>
                <w:szCs w:val="21"/>
                <w:vertAlign w:val="superscript"/>
                <w:lang w:val="en-US" w:eastAsia="zh-CN"/>
              </w:rPr>
              <w:t>3</w:t>
            </w:r>
            <w:r>
              <w:rPr>
                <w:rFonts w:hint="default" w:ascii="Times New Roman" w:hAnsi="Times New Roman" w:eastAsia="宋体" w:cs="Times New Roman"/>
                <w:color w:val="auto"/>
                <w:sz w:val="21"/>
                <w:szCs w:val="21"/>
                <w:vertAlign w:val="baseline"/>
                <w:lang w:val="en-US" w:eastAsia="zh-CN"/>
              </w:rPr>
              <w:t>/h</w:t>
            </w:r>
          </w:p>
        </w:tc>
        <w:tc>
          <w:tcPr>
            <w:tcW w:w="2443" w:type="dxa"/>
            <w:tcBorders>
              <w:top w:val="single" w:color="auto" w:sz="4" w:space="0"/>
              <w:left w:val="single" w:color="auto" w:sz="4" w:space="0"/>
              <w:right w:val="single" w:color="auto" w:sz="8" w:space="0"/>
            </w:tcBorders>
            <w:vAlign w:val="center"/>
          </w:tcPr>
          <w:p w14:paraId="147CA478">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《大气污染物综合排放标准》（DB32/4041-2021）表1</w:t>
            </w:r>
          </w:p>
        </w:tc>
      </w:tr>
      <w:tr w14:paraId="672E70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021" w:type="dxa"/>
            <w:vMerge w:val="continue"/>
            <w:tcBorders>
              <w:left w:val="single" w:color="auto" w:sz="8" w:space="0"/>
              <w:right w:val="single" w:color="auto" w:sz="4" w:space="0"/>
            </w:tcBorders>
            <w:vAlign w:val="center"/>
          </w:tcPr>
          <w:p w14:paraId="67BB6EDD">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21"/>
                <w:szCs w:val="21"/>
              </w:rPr>
            </w:pPr>
          </w:p>
        </w:tc>
        <w:tc>
          <w:tcPr>
            <w:tcW w:w="579" w:type="dxa"/>
            <w:tcBorders>
              <w:top w:val="single" w:color="000000" w:sz="6" w:space="0"/>
              <w:left w:val="single" w:color="auto" w:sz="4" w:space="0"/>
              <w:bottom w:val="single" w:color="000000" w:sz="6" w:space="0"/>
              <w:right w:val="single" w:color="auto" w:sz="4" w:space="0"/>
            </w:tcBorders>
            <w:vAlign w:val="center"/>
          </w:tcPr>
          <w:p w14:paraId="63C16EC8">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eastAsia="zh-CN"/>
              </w:rPr>
              <w:t>无组织</w:t>
            </w:r>
          </w:p>
        </w:tc>
        <w:tc>
          <w:tcPr>
            <w:tcW w:w="1977" w:type="dxa"/>
            <w:gridSpan w:val="2"/>
            <w:tcBorders>
              <w:top w:val="single" w:color="000000" w:sz="6" w:space="0"/>
              <w:left w:val="single" w:color="auto" w:sz="4" w:space="0"/>
              <w:bottom w:val="single" w:color="000000" w:sz="6" w:space="0"/>
              <w:right w:val="single" w:color="auto" w:sz="4" w:space="0"/>
            </w:tcBorders>
            <w:vAlign w:val="center"/>
          </w:tcPr>
          <w:p w14:paraId="6F035DB7">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leftChars="0" w:right="0" w:rightChars="0" w:firstLine="0" w:firstLineChars="0"/>
              <w:jc w:val="center"/>
              <w:textAlignment w:val="auto"/>
              <w:rPr>
                <w:rFonts w:hint="eastAsia" w:cs="Times New Roman"/>
                <w:color w:val="auto"/>
                <w:sz w:val="21"/>
                <w:szCs w:val="21"/>
                <w:lang w:eastAsia="zh-CN"/>
              </w:rPr>
            </w:pPr>
            <w:r>
              <w:rPr>
                <w:rFonts w:hint="eastAsia" w:cs="Times New Roman"/>
                <w:color w:val="auto"/>
                <w:sz w:val="21"/>
                <w:szCs w:val="21"/>
                <w:lang w:eastAsia="zh-CN"/>
              </w:rPr>
              <w:t>生产厂房</w:t>
            </w:r>
          </w:p>
        </w:tc>
        <w:tc>
          <w:tcPr>
            <w:tcW w:w="1131" w:type="dxa"/>
            <w:tcBorders>
              <w:top w:val="single" w:color="auto" w:sz="4" w:space="0"/>
              <w:left w:val="single" w:color="auto" w:sz="4" w:space="0"/>
              <w:bottom w:val="single" w:color="auto" w:sz="4" w:space="0"/>
              <w:right w:val="single" w:color="auto" w:sz="4" w:space="0"/>
            </w:tcBorders>
            <w:vAlign w:val="center"/>
          </w:tcPr>
          <w:p w14:paraId="7DB33BB0">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颗粒物</w:t>
            </w:r>
          </w:p>
        </w:tc>
        <w:tc>
          <w:tcPr>
            <w:tcW w:w="1749" w:type="dxa"/>
            <w:tcBorders>
              <w:left w:val="single" w:color="auto" w:sz="4" w:space="0"/>
              <w:bottom w:val="single" w:color="auto" w:sz="4" w:space="0"/>
              <w:right w:val="single" w:color="auto" w:sz="4" w:space="0"/>
            </w:tcBorders>
            <w:vAlign w:val="center"/>
          </w:tcPr>
          <w:p w14:paraId="5D7F1335">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加强</w:t>
            </w:r>
            <w:r>
              <w:rPr>
                <w:rFonts w:hint="eastAsia" w:cs="Times New Roman"/>
                <w:color w:val="auto"/>
                <w:sz w:val="21"/>
                <w:szCs w:val="21"/>
                <w:lang w:val="en-US" w:eastAsia="zh-CN"/>
              </w:rPr>
              <w:t>车间密闭</w:t>
            </w:r>
            <w:r>
              <w:rPr>
                <w:rFonts w:hint="default" w:ascii="Times New Roman" w:hAnsi="Times New Roman" w:eastAsia="宋体" w:cs="Times New Roman"/>
                <w:color w:val="auto"/>
                <w:sz w:val="21"/>
                <w:szCs w:val="21"/>
                <w:lang w:val="en-US" w:eastAsia="zh-CN"/>
              </w:rPr>
              <w:t>，加大集气设施风量，采用先进生产设备等</w:t>
            </w:r>
          </w:p>
        </w:tc>
        <w:tc>
          <w:tcPr>
            <w:tcW w:w="2443" w:type="dxa"/>
            <w:tcBorders>
              <w:top w:val="single" w:color="auto" w:sz="4" w:space="0"/>
              <w:left w:val="single" w:color="auto" w:sz="4" w:space="0"/>
              <w:right w:val="single" w:color="auto" w:sz="8" w:space="0"/>
            </w:tcBorders>
            <w:vAlign w:val="center"/>
          </w:tcPr>
          <w:p w14:paraId="3BCC34C5">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《大气污染物综合排放标准》（DB32/4041-2021）表</w:t>
            </w:r>
            <w:r>
              <w:rPr>
                <w:rFonts w:hint="eastAsia" w:ascii="Times New Roman" w:hAnsi="Times New Roman" w:eastAsia="宋体" w:cs="Times New Roman"/>
                <w:color w:val="auto"/>
                <w:sz w:val="21"/>
                <w:szCs w:val="21"/>
                <w:lang w:val="en-US" w:eastAsia="zh-CN"/>
              </w:rPr>
              <w:t>3</w:t>
            </w:r>
          </w:p>
        </w:tc>
      </w:tr>
      <w:tr w14:paraId="6344AC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410" w:hRule="atLeast"/>
          <w:jc w:val="center"/>
        </w:trPr>
        <w:tc>
          <w:tcPr>
            <w:tcW w:w="1021" w:type="dxa"/>
            <w:tcBorders>
              <w:top w:val="single" w:color="auto" w:sz="4" w:space="0"/>
              <w:left w:val="single" w:color="auto" w:sz="8" w:space="0"/>
              <w:right w:val="single" w:color="auto" w:sz="4" w:space="0"/>
            </w:tcBorders>
            <w:vAlign w:val="center"/>
          </w:tcPr>
          <w:p w14:paraId="6EE619FC">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地表水环境</w:t>
            </w:r>
          </w:p>
        </w:tc>
        <w:tc>
          <w:tcPr>
            <w:tcW w:w="1406" w:type="dxa"/>
            <w:gridSpan w:val="2"/>
            <w:tcBorders>
              <w:top w:val="single" w:color="auto" w:sz="4" w:space="0"/>
              <w:left w:val="single" w:color="auto" w:sz="4" w:space="0"/>
              <w:right w:val="single" w:color="auto" w:sz="4" w:space="0"/>
            </w:tcBorders>
            <w:vAlign w:val="center"/>
          </w:tcPr>
          <w:p w14:paraId="38F268C5">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lang w:val="en-US" w:eastAsia="zh-CN"/>
              </w:rPr>
            </w:pPr>
            <w:r>
              <w:rPr>
                <w:rFonts w:hint="eastAsia" w:cs="Times New Roman"/>
                <w:b w:val="0"/>
                <w:bCs w:val="0"/>
                <w:color w:val="auto"/>
                <w:kern w:val="0"/>
                <w:sz w:val="21"/>
                <w:szCs w:val="21"/>
                <w:vertAlign w:val="baseline"/>
                <w:lang w:val="en-US" w:eastAsia="zh-CN" w:bidi="zh-CN"/>
              </w:rPr>
              <w:t>DW001</w:t>
            </w:r>
          </w:p>
        </w:tc>
        <w:tc>
          <w:tcPr>
            <w:tcW w:w="1150" w:type="dxa"/>
            <w:tcBorders>
              <w:top w:val="single" w:color="auto" w:sz="4" w:space="0"/>
              <w:left w:val="single" w:color="auto" w:sz="4" w:space="0"/>
              <w:right w:val="single" w:color="auto" w:sz="4" w:space="0"/>
            </w:tcBorders>
            <w:vAlign w:val="center"/>
          </w:tcPr>
          <w:p w14:paraId="0AA38914">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color w:val="auto"/>
                <w:kern w:val="0"/>
                <w:sz w:val="21"/>
                <w:szCs w:val="21"/>
                <w:vertAlign w:val="baseline"/>
                <w:lang w:val="en-US" w:eastAsia="zh-CN" w:bidi="zh-CN"/>
              </w:rPr>
            </w:pPr>
            <w:r>
              <w:rPr>
                <w:rFonts w:hint="eastAsia" w:cs="Times New Roman"/>
                <w:b w:val="0"/>
                <w:bCs w:val="0"/>
                <w:color w:val="auto"/>
                <w:kern w:val="0"/>
                <w:sz w:val="21"/>
                <w:szCs w:val="21"/>
                <w:vertAlign w:val="baseline"/>
                <w:lang w:val="en-US" w:eastAsia="zh-CN" w:bidi="zh-CN"/>
              </w:rPr>
              <w:t>生活污水</w:t>
            </w:r>
          </w:p>
        </w:tc>
        <w:tc>
          <w:tcPr>
            <w:tcW w:w="1131" w:type="dxa"/>
            <w:tcBorders>
              <w:top w:val="single" w:color="auto" w:sz="4" w:space="0"/>
              <w:left w:val="single" w:color="auto" w:sz="4" w:space="0"/>
              <w:right w:val="single" w:color="auto" w:sz="4" w:space="0"/>
            </w:tcBorders>
            <w:vAlign w:val="center"/>
          </w:tcPr>
          <w:p w14:paraId="4B5F5219">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color w:val="auto"/>
                <w:kern w:val="0"/>
                <w:sz w:val="21"/>
                <w:szCs w:val="21"/>
                <w:vertAlign w:val="baseline"/>
                <w:lang w:val="en-US" w:eastAsia="zh-CN" w:bidi="zh-CN"/>
              </w:rPr>
            </w:pPr>
            <w:r>
              <w:rPr>
                <w:rFonts w:hint="default" w:ascii="Times New Roman" w:hAnsi="Times New Roman" w:eastAsia="宋体" w:cs="Times New Roman"/>
                <w:color w:val="auto"/>
                <w:sz w:val="18"/>
                <w:szCs w:val="18"/>
              </w:rPr>
              <w:t>COD、SS、氨氮、总磷、总氮</w:t>
            </w:r>
          </w:p>
        </w:tc>
        <w:tc>
          <w:tcPr>
            <w:tcW w:w="1749" w:type="dxa"/>
            <w:tcBorders>
              <w:top w:val="single" w:color="auto" w:sz="4" w:space="0"/>
              <w:left w:val="single" w:color="auto" w:sz="4" w:space="0"/>
              <w:bottom w:val="single" w:color="auto" w:sz="4" w:space="0"/>
              <w:right w:val="single" w:color="auto" w:sz="4" w:space="0"/>
            </w:tcBorders>
            <w:vAlign w:val="center"/>
          </w:tcPr>
          <w:p w14:paraId="784CEB86">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18"/>
                <w:szCs w:val="18"/>
              </w:rPr>
              <w:t>化粪池</w:t>
            </w:r>
            <w:r>
              <w:rPr>
                <w:rFonts w:hint="default" w:ascii="Times New Roman" w:hAnsi="Times New Roman" w:eastAsia="宋体" w:cs="Times New Roman"/>
                <w:color w:val="auto"/>
                <w:sz w:val="18"/>
                <w:szCs w:val="18"/>
                <w:lang w:val="en-US" w:eastAsia="zh-CN"/>
              </w:rPr>
              <w:t>1座</w:t>
            </w:r>
          </w:p>
        </w:tc>
        <w:tc>
          <w:tcPr>
            <w:tcW w:w="2443" w:type="dxa"/>
            <w:tcBorders>
              <w:top w:val="single" w:color="auto" w:sz="4" w:space="0"/>
              <w:left w:val="single" w:color="auto" w:sz="4" w:space="0"/>
              <w:right w:val="single" w:color="auto" w:sz="8" w:space="0"/>
            </w:tcBorders>
            <w:vAlign w:val="center"/>
          </w:tcPr>
          <w:p w14:paraId="58ACCED6">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eastAsia="zh-CN"/>
              </w:rPr>
              <w:t>新渡片区</w:t>
            </w:r>
            <w:r>
              <w:rPr>
                <w:rFonts w:hint="default" w:ascii="Times New Roman" w:hAnsi="Times New Roman" w:eastAsia="宋体" w:cs="Times New Roman"/>
                <w:color w:val="auto"/>
                <w:sz w:val="21"/>
                <w:szCs w:val="21"/>
              </w:rPr>
              <w:t>污水处理厂接管标准</w:t>
            </w:r>
          </w:p>
        </w:tc>
      </w:tr>
      <w:tr w14:paraId="565AC6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021" w:type="dxa"/>
            <w:tcBorders>
              <w:top w:val="single" w:color="auto" w:sz="4" w:space="0"/>
              <w:left w:val="single" w:color="auto" w:sz="8" w:space="0"/>
              <w:bottom w:val="single" w:color="auto" w:sz="4" w:space="0"/>
              <w:right w:val="single" w:color="auto" w:sz="4" w:space="0"/>
            </w:tcBorders>
            <w:vAlign w:val="center"/>
          </w:tcPr>
          <w:p w14:paraId="513AFE3C">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声环境</w:t>
            </w:r>
          </w:p>
        </w:tc>
        <w:tc>
          <w:tcPr>
            <w:tcW w:w="1406" w:type="dxa"/>
            <w:gridSpan w:val="2"/>
            <w:tcBorders>
              <w:top w:val="single" w:color="auto" w:sz="4" w:space="0"/>
              <w:left w:val="single" w:color="auto" w:sz="4" w:space="0"/>
              <w:bottom w:val="single" w:color="auto" w:sz="4" w:space="0"/>
              <w:right w:val="single" w:color="auto" w:sz="4" w:space="0"/>
            </w:tcBorders>
            <w:vAlign w:val="center"/>
          </w:tcPr>
          <w:p w14:paraId="31C5B517">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生产设备、废气处理风机等</w:t>
            </w:r>
          </w:p>
        </w:tc>
        <w:tc>
          <w:tcPr>
            <w:tcW w:w="2281" w:type="dxa"/>
            <w:gridSpan w:val="2"/>
            <w:tcBorders>
              <w:top w:val="single" w:color="auto" w:sz="4" w:space="0"/>
              <w:left w:val="single" w:color="auto" w:sz="4" w:space="0"/>
              <w:bottom w:val="single" w:color="auto" w:sz="4" w:space="0"/>
              <w:right w:val="single" w:color="auto" w:sz="4" w:space="0"/>
            </w:tcBorders>
            <w:vAlign w:val="center"/>
          </w:tcPr>
          <w:p w14:paraId="0105E317">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噪声</w:t>
            </w:r>
          </w:p>
        </w:tc>
        <w:tc>
          <w:tcPr>
            <w:tcW w:w="1749" w:type="dxa"/>
            <w:tcBorders>
              <w:top w:val="single" w:color="auto" w:sz="4" w:space="0"/>
              <w:left w:val="single" w:color="auto" w:sz="4" w:space="0"/>
              <w:bottom w:val="single" w:color="auto" w:sz="4" w:space="0"/>
              <w:right w:val="single" w:color="auto" w:sz="4" w:space="0"/>
            </w:tcBorders>
            <w:vAlign w:val="center"/>
          </w:tcPr>
          <w:p w14:paraId="2700BEB5">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合理布局，隔声减振</w:t>
            </w:r>
          </w:p>
        </w:tc>
        <w:tc>
          <w:tcPr>
            <w:tcW w:w="2443" w:type="dxa"/>
            <w:tcBorders>
              <w:top w:val="single" w:color="auto" w:sz="4" w:space="0"/>
              <w:left w:val="single" w:color="auto" w:sz="4" w:space="0"/>
              <w:bottom w:val="single" w:color="auto" w:sz="4" w:space="0"/>
              <w:right w:val="single" w:color="auto" w:sz="8" w:space="0"/>
            </w:tcBorders>
            <w:vAlign w:val="center"/>
          </w:tcPr>
          <w:p w14:paraId="3C53C040">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《工业企业厂界环境噪声排放标准》（GB12348-2008）</w:t>
            </w:r>
            <w:r>
              <w:rPr>
                <w:rFonts w:hint="default" w:ascii="Times New Roman" w:hAnsi="Times New Roman" w:eastAsia="宋体" w:cs="Times New Roman"/>
                <w:color w:val="auto"/>
                <w:sz w:val="21"/>
                <w:szCs w:val="21"/>
                <w:lang w:val="en-US" w:eastAsia="zh-CN"/>
              </w:rPr>
              <w:t>3</w:t>
            </w:r>
            <w:r>
              <w:rPr>
                <w:rFonts w:hint="default" w:ascii="Times New Roman" w:hAnsi="Times New Roman" w:eastAsia="宋体" w:cs="Times New Roman"/>
                <w:color w:val="auto"/>
                <w:sz w:val="21"/>
                <w:szCs w:val="21"/>
              </w:rPr>
              <w:t>类</w:t>
            </w:r>
            <w:r>
              <w:rPr>
                <w:rFonts w:hint="eastAsia" w:cs="Times New Roman"/>
                <w:color w:val="auto"/>
                <w:sz w:val="21"/>
                <w:szCs w:val="21"/>
                <w:lang w:eastAsia="zh-CN"/>
              </w:rPr>
              <w:t>标准</w:t>
            </w:r>
          </w:p>
        </w:tc>
      </w:tr>
      <w:tr w14:paraId="75B5C6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05" w:hRule="atLeast"/>
          <w:jc w:val="center"/>
        </w:trPr>
        <w:tc>
          <w:tcPr>
            <w:tcW w:w="1021" w:type="dxa"/>
            <w:tcBorders>
              <w:top w:val="single" w:color="auto" w:sz="4" w:space="0"/>
              <w:left w:val="single" w:color="auto" w:sz="8" w:space="0"/>
              <w:bottom w:val="single" w:color="auto" w:sz="4" w:space="0"/>
              <w:right w:val="single" w:color="auto" w:sz="4" w:space="0"/>
            </w:tcBorders>
            <w:vAlign w:val="center"/>
          </w:tcPr>
          <w:p w14:paraId="160962DD">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电磁辐射</w:t>
            </w:r>
          </w:p>
        </w:tc>
        <w:tc>
          <w:tcPr>
            <w:tcW w:w="1406" w:type="dxa"/>
            <w:gridSpan w:val="2"/>
            <w:tcBorders>
              <w:top w:val="single" w:color="auto" w:sz="4" w:space="0"/>
              <w:left w:val="single" w:color="auto" w:sz="4" w:space="0"/>
              <w:bottom w:val="single" w:color="auto" w:sz="4" w:space="0"/>
              <w:right w:val="single" w:color="auto" w:sz="4" w:space="0"/>
            </w:tcBorders>
            <w:vAlign w:val="center"/>
          </w:tcPr>
          <w:p w14:paraId="4AA1C6B4">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w:t>
            </w:r>
          </w:p>
        </w:tc>
        <w:tc>
          <w:tcPr>
            <w:tcW w:w="2281" w:type="dxa"/>
            <w:gridSpan w:val="2"/>
            <w:tcBorders>
              <w:top w:val="single" w:color="auto" w:sz="4" w:space="0"/>
              <w:left w:val="single" w:color="auto" w:sz="4" w:space="0"/>
              <w:bottom w:val="single" w:color="auto" w:sz="4" w:space="0"/>
              <w:right w:val="single" w:color="auto" w:sz="4" w:space="0"/>
            </w:tcBorders>
            <w:vAlign w:val="center"/>
          </w:tcPr>
          <w:p w14:paraId="58361EC2">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w:t>
            </w:r>
          </w:p>
        </w:tc>
        <w:tc>
          <w:tcPr>
            <w:tcW w:w="1749" w:type="dxa"/>
            <w:tcBorders>
              <w:top w:val="single" w:color="auto" w:sz="4" w:space="0"/>
              <w:left w:val="single" w:color="auto" w:sz="4" w:space="0"/>
              <w:bottom w:val="single" w:color="auto" w:sz="4" w:space="0"/>
              <w:right w:val="single" w:color="auto" w:sz="4" w:space="0"/>
            </w:tcBorders>
            <w:vAlign w:val="center"/>
          </w:tcPr>
          <w:p w14:paraId="3891CDE5">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w:t>
            </w:r>
          </w:p>
        </w:tc>
        <w:tc>
          <w:tcPr>
            <w:tcW w:w="2443" w:type="dxa"/>
            <w:tcBorders>
              <w:top w:val="single" w:color="auto" w:sz="4" w:space="0"/>
              <w:left w:val="single" w:color="auto" w:sz="4" w:space="0"/>
              <w:bottom w:val="single" w:color="auto" w:sz="4" w:space="0"/>
              <w:right w:val="single" w:color="auto" w:sz="8" w:space="0"/>
            </w:tcBorders>
            <w:vAlign w:val="center"/>
          </w:tcPr>
          <w:p w14:paraId="7846D02B">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w:t>
            </w:r>
          </w:p>
        </w:tc>
      </w:tr>
      <w:tr w14:paraId="4B2F72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021" w:type="dxa"/>
            <w:vMerge w:val="restart"/>
            <w:tcBorders>
              <w:top w:val="single" w:color="auto" w:sz="4" w:space="0"/>
              <w:left w:val="single" w:color="auto" w:sz="8" w:space="0"/>
              <w:right w:val="single" w:color="auto" w:sz="4" w:space="0"/>
            </w:tcBorders>
            <w:vAlign w:val="center"/>
          </w:tcPr>
          <w:p w14:paraId="3E3CD1BC">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21"/>
                <w:szCs w:val="21"/>
                <w:lang w:eastAsia="zh-CN"/>
              </w:rPr>
            </w:pPr>
            <w:r>
              <w:rPr>
                <w:rFonts w:hint="default" w:ascii="Times New Roman" w:hAnsi="Times New Roman" w:eastAsia="宋体" w:cs="Times New Roman"/>
                <w:b/>
                <w:color w:val="auto"/>
                <w:sz w:val="21"/>
                <w:szCs w:val="21"/>
                <w:lang w:eastAsia="zh-CN"/>
              </w:rPr>
              <w:t>固体废物</w:t>
            </w:r>
          </w:p>
        </w:tc>
        <w:tc>
          <w:tcPr>
            <w:tcW w:w="1406" w:type="dxa"/>
            <w:gridSpan w:val="2"/>
            <w:tcBorders>
              <w:top w:val="single" w:color="auto" w:sz="4" w:space="0"/>
              <w:left w:val="single" w:color="auto" w:sz="4" w:space="0"/>
              <w:right w:val="single" w:color="auto" w:sz="4" w:space="0"/>
            </w:tcBorders>
            <w:vAlign w:val="center"/>
          </w:tcPr>
          <w:p w14:paraId="1344BB97">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一般工业固废</w:t>
            </w:r>
          </w:p>
        </w:tc>
        <w:tc>
          <w:tcPr>
            <w:tcW w:w="2281" w:type="dxa"/>
            <w:gridSpan w:val="2"/>
            <w:tcBorders>
              <w:top w:val="single" w:color="auto" w:sz="4" w:space="0"/>
              <w:left w:val="single" w:color="auto" w:sz="4" w:space="0"/>
              <w:right w:val="single" w:color="auto" w:sz="4" w:space="0"/>
            </w:tcBorders>
            <w:vAlign w:val="center"/>
          </w:tcPr>
          <w:p w14:paraId="0E136BE1">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lang w:val="en-US"/>
              </w:rPr>
            </w:pPr>
            <w:r>
              <w:rPr>
                <w:rFonts w:hint="default" w:ascii="Times New Roman" w:hAnsi="Times New Roman" w:eastAsia="宋体" w:cs="Times New Roman"/>
                <w:color w:val="auto"/>
                <w:sz w:val="21"/>
                <w:szCs w:val="21"/>
                <w:lang w:val="en-US" w:eastAsia="zh-CN"/>
              </w:rPr>
              <w:t>边角料、除尘灰、不合格品</w:t>
            </w:r>
          </w:p>
        </w:tc>
        <w:tc>
          <w:tcPr>
            <w:tcW w:w="1749" w:type="dxa"/>
            <w:tcBorders>
              <w:top w:val="single" w:color="auto" w:sz="4" w:space="0"/>
              <w:left w:val="single" w:color="auto" w:sz="4" w:space="0"/>
              <w:right w:val="single" w:color="auto" w:sz="4" w:space="0"/>
            </w:tcBorders>
            <w:vAlign w:val="center"/>
          </w:tcPr>
          <w:p w14:paraId="79AF7A9A">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rPr>
              <w:t>1座</w:t>
            </w:r>
            <w:r>
              <w:rPr>
                <w:rFonts w:hint="eastAsia" w:cs="Times New Roman"/>
                <w:color w:val="auto"/>
                <w:sz w:val="21"/>
                <w:szCs w:val="21"/>
                <w:lang w:val="en-US" w:eastAsia="zh-CN"/>
              </w:rPr>
              <w:t>5</w:t>
            </w:r>
            <w:r>
              <w:rPr>
                <w:rFonts w:hint="default" w:ascii="Times New Roman" w:hAnsi="Times New Roman" w:eastAsia="宋体" w:cs="Times New Roman"/>
                <w:color w:val="auto"/>
                <w:sz w:val="21"/>
                <w:szCs w:val="21"/>
              </w:rPr>
              <w:t>m</w:t>
            </w:r>
            <w:r>
              <w:rPr>
                <w:rFonts w:hint="default" w:ascii="Times New Roman" w:hAnsi="Times New Roman" w:eastAsia="宋体" w:cs="Times New Roman"/>
                <w:color w:val="auto"/>
                <w:sz w:val="21"/>
                <w:szCs w:val="21"/>
                <w:vertAlign w:val="superscript"/>
              </w:rPr>
              <w:t>2</w:t>
            </w:r>
            <w:r>
              <w:rPr>
                <w:rFonts w:hint="default" w:ascii="Times New Roman" w:hAnsi="Times New Roman" w:eastAsia="宋体" w:cs="Times New Roman"/>
                <w:color w:val="auto"/>
                <w:sz w:val="21"/>
                <w:szCs w:val="21"/>
              </w:rPr>
              <w:t>一般</w:t>
            </w:r>
            <w:r>
              <w:rPr>
                <w:rFonts w:hint="default" w:ascii="Times New Roman" w:hAnsi="Times New Roman" w:eastAsia="宋体" w:cs="Times New Roman"/>
                <w:color w:val="auto"/>
                <w:sz w:val="21"/>
                <w:szCs w:val="21"/>
                <w:lang w:val="en-US" w:eastAsia="zh-CN"/>
              </w:rPr>
              <w:t>工业</w:t>
            </w:r>
            <w:r>
              <w:rPr>
                <w:rFonts w:hint="default" w:ascii="Times New Roman" w:hAnsi="Times New Roman" w:eastAsia="宋体" w:cs="Times New Roman"/>
                <w:color w:val="auto"/>
                <w:sz w:val="21"/>
                <w:szCs w:val="21"/>
              </w:rPr>
              <w:t>固废</w:t>
            </w:r>
            <w:r>
              <w:rPr>
                <w:rFonts w:hint="default" w:ascii="Times New Roman" w:hAnsi="Times New Roman" w:eastAsia="宋体" w:cs="Times New Roman"/>
                <w:color w:val="auto"/>
                <w:sz w:val="21"/>
                <w:szCs w:val="21"/>
                <w:lang w:eastAsia="zh-CN"/>
              </w:rPr>
              <w:t>仓</w:t>
            </w:r>
            <w:r>
              <w:rPr>
                <w:rFonts w:hint="default" w:ascii="Times New Roman" w:hAnsi="Times New Roman" w:eastAsia="宋体" w:cs="Times New Roman"/>
                <w:color w:val="auto"/>
                <w:sz w:val="21"/>
                <w:szCs w:val="21"/>
                <w:lang w:val="en-US" w:eastAsia="zh-CN"/>
              </w:rPr>
              <w:t>库暂存库，边角料、除尘灰外售</w:t>
            </w:r>
            <w:r>
              <w:rPr>
                <w:rFonts w:hint="eastAsia" w:cs="Times New Roman"/>
                <w:color w:val="auto"/>
                <w:sz w:val="21"/>
                <w:szCs w:val="21"/>
                <w:lang w:val="en-US" w:eastAsia="zh-CN"/>
              </w:rPr>
              <w:t>有资质的单位</w:t>
            </w:r>
            <w:r>
              <w:rPr>
                <w:rFonts w:hint="default" w:ascii="Times New Roman" w:hAnsi="Times New Roman" w:eastAsia="宋体" w:cs="Times New Roman"/>
                <w:color w:val="auto"/>
                <w:sz w:val="21"/>
                <w:szCs w:val="21"/>
                <w:lang w:val="en-US" w:eastAsia="zh-CN"/>
              </w:rPr>
              <w:t>综合利用或处置，不合格品</w:t>
            </w:r>
            <w:r>
              <w:rPr>
                <w:rFonts w:hint="eastAsia" w:cs="Times New Roman"/>
                <w:color w:val="auto"/>
                <w:sz w:val="21"/>
                <w:szCs w:val="21"/>
                <w:lang w:val="en-US" w:eastAsia="zh-CN"/>
              </w:rPr>
              <w:t>本厂区</w:t>
            </w:r>
            <w:r>
              <w:rPr>
                <w:rFonts w:hint="default" w:ascii="Times New Roman" w:hAnsi="Times New Roman" w:eastAsia="宋体" w:cs="Times New Roman"/>
                <w:color w:val="auto"/>
                <w:sz w:val="21"/>
                <w:szCs w:val="21"/>
                <w:lang w:val="en-US" w:eastAsia="zh-CN"/>
              </w:rPr>
              <w:t>生产线回用</w:t>
            </w:r>
          </w:p>
        </w:tc>
        <w:tc>
          <w:tcPr>
            <w:tcW w:w="2443" w:type="dxa"/>
            <w:tcBorders>
              <w:top w:val="single" w:color="auto" w:sz="4" w:space="0"/>
              <w:left w:val="single" w:color="auto" w:sz="4" w:space="0"/>
              <w:right w:val="single" w:color="auto" w:sz="8" w:space="0"/>
            </w:tcBorders>
            <w:vAlign w:val="center"/>
          </w:tcPr>
          <w:p w14:paraId="6A131A6C">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《一般工业固体废物贮存和填埋污染控制标准》（GB18599-2020）</w:t>
            </w:r>
          </w:p>
        </w:tc>
      </w:tr>
      <w:tr w14:paraId="5CCACD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021" w:type="dxa"/>
            <w:vMerge w:val="continue"/>
            <w:tcBorders>
              <w:left w:val="single" w:color="auto" w:sz="8" w:space="0"/>
              <w:right w:val="single" w:color="auto" w:sz="4" w:space="0"/>
            </w:tcBorders>
            <w:vAlign w:val="center"/>
          </w:tcPr>
          <w:p w14:paraId="71D19F64">
            <w:pPr>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21"/>
                <w:szCs w:val="21"/>
                <w:lang w:eastAsia="zh-CN"/>
              </w:rPr>
            </w:pPr>
          </w:p>
        </w:tc>
        <w:tc>
          <w:tcPr>
            <w:tcW w:w="3687" w:type="dxa"/>
            <w:gridSpan w:val="4"/>
            <w:tcBorders>
              <w:top w:val="single" w:color="auto" w:sz="4" w:space="0"/>
              <w:left w:val="single" w:color="auto" w:sz="4" w:space="0"/>
              <w:right w:val="single" w:color="auto" w:sz="4" w:space="0"/>
            </w:tcBorders>
            <w:vAlign w:val="center"/>
          </w:tcPr>
          <w:p w14:paraId="19B1A081">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生活垃圾</w:t>
            </w:r>
          </w:p>
        </w:tc>
        <w:tc>
          <w:tcPr>
            <w:tcW w:w="1749" w:type="dxa"/>
            <w:tcBorders>
              <w:top w:val="single" w:color="auto" w:sz="4" w:space="0"/>
              <w:left w:val="single" w:color="auto" w:sz="4" w:space="0"/>
              <w:right w:val="single" w:color="auto" w:sz="4" w:space="0"/>
            </w:tcBorders>
            <w:vAlign w:val="center"/>
          </w:tcPr>
          <w:p w14:paraId="34F4DC1D">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color w:val="auto"/>
                <w:sz w:val="21"/>
                <w:szCs w:val="21"/>
                <w:lang w:eastAsia="zh-CN"/>
              </w:rPr>
            </w:pPr>
            <w:r>
              <w:rPr>
                <w:rFonts w:hint="eastAsia" w:cs="Times New Roman"/>
                <w:color w:val="auto"/>
                <w:sz w:val="21"/>
                <w:szCs w:val="21"/>
                <w:lang w:eastAsia="zh-CN"/>
              </w:rPr>
              <w:t>环卫清运</w:t>
            </w:r>
          </w:p>
        </w:tc>
        <w:tc>
          <w:tcPr>
            <w:tcW w:w="2443" w:type="dxa"/>
            <w:tcBorders>
              <w:top w:val="single" w:color="auto" w:sz="4" w:space="0"/>
              <w:left w:val="single" w:color="auto" w:sz="4" w:space="0"/>
              <w:right w:val="single" w:color="auto" w:sz="8" w:space="0"/>
            </w:tcBorders>
            <w:vAlign w:val="center"/>
          </w:tcPr>
          <w:p w14:paraId="25828DF6">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《城市生活垃圾管理办法》（住房和城乡建设部令第24号，2015年5月4日修正）</w:t>
            </w:r>
          </w:p>
        </w:tc>
      </w:tr>
      <w:tr w14:paraId="6C66E0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750" w:hRule="atLeast"/>
          <w:jc w:val="center"/>
        </w:trPr>
        <w:tc>
          <w:tcPr>
            <w:tcW w:w="1021" w:type="dxa"/>
            <w:tcBorders>
              <w:top w:val="single" w:color="auto" w:sz="4" w:space="0"/>
              <w:left w:val="single" w:color="auto" w:sz="8" w:space="0"/>
              <w:bottom w:val="single" w:color="auto" w:sz="4" w:space="0"/>
              <w:right w:val="single" w:color="auto" w:sz="4" w:space="0"/>
            </w:tcBorders>
            <w:vAlign w:val="center"/>
          </w:tcPr>
          <w:p w14:paraId="065EF496">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土壤及地下水污染防治措施</w:t>
            </w:r>
          </w:p>
        </w:tc>
        <w:tc>
          <w:tcPr>
            <w:tcW w:w="7879" w:type="dxa"/>
            <w:gridSpan w:val="6"/>
            <w:tcBorders>
              <w:top w:val="single" w:color="auto" w:sz="4" w:space="0"/>
              <w:left w:val="single" w:color="auto" w:sz="4" w:space="0"/>
              <w:bottom w:val="single" w:color="auto" w:sz="4" w:space="0"/>
              <w:right w:val="single" w:color="auto" w:sz="8" w:space="0"/>
            </w:tcBorders>
            <w:vAlign w:val="center"/>
          </w:tcPr>
          <w:p w14:paraId="53956529">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生产</w:t>
            </w:r>
            <w:r>
              <w:rPr>
                <w:rFonts w:hint="default" w:ascii="Times New Roman" w:hAnsi="Times New Roman" w:eastAsia="宋体" w:cs="Times New Roman"/>
                <w:color w:val="auto"/>
                <w:sz w:val="21"/>
                <w:szCs w:val="21"/>
                <w:lang w:val="en-US" w:eastAsia="zh-CN"/>
              </w:rPr>
              <w:t>厂房</w:t>
            </w:r>
            <w:r>
              <w:rPr>
                <w:rFonts w:hint="eastAsia" w:ascii="Times New Roman" w:hAnsi="Times New Roman" w:eastAsia="宋体" w:cs="Times New Roman"/>
                <w:color w:val="auto"/>
                <w:sz w:val="21"/>
                <w:szCs w:val="21"/>
                <w:lang w:val="en-US" w:eastAsia="zh-CN"/>
              </w:rPr>
              <w:t>、一般工业固废仓库及物料仓储区设置规范化防渗漏措施，满足相应防渗技术要求。</w:t>
            </w:r>
          </w:p>
        </w:tc>
      </w:tr>
      <w:tr w14:paraId="5C9F05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021" w:type="dxa"/>
            <w:tcBorders>
              <w:top w:val="single" w:color="auto" w:sz="4" w:space="0"/>
              <w:left w:val="single" w:color="auto" w:sz="8" w:space="0"/>
              <w:bottom w:val="single" w:color="auto" w:sz="4" w:space="0"/>
              <w:right w:val="single" w:color="auto" w:sz="4" w:space="0"/>
            </w:tcBorders>
            <w:vAlign w:val="center"/>
          </w:tcPr>
          <w:p w14:paraId="1B1D01DD">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生态保护措施</w:t>
            </w:r>
          </w:p>
        </w:tc>
        <w:tc>
          <w:tcPr>
            <w:tcW w:w="7879" w:type="dxa"/>
            <w:gridSpan w:val="6"/>
            <w:tcBorders>
              <w:top w:val="single" w:color="auto" w:sz="4" w:space="0"/>
              <w:left w:val="single" w:color="auto" w:sz="4" w:space="0"/>
              <w:bottom w:val="single" w:color="auto" w:sz="4" w:space="0"/>
              <w:right w:val="single" w:color="auto" w:sz="8" w:space="0"/>
            </w:tcBorders>
            <w:vAlign w:val="center"/>
          </w:tcPr>
          <w:p w14:paraId="18267687">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项目</w:t>
            </w:r>
            <w:r>
              <w:rPr>
                <w:rFonts w:hint="default" w:ascii="Times New Roman" w:hAnsi="Times New Roman" w:eastAsia="宋体" w:cs="Times New Roman"/>
                <w:color w:val="auto"/>
                <w:sz w:val="21"/>
                <w:szCs w:val="21"/>
              </w:rPr>
              <w:t>建成后，产生的污染经采用适当的污染防治措施实现达标排放，对区域的生态环境影响</w:t>
            </w:r>
            <w:r>
              <w:rPr>
                <w:rFonts w:hint="default" w:ascii="Times New Roman" w:hAnsi="Times New Roman" w:eastAsia="宋体" w:cs="Times New Roman"/>
                <w:color w:val="auto"/>
                <w:sz w:val="21"/>
                <w:szCs w:val="21"/>
                <w:lang w:eastAsia="zh-CN"/>
              </w:rPr>
              <w:t>甚微</w:t>
            </w:r>
            <w:r>
              <w:rPr>
                <w:rFonts w:hint="default" w:ascii="Times New Roman" w:hAnsi="Times New Roman" w:eastAsia="宋体" w:cs="Times New Roman"/>
                <w:color w:val="auto"/>
                <w:sz w:val="21"/>
                <w:szCs w:val="21"/>
              </w:rPr>
              <w:t>。</w:t>
            </w:r>
          </w:p>
        </w:tc>
      </w:tr>
      <w:tr w14:paraId="7E108B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749" w:hRule="atLeast"/>
          <w:jc w:val="center"/>
        </w:trPr>
        <w:tc>
          <w:tcPr>
            <w:tcW w:w="1021" w:type="dxa"/>
            <w:tcBorders>
              <w:top w:val="single" w:color="auto" w:sz="4" w:space="0"/>
              <w:left w:val="single" w:color="auto" w:sz="8" w:space="0"/>
              <w:bottom w:val="single" w:color="auto" w:sz="4" w:space="0"/>
              <w:right w:val="single" w:color="auto" w:sz="4" w:space="0"/>
            </w:tcBorders>
            <w:vAlign w:val="center"/>
          </w:tcPr>
          <w:p w14:paraId="335AB68E">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环境风险防范措施</w:t>
            </w:r>
          </w:p>
        </w:tc>
        <w:tc>
          <w:tcPr>
            <w:tcW w:w="7879" w:type="dxa"/>
            <w:gridSpan w:val="6"/>
            <w:tcBorders>
              <w:top w:val="single" w:color="auto" w:sz="4" w:space="0"/>
              <w:left w:val="single" w:color="auto" w:sz="4" w:space="0"/>
              <w:bottom w:val="single" w:color="auto" w:sz="4" w:space="0"/>
              <w:right w:val="single" w:color="auto" w:sz="8" w:space="0"/>
            </w:tcBorders>
            <w:vAlign w:val="center"/>
          </w:tcPr>
          <w:p w14:paraId="457394E9">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平时加强废气处理设施的维护保养，定期检查废气处理装置，及时发现处理设备的隐患，确保废气处理系统正常运行。</w:t>
            </w:r>
          </w:p>
        </w:tc>
      </w:tr>
      <w:tr w14:paraId="0C49D5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021" w:type="dxa"/>
            <w:tcBorders>
              <w:top w:val="single" w:color="auto" w:sz="4" w:space="0"/>
              <w:left w:val="single" w:color="auto" w:sz="8" w:space="0"/>
              <w:bottom w:val="single" w:color="auto" w:sz="8" w:space="0"/>
              <w:right w:val="single" w:color="auto" w:sz="4" w:space="0"/>
            </w:tcBorders>
            <w:vAlign w:val="center"/>
          </w:tcPr>
          <w:p w14:paraId="3790FF88">
            <w:pPr>
              <w:keepNext w:val="0"/>
              <w:keepLines w:val="0"/>
              <w:pageBreakBefore w:val="0"/>
              <w:suppressLineNumbers w:val="0"/>
              <w:kinsoku/>
              <w:wordWrap/>
              <w:overflowPunct/>
              <w:topLinePunct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color w:val="auto"/>
                <w:spacing w:val="-8"/>
                <w:sz w:val="21"/>
                <w:szCs w:val="21"/>
              </w:rPr>
            </w:pPr>
            <w:r>
              <w:rPr>
                <w:rFonts w:hint="default" w:ascii="Times New Roman" w:hAnsi="Times New Roman" w:eastAsia="宋体" w:cs="Times New Roman"/>
                <w:b/>
                <w:color w:val="auto"/>
                <w:spacing w:val="-8"/>
                <w:sz w:val="21"/>
                <w:szCs w:val="21"/>
              </w:rPr>
              <w:t>其他环境管理要求</w:t>
            </w:r>
          </w:p>
        </w:tc>
        <w:tc>
          <w:tcPr>
            <w:tcW w:w="7879" w:type="dxa"/>
            <w:gridSpan w:val="6"/>
            <w:tcBorders>
              <w:top w:val="single" w:color="auto" w:sz="4" w:space="0"/>
              <w:left w:val="single" w:color="auto" w:sz="4" w:space="0"/>
              <w:bottom w:val="single" w:color="auto" w:sz="8" w:space="0"/>
              <w:right w:val="single" w:color="auto" w:sz="8" w:space="0"/>
            </w:tcBorders>
            <w:vAlign w:val="center"/>
          </w:tcPr>
          <w:p w14:paraId="2AED8387">
            <w:pPr>
              <w:keepNext w:val="0"/>
              <w:keepLines w:val="0"/>
              <w:pageBreakBefore w:val="0"/>
              <w:widowControl w:val="0"/>
              <w:suppressLineNumbers w:val="0"/>
              <w:kinsoku/>
              <w:wordWrap/>
              <w:overflowPunct/>
              <w:topLinePunct w:val="0"/>
              <w:autoSpaceDE w:val="0"/>
              <w:autoSpaceDN w:val="0"/>
              <w:bidi w:val="0"/>
              <w:adjustRightInd w:val="0"/>
              <w:snapToGrid w:val="0"/>
              <w:spacing w:before="0" w:beforeLines="0" w:beforeAutospacing="0" w:after="0" w:afterAutospacing="0" w:line="240" w:lineRule="auto"/>
              <w:ind w:left="0" w:right="0" w:firstLine="0" w:firstLineChars="0"/>
              <w:jc w:val="both"/>
              <w:textAlignment w:val="auto"/>
              <w:outlineLvl w:val="9"/>
              <w:rPr>
                <w:rFonts w:hint="default" w:ascii="Times New Roman" w:hAnsi="Times New Roman" w:eastAsia="宋体" w:cs="Times New Roman"/>
                <w:b/>
                <w:color w:val="auto"/>
                <w:kern w:val="2"/>
                <w:sz w:val="21"/>
                <w:szCs w:val="21"/>
                <w:lang w:val="en-US" w:eastAsia="zh-CN" w:bidi="ar-SA"/>
              </w:rPr>
            </w:pPr>
          </w:p>
        </w:tc>
      </w:tr>
    </w:tbl>
    <w:p w14:paraId="18721F52">
      <w:pPr>
        <w:numPr>
          <w:ilvl w:val="0"/>
          <w:numId w:val="0"/>
        </w:numPr>
        <w:ind w:leftChars="0"/>
        <w:rPr>
          <w:rFonts w:hint="default" w:ascii="Times New Roman" w:hAnsi="Times New Roman" w:eastAsia="宋体" w:cs="Times New Roman"/>
          <w:color w:val="auto"/>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4985D1E9">
      <w:pPr>
        <w:numPr>
          <w:ilvl w:val="0"/>
          <w:numId w:val="0"/>
        </w:numPr>
        <w:spacing w:line="240" w:lineRule="auto"/>
        <w:ind w:firstLine="0" w:firstLineChars="0"/>
        <w:jc w:val="center"/>
        <w:outlineLvl w:val="0"/>
        <w:rPr>
          <w:rFonts w:hint="default" w:ascii="Times New Roman" w:hAnsi="Times New Roman" w:eastAsia="宋体" w:cs="Times New Roman"/>
          <w:b/>
          <w:bCs/>
          <w:color w:val="auto"/>
          <w:sz w:val="28"/>
          <w:szCs w:val="28"/>
          <w:lang w:val="en-US" w:eastAsia="zh-CN"/>
        </w:rPr>
      </w:pPr>
      <w:bookmarkStart w:id="18" w:name="_Toc1497"/>
      <w:bookmarkStart w:id="19" w:name="_Toc31001"/>
      <w:r>
        <w:rPr>
          <w:rFonts w:hint="default" w:ascii="Times New Roman" w:hAnsi="Times New Roman" w:eastAsia="宋体" w:cs="Times New Roman"/>
          <w:b/>
          <w:bCs/>
          <w:color w:val="auto"/>
          <w:kern w:val="2"/>
          <w:sz w:val="28"/>
          <w:szCs w:val="28"/>
          <w:lang w:val="en-US" w:eastAsia="zh-CN" w:bidi="ar-SA"/>
        </w:rPr>
        <w:t>六、</w:t>
      </w:r>
      <w:r>
        <w:rPr>
          <w:rFonts w:hint="default" w:ascii="Times New Roman" w:hAnsi="Times New Roman" w:eastAsia="宋体" w:cs="Times New Roman"/>
          <w:b/>
          <w:bCs/>
          <w:color w:val="auto"/>
          <w:sz w:val="28"/>
          <w:szCs w:val="28"/>
          <w:lang w:val="en-US" w:eastAsia="zh-CN"/>
        </w:rPr>
        <w:t>结论</w:t>
      </w:r>
      <w:bookmarkEnd w:id="18"/>
      <w:bookmarkEnd w:id="19"/>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117CF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14:paraId="2FC0F776">
            <w:pPr>
              <w:keepNext w:val="0"/>
              <w:keepLines w:val="0"/>
              <w:suppressLineNumbers w:val="0"/>
              <w:spacing w:before="0" w:beforeAutospacing="0" w:after="0" w:afterAutospacing="0"/>
              <w:ind w:left="0" w:right="0" w:firstLine="480"/>
              <w:rPr>
                <w:rFonts w:hint="default" w:ascii="Times New Roman" w:hAnsi="Times New Roman" w:eastAsia="宋体" w:cs="Times New Roman"/>
                <w:color w:val="auto"/>
              </w:rPr>
            </w:pPr>
            <w:r>
              <w:rPr>
                <w:rFonts w:hint="eastAsia" w:ascii="Times New Roman" w:hAnsi="Times New Roman" w:eastAsia="宋体" w:cs="Times New Roman"/>
                <w:color w:val="auto"/>
                <w:lang w:val="en-US" w:eastAsia="zh-CN"/>
              </w:rPr>
              <w:t>本</w:t>
            </w:r>
            <w:r>
              <w:rPr>
                <w:rFonts w:hint="default" w:ascii="Times New Roman" w:hAnsi="Times New Roman" w:eastAsia="宋体" w:cs="Times New Roman"/>
                <w:color w:val="auto"/>
                <w:lang w:val="en-US" w:eastAsia="zh-CN"/>
              </w:rPr>
              <w:t>项目属于</w:t>
            </w:r>
            <w:r>
              <w:rPr>
                <w:rFonts w:hint="eastAsia" w:cs="Times New Roman"/>
                <w:color w:val="auto"/>
                <w:lang w:val="en-US" w:eastAsia="zh-CN"/>
              </w:rPr>
              <w:t>耐火材料生产</w:t>
            </w:r>
            <w:r>
              <w:rPr>
                <w:rFonts w:hint="default" w:ascii="Times New Roman" w:hAnsi="Times New Roman" w:eastAsia="宋体" w:cs="Times New Roman"/>
                <w:color w:val="auto"/>
                <w:lang w:val="en-US" w:eastAsia="zh-CN"/>
              </w:rPr>
              <w:t>项目，项目</w:t>
            </w:r>
            <w:r>
              <w:rPr>
                <w:rFonts w:hint="default" w:ascii="Times New Roman" w:hAnsi="Times New Roman" w:eastAsia="宋体" w:cs="Times New Roman"/>
                <w:color w:val="auto"/>
              </w:rPr>
              <w:t>符合国家产业政策，符合</w:t>
            </w:r>
            <w:r>
              <w:rPr>
                <w:rFonts w:hint="default" w:ascii="Times New Roman" w:hAnsi="Times New Roman" w:eastAsia="宋体" w:cs="Times New Roman"/>
                <w:color w:val="auto"/>
                <w:lang w:val="en-US" w:eastAsia="zh-CN"/>
              </w:rPr>
              <w:t>淮安高新技术产业开发区用</w:t>
            </w:r>
            <w:r>
              <w:rPr>
                <w:rFonts w:hint="default" w:ascii="Times New Roman" w:hAnsi="Times New Roman" w:eastAsia="宋体" w:cs="Times New Roman"/>
                <w:color w:val="auto"/>
              </w:rPr>
              <w:t>地规划要求；建设单位在认真落实本报告提出的各项环保措施</w:t>
            </w:r>
            <w:r>
              <w:rPr>
                <w:rFonts w:hint="default" w:ascii="Times New Roman" w:hAnsi="Times New Roman" w:eastAsia="宋体" w:cs="Times New Roman"/>
                <w:color w:val="auto"/>
                <w:lang w:eastAsia="zh-CN"/>
              </w:rPr>
              <w:t>及环境风险防范措施</w:t>
            </w:r>
            <w:r>
              <w:rPr>
                <w:rFonts w:hint="default" w:ascii="Times New Roman" w:hAnsi="Times New Roman" w:eastAsia="宋体" w:cs="Times New Roman"/>
                <w:color w:val="auto"/>
              </w:rPr>
              <w:t>与建议，对预期产生的主要污染物采取切实可行的污染治理措施，确保实现达标排放，最大限度减小对项目所在地环境质量影响的前提下，从环境保护角度论证，在拟建地址建设是可行的。</w:t>
            </w:r>
          </w:p>
          <w:p w14:paraId="104D9848">
            <w:pPr>
              <w:keepNext w:val="0"/>
              <w:keepLines w:val="0"/>
              <w:suppressLineNumbers w:val="0"/>
              <w:spacing w:before="0" w:beforeAutospacing="0" w:after="0" w:afterAutospacing="0"/>
              <w:ind w:left="0" w:right="0" w:firstLine="0" w:firstLineChars="0"/>
              <w:rPr>
                <w:rFonts w:hint="default" w:ascii="Times New Roman" w:hAnsi="Times New Roman" w:eastAsia="宋体" w:cs="Times New Roman"/>
                <w:color w:val="auto"/>
              </w:rPr>
            </w:pPr>
          </w:p>
          <w:p w14:paraId="213208E6">
            <w:pPr>
              <w:keepNext w:val="0"/>
              <w:keepLines w:val="0"/>
              <w:suppressLineNumbers w:val="0"/>
              <w:spacing w:before="0" w:beforeAutospacing="0" w:after="0" w:afterAutospacing="0"/>
              <w:ind w:left="0" w:right="0" w:firstLine="0" w:firstLineChars="0"/>
              <w:rPr>
                <w:rFonts w:hint="default" w:ascii="Times New Roman" w:hAnsi="Times New Roman" w:eastAsia="宋体" w:cs="Times New Roman"/>
                <w:color w:val="auto"/>
              </w:rPr>
            </w:pPr>
          </w:p>
          <w:p w14:paraId="150B66BF">
            <w:pPr>
              <w:keepNext w:val="0"/>
              <w:keepLines w:val="0"/>
              <w:suppressLineNumbers w:val="0"/>
              <w:spacing w:before="0" w:beforeAutospacing="0" w:after="0" w:afterAutospacing="0"/>
              <w:ind w:left="0" w:right="0" w:firstLine="0" w:firstLineChars="0"/>
              <w:rPr>
                <w:rFonts w:hint="default" w:ascii="Times New Roman" w:hAnsi="Times New Roman" w:eastAsia="宋体" w:cs="Times New Roman"/>
                <w:color w:val="auto"/>
              </w:rPr>
            </w:pPr>
          </w:p>
          <w:p w14:paraId="21988CED">
            <w:pPr>
              <w:keepNext w:val="0"/>
              <w:keepLines w:val="0"/>
              <w:suppressLineNumbers w:val="0"/>
              <w:spacing w:before="0" w:beforeAutospacing="0" w:after="0" w:afterAutospacing="0"/>
              <w:ind w:left="0" w:right="0" w:firstLine="0" w:firstLineChars="0"/>
              <w:rPr>
                <w:rFonts w:hint="default" w:ascii="Times New Roman" w:hAnsi="Times New Roman" w:eastAsia="宋体" w:cs="Times New Roman"/>
                <w:color w:val="auto"/>
              </w:rPr>
            </w:pPr>
          </w:p>
          <w:p w14:paraId="2DA63EDF">
            <w:pPr>
              <w:keepNext w:val="0"/>
              <w:keepLines w:val="0"/>
              <w:suppressLineNumbers w:val="0"/>
              <w:spacing w:before="0" w:beforeAutospacing="0" w:after="0" w:afterAutospacing="0"/>
              <w:ind w:left="0" w:right="0" w:firstLine="0" w:firstLineChars="0"/>
              <w:rPr>
                <w:rFonts w:hint="default" w:ascii="Times New Roman" w:hAnsi="Times New Roman" w:eastAsia="宋体" w:cs="Times New Roman"/>
                <w:color w:val="auto"/>
              </w:rPr>
            </w:pPr>
          </w:p>
          <w:p w14:paraId="4EBBFAA0">
            <w:pPr>
              <w:keepNext w:val="0"/>
              <w:keepLines w:val="0"/>
              <w:suppressLineNumbers w:val="0"/>
              <w:spacing w:before="0" w:beforeAutospacing="0" w:after="0" w:afterAutospacing="0"/>
              <w:ind w:left="0" w:right="0" w:firstLine="0" w:firstLineChars="0"/>
              <w:rPr>
                <w:rFonts w:hint="default" w:ascii="Times New Roman" w:hAnsi="Times New Roman" w:eastAsia="宋体" w:cs="Times New Roman"/>
                <w:color w:val="auto"/>
              </w:rPr>
            </w:pPr>
          </w:p>
          <w:p w14:paraId="5A49AC4F">
            <w:pPr>
              <w:keepNext w:val="0"/>
              <w:keepLines w:val="0"/>
              <w:suppressLineNumbers w:val="0"/>
              <w:spacing w:before="0" w:beforeAutospacing="0" w:after="0" w:afterAutospacing="0"/>
              <w:ind w:left="0" w:right="0" w:firstLine="0" w:firstLineChars="0"/>
              <w:rPr>
                <w:rFonts w:hint="default" w:ascii="Times New Roman" w:hAnsi="Times New Roman" w:eastAsia="宋体" w:cs="Times New Roman"/>
                <w:color w:val="auto"/>
              </w:rPr>
            </w:pPr>
          </w:p>
          <w:p w14:paraId="19C23530">
            <w:pPr>
              <w:keepNext w:val="0"/>
              <w:keepLines w:val="0"/>
              <w:suppressLineNumbers w:val="0"/>
              <w:spacing w:before="0" w:beforeAutospacing="0" w:after="0" w:afterAutospacing="0"/>
              <w:ind w:left="0" w:right="0" w:firstLine="0" w:firstLineChars="0"/>
              <w:rPr>
                <w:rFonts w:hint="default" w:ascii="Times New Roman" w:hAnsi="Times New Roman" w:eastAsia="宋体" w:cs="Times New Roman"/>
                <w:color w:val="auto"/>
              </w:rPr>
            </w:pPr>
          </w:p>
          <w:p w14:paraId="64537FE7">
            <w:pPr>
              <w:keepNext w:val="0"/>
              <w:keepLines w:val="0"/>
              <w:suppressLineNumbers w:val="0"/>
              <w:spacing w:before="0" w:beforeAutospacing="0" w:after="0" w:afterAutospacing="0"/>
              <w:ind w:left="0" w:right="0" w:firstLine="0" w:firstLineChars="0"/>
              <w:rPr>
                <w:rFonts w:hint="default" w:ascii="Times New Roman" w:hAnsi="Times New Roman" w:eastAsia="宋体" w:cs="Times New Roman"/>
                <w:color w:val="auto"/>
              </w:rPr>
            </w:pPr>
          </w:p>
          <w:p w14:paraId="4A49983F">
            <w:pPr>
              <w:keepNext w:val="0"/>
              <w:keepLines w:val="0"/>
              <w:suppressLineNumbers w:val="0"/>
              <w:spacing w:before="0" w:beforeAutospacing="0" w:after="0" w:afterAutospacing="0"/>
              <w:ind w:left="0" w:right="0" w:firstLine="0" w:firstLineChars="0"/>
              <w:rPr>
                <w:rFonts w:hint="default" w:ascii="Times New Roman" w:hAnsi="Times New Roman" w:eastAsia="宋体" w:cs="Times New Roman"/>
                <w:color w:val="auto"/>
              </w:rPr>
            </w:pPr>
          </w:p>
          <w:p w14:paraId="0EC7B988">
            <w:pPr>
              <w:keepNext w:val="0"/>
              <w:keepLines w:val="0"/>
              <w:suppressLineNumbers w:val="0"/>
              <w:spacing w:before="0" w:beforeAutospacing="0" w:after="0" w:afterAutospacing="0"/>
              <w:ind w:left="0" w:right="0" w:firstLine="0" w:firstLineChars="0"/>
              <w:rPr>
                <w:rFonts w:hint="default" w:ascii="Times New Roman" w:hAnsi="Times New Roman" w:eastAsia="宋体" w:cs="Times New Roman"/>
                <w:color w:val="auto"/>
              </w:rPr>
            </w:pPr>
          </w:p>
          <w:p w14:paraId="6048F48E">
            <w:pPr>
              <w:keepNext w:val="0"/>
              <w:keepLines w:val="0"/>
              <w:suppressLineNumbers w:val="0"/>
              <w:spacing w:before="0" w:beforeAutospacing="0" w:after="0" w:afterAutospacing="0"/>
              <w:ind w:left="0" w:right="0" w:firstLine="0" w:firstLineChars="0"/>
              <w:rPr>
                <w:rFonts w:hint="default" w:ascii="Times New Roman" w:hAnsi="Times New Roman" w:eastAsia="宋体" w:cs="Times New Roman"/>
                <w:color w:val="auto"/>
              </w:rPr>
            </w:pPr>
          </w:p>
          <w:p w14:paraId="5F46132B">
            <w:pPr>
              <w:keepNext w:val="0"/>
              <w:keepLines w:val="0"/>
              <w:suppressLineNumbers w:val="0"/>
              <w:spacing w:before="0" w:beforeAutospacing="0" w:after="0" w:afterAutospacing="0"/>
              <w:ind w:left="0" w:right="0" w:firstLine="0" w:firstLineChars="0"/>
              <w:rPr>
                <w:rFonts w:hint="default" w:ascii="Times New Roman" w:hAnsi="Times New Roman" w:eastAsia="宋体" w:cs="Times New Roman"/>
                <w:color w:val="auto"/>
              </w:rPr>
            </w:pPr>
          </w:p>
          <w:p w14:paraId="733381AE">
            <w:pPr>
              <w:keepNext w:val="0"/>
              <w:keepLines w:val="0"/>
              <w:suppressLineNumbers w:val="0"/>
              <w:spacing w:before="0" w:beforeAutospacing="0" w:after="0" w:afterAutospacing="0"/>
              <w:ind w:left="0" w:right="0" w:firstLine="0" w:firstLineChars="0"/>
              <w:rPr>
                <w:rFonts w:hint="default" w:ascii="Times New Roman" w:hAnsi="Times New Roman" w:eastAsia="宋体" w:cs="Times New Roman"/>
                <w:color w:val="auto"/>
              </w:rPr>
            </w:pPr>
          </w:p>
          <w:p w14:paraId="65C744EE">
            <w:pPr>
              <w:keepNext w:val="0"/>
              <w:keepLines w:val="0"/>
              <w:suppressLineNumbers w:val="0"/>
              <w:spacing w:before="0" w:beforeAutospacing="0" w:after="0" w:afterAutospacing="0"/>
              <w:ind w:left="0" w:right="0" w:firstLine="0" w:firstLineChars="0"/>
              <w:rPr>
                <w:rFonts w:hint="default" w:ascii="Times New Roman" w:hAnsi="Times New Roman" w:eastAsia="宋体" w:cs="Times New Roman"/>
                <w:color w:val="auto"/>
              </w:rPr>
            </w:pPr>
          </w:p>
          <w:p w14:paraId="5D100CEE">
            <w:pPr>
              <w:keepNext w:val="0"/>
              <w:keepLines w:val="0"/>
              <w:suppressLineNumbers w:val="0"/>
              <w:spacing w:before="0" w:beforeAutospacing="0" w:after="0" w:afterAutospacing="0"/>
              <w:ind w:left="0" w:right="0" w:firstLine="0" w:firstLineChars="0"/>
              <w:rPr>
                <w:rFonts w:hint="default" w:ascii="Times New Roman" w:hAnsi="Times New Roman" w:eastAsia="宋体" w:cs="Times New Roman"/>
                <w:color w:val="auto"/>
              </w:rPr>
            </w:pPr>
          </w:p>
          <w:p w14:paraId="63E6BB3E">
            <w:pPr>
              <w:keepNext w:val="0"/>
              <w:keepLines w:val="0"/>
              <w:suppressLineNumbers w:val="0"/>
              <w:spacing w:before="0" w:beforeAutospacing="0" w:after="0" w:afterAutospacing="0"/>
              <w:ind w:left="0" w:right="0" w:firstLine="0" w:firstLineChars="0"/>
              <w:rPr>
                <w:rFonts w:hint="default" w:ascii="Times New Roman" w:hAnsi="Times New Roman" w:eastAsia="宋体" w:cs="Times New Roman"/>
                <w:color w:val="auto"/>
              </w:rPr>
            </w:pPr>
          </w:p>
          <w:p w14:paraId="754A9172">
            <w:pPr>
              <w:keepNext w:val="0"/>
              <w:keepLines w:val="0"/>
              <w:suppressLineNumbers w:val="0"/>
              <w:spacing w:before="0" w:beforeAutospacing="0" w:after="0" w:afterAutospacing="0"/>
              <w:ind w:left="0" w:right="0" w:firstLine="0" w:firstLineChars="0"/>
              <w:rPr>
                <w:rFonts w:hint="default" w:ascii="Times New Roman" w:hAnsi="Times New Roman" w:eastAsia="宋体" w:cs="Times New Roman"/>
                <w:color w:val="auto"/>
              </w:rPr>
            </w:pPr>
          </w:p>
          <w:p w14:paraId="1192AFA1">
            <w:pPr>
              <w:keepNext w:val="0"/>
              <w:keepLines w:val="0"/>
              <w:suppressLineNumbers w:val="0"/>
              <w:spacing w:before="0" w:beforeAutospacing="0" w:after="0" w:afterAutospacing="0"/>
              <w:ind w:left="0" w:right="0" w:firstLine="0" w:firstLineChars="0"/>
              <w:rPr>
                <w:rFonts w:hint="default" w:ascii="Times New Roman" w:hAnsi="Times New Roman" w:eastAsia="宋体" w:cs="Times New Roman"/>
                <w:color w:val="auto"/>
              </w:rPr>
            </w:pPr>
          </w:p>
          <w:p w14:paraId="73FCC6E4">
            <w:pPr>
              <w:keepNext w:val="0"/>
              <w:keepLines w:val="0"/>
              <w:suppressLineNumbers w:val="0"/>
              <w:spacing w:before="0" w:beforeAutospacing="0" w:after="0" w:afterAutospacing="0"/>
              <w:ind w:left="0" w:right="0" w:firstLine="0" w:firstLineChars="0"/>
              <w:rPr>
                <w:rFonts w:hint="default" w:ascii="Times New Roman" w:hAnsi="Times New Roman" w:eastAsia="宋体" w:cs="Times New Roman"/>
                <w:color w:val="auto"/>
              </w:rPr>
            </w:pPr>
          </w:p>
          <w:p w14:paraId="5FB450E5">
            <w:pPr>
              <w:keepNext w:val="0"/>
              <w:keepLines w:val="0"/>
              <w:suppressLineNumbers w:val="0"/>
              <w:spacing w:before="0" w:beforeAutospacing="0" w:after="0" w:afterAutospacing="0"/>
              <w:ind w:left="0" w:right="0" w:firstLine="0" w:firstLineChars="0"/>
              <w:rPr>
                <w:rFonts w:hint="default" w:ascii="Times New Roman" w:hAnsi="Times New Roman" w:eastAsia="宋体" w:cs="Times New Roman"/>
                <w:color w:val="auto"/>
              </w:rPr>
            </w:pPr>
          </w:p>
          <w:p w14:paraId="7B888E20">
            <w:pPr>
              <w:keepNext w:val="0"/>
              <w:keepLines w:val="0"/>
              <w:suppressLineNumbers w:val="0"/>
              <w:spacing w:before="0" w:beforeAutospacing="0" w:after="0" w:afterAutospacing="0"/>
              <w:ind w:left="0" w:right="0" w:firstLine="0" w:firstLineChars="0"/>
              <w:rPr>
                <w:rFonts w:hint="default" w:ascii="Times New Roman" w:hAnsi="Times New Roman" w:eastAsia="宋体" w:cs="Times New Roman"/>
                <w:color w:val="auto"/>
              </w:rPr>
            </w:pPr>
          </w:p>
        </w:tc>
      </w:tr>
    </w:tbl>
    <w:p w14:paraId="2DE93C55">
      <w:pPr>
        <w:numPr>
          <w:ilvl w:val="0"/>
          <w:numId w:val="0"/>
        </w:numPr>
        <w:ind w:leftChars="0"/>
        <w:rPr>
          <w:rFonts w:hint="default" w:ascii="Times New Roman" w:hAnsi="Times New Roman" w:eastAsia="宋体" w:cs="Times New Roman"/>
          <w:color w:val="auto"/>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3927B72F">
      <w:pPr>
        <w:keepNext w:val="0"/>
        <w:keepLines w:val="0"/>
        <w:pageBreakBefore w:val="0"/>
        <w:widowControl/>
        <w:kinsoku/>
        <w:wordWrap/>
        <w:overflowPunct/>
        <w:topLinePunct w:val="0"/>
        <w:autoSpaceDE/>
        <w:autoSpaceDN/>
        <w:bidi w:val="0"/>
        <w:adjustRightInd w:val="0"/>
        <w:snapToGrid w:val="0"/>
        <w:spacing w:before="0" w:beforeAutospacing="0" w:after="0" w:afterAutospacing="0"/>
        <w:jc w:val="left"/>
        <w:textAlignment w:val="auto"/>
        <w:outlineLvl w:val="0"/>
        <w:rPr>
          <w:rFonts w:hint="default" w:ascii="Times New Roman" w:hAnsi="Times New Roman" w:eastAsia="宋体" w:cs="Times New Roman"/>
          <w:snapToGrid w:val="0"/>
          <w:color w:val="auto"/>
          <w:kern w:val="0"/>
          <w:sz w:val="32"/>
          <w:szCs w:val="32"/>
          <w:lang w:val="en-US" w:eastAsia="zh-CN" w:bidi="ar-SA"/>
        </w:rPr>
      </w:pPr>
      <w:bookmarkStart w:id="20" w:name="_Toc9676"/>
      <w:bookmarkStart w:id="21" w:name="_Toc69388192"/>
      <w:r>
        <w:rPr>
          <w:rFonts w:hint="default" w:ascii="Times New Roman" w:hAnsi="Times New Roman" w:eastAsia="宋体" w:cs="Times New Roman"/>
          <w:snapToGrid w:val="0"/>
          <w:color w:val="auto"/>
          <w:kern w:val="0"/>
          <w:sz w:val="32"/>
          <w:szCs w:val="32"/>
          <w:lang w:val="en-US" w:eastAsia="zh-CN" w:bidi="ar-SA"/>
        </w:rPr>
        <w:t>附表</w:t>
      </w:r>
      <w:bookmarkEnd w:id="20"/>
      <w:bookmarkEnd w:id="21"/>
    </w:p>
    <w:p w14:paraId="5F975AA6">
      <w:pPr>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jc w:val="center"/>
        <w:textAlignment w:val="auto"/>
        <w:outlineLvl w:val="9"/>
        <w:rPr>
          <w:rFonts w:hint="default" w:ascii="Times New Roman" w:hAnsi="Times New Roman" w:eastAsia="宋体" w:cs="Times New Roman"/>
          <w:snapToGrid w:val="0"/>
          <w:color w:val="auto"/>
          <w:kern w:val="0"/>
          <w:sz w:val="38"/>
          <w:szCs w:val="38"/>
          <w:lang w:val="en-US" w:eastAsia="zh-CN" w:bidi="ar-SA"/>
        </w:rPr>
      </w:pPr>
      <w:bookmarkStart w:id="22" w:name="_Toc16348"/>
      <w:r>
        <w:rPr>
          <w:rFonts w:hint="default" w:ascii="Times New Roman" w:hAnsi="Times New Roman" w:eastAsia="宋体" w:cs="Times New Roman"/>
          <w:snapToGrid w:val="0"/>
          <w:color w:val="auto"/>
          <w:kern w:val="0"/>
          <w:sz w:val="44"/>
          <w:szCs w:val="44"/>
          <w:lang w:val="en-US" w:eastAsia="zh-CN" w:bidi="ar-SA"/>
        </w:rPr>
        <w:t>建设项目污染物排放量汇总表</w:t>
      </w:r>
      <w:bookmarkEnd w:id="22"/>
      <w:r>
        <w:rPr>
          <w:rFonts w:hint="default" w:ascii="Times New Roman" w:hAnsi="Times New Roman" w:eastAsia="宋体" w:cs="Times New Roman"/>
          <w:color w:val="auto"/>
          <w:lang w:val="en-US" w:eastAsia="zh-CN"/>
        </w:rPr>
        <w:t xml:space="preserve">  </w:t>
      </w:r>
      <w:r>
        <w:rPr>
          <w:rFonts w:hint="default" w:ascii="Times New Roman" w:hAnsi="Times New Roman" w:eastAsia="宋体" w:cs="Times New Roman"/>
          <w:color w:val="auto"/>
          <w:sz w:val="36"/>
          <w:szCs w:val="36"/>
          <w:lang w:val="en-US" w:eastAsia="zh-CN"/>
        </w:rPr>
        <w:t>单位：t/a</w:t>
      </w:r>
    </w:p>
    <w:tbl>
      <w:tblPr>
        <w:tblStyle w:val="27"/>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28" w:type="dxa"/>
          <w:bottom w:w="0" w:type="dxa"/>
          <w:right w:w="28" w:type="dxa"/>
        </w:tblCellMar>
      </w:tblPr>
      <w:tblGrid>
        <w:gridCol w:w="591"/>
        <w:gridCol w:w="718"/>
        <w:gridCol w:w="1774"/>
        <w:gridCol w:w="1480"/>
        <w:gridCol w:w="1207"/>
        <w:gridCol w:w="1626"/>
        <w:gridCol w:w="1488"/>
        <w:gridCol w:w="1688"/>
        <w:gridCol w:w="1707"/>
        <w:gridCol w:w="1213"/>
      </w:tblGrid>
      <w:tr w14:paraId="53BA54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84" w:hRule="atLeast"/>
        </w:trPr>
        <w:tc>
          <w:tcPr>
            <w:tcW w:w="485" w:type="pct"/>
            <w:gridSpan w:val="2"/>
            <w:tcBorders>
              <w:tl2br w:val="single" w:color="auto" w:sz="4" w:space="0"/>
            </w:tcBorders>
            <w:tcMar>
              <w:left w:w="28" w:type="dxa"/>
              <w:right w:w="28" w:type="dxa"/>
            </w:tcMar>
            <w:vAlign w:val="center"/>
          </w:tcPr>
          <w:p w14:paraId="39D739EA">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snapToGrid w:val="0"/>
                <w:color w:val="auto"/>
                <w:spacing w:val="-6"/>
                <w:kern w:val="21"/>
                <w:sz w:val="18"/>
                <w:szCs w:val="18"/>
                <w:lang w:val="en-US" w:eastAsia="zh-CN" w:bidi="ar-SA"/>
              </w:rPr>
            </w:pPr>
            <w:bookmarkStart w:id="23" w:name="OLE_LINK5"/>
            <w:r>
              <w:rPr>
                <w:rFonts w:hint="default" w:ascii="Times New Roman" w:hAnsi="Times New Roman" w:eastAsia="宋体" w:cs="Times New Roman"/>
                <w:b/>
                <w:snapToGrid w:val="0"/>
                <w:color w:val="auto"/>
                <w:spacing w:val="-6"/>
                <w:kern w:val="21"/>
                <w:sz w:val="18"/>
                <w:szCs w:val="18"/>
                <w:lang w:val="en-US" w:eastAsia="zh-CN" w:bidi="ar-SA"/>
              </w:rPr>
              <w:t>项目</w:t>
            </w:r>
          </w:p>
          <w:p w14:paraId="4B0FFA80">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snapToGrid w:val="0"/>
                <w:color w:val="auto"/>
                <w:spacing w:val="-6"/>
                <w:kern w:val="21"/>
                <w:sz w:val="18"/>
                <w:szCs w:val="18"/>
                <w:lang w:val="en-US" w:eastAsia="zh-CN" w:bidi="ar-SA"/>
              </w:rPr>
            </w:pPr>
            <w:r>
              <w:rPr>
                <w:rFonts w:hint="default" w:ascii="Times New Roman" w:hAnsi="Times New Roman" w:eastAsia="宋体" w:cs="Times New Roman"/>
                <w:b/>
                <w:snapToGrid w:val="0"/>
                <w:color w:val="auto"/>
                <w:spacing w:val="-6"/>
                <w:kern w:val="21"/>
                <w:sz w:val="18"/>
                <w:szCs w:val="18"/>
                <w:lang w:val="en-US" w:eastAsia="zh-CN" w:bidi="ar-SA"/>
              </w:rPr>
              <w:t>分类</w:t>
            </w:r>
          </w:p>
        </w:tc>
        <w:tc>
          <w:tcPr>
            <w:tcW w:w="657" w:type="pct"/>
            <w:tcMar>
              <w:left w:w="28" w:type="dxa"/>
              <w:right w:w="28" w:type="dxa"/>
            </w:tcMar>
            <w:vAlign w:val="center"/>
          </w:tcPr>
          <w:p w14:paraId="36B14532">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snapToGrid w:val="0"/>
                <w:color w:val="auto"/>
                <w:spacing w:val="-6"/>
                <w:kern w:val="21"/>
                <w:sz w:val="18"/>
                <w:szCs w:val="18"/>
                <w:lang w:val="en-US" w:eastAsia="zh-CN" w:bidi="ar-SA"/>
              </w:rPr>
            </w:pPr>
            <w:r>
              <w:rPr>
                <w:rFonts w:hint="default" w:ascii="Times New Roman" w:hAnsi="Times New Roman" w:eastAsia="宋体" w:cs="Times New Roman"/>
                <w:b/>
                <w:snapToGrid w:val="0"/>
                <w:color w:val="auto"/>
                <w:spacing w:val="-6"/>
                <w:kern w:val="21"/>
                <w:sz w:val="18"/>
                <w:szCs w:val="18"/>
                <w:lang w:val="en-US" w:eastAsia="zh-CN" w:bidi="ar-SA"/>
              </w:rPr>
              <w:t>污染物名称</w:t>
            </w:r>
          </w:p>
        </w:tc>
        <w:tc>
          <w:tcPr>
            <w:tcW w:w="548" w:type="pct"/>
            <w:tcMar>
              <w:left w:w="28" w:type="dxa"/>
              <w:right w:w="28" w:type="dxa"/>
            </w:tcMar>
            <w:vAlign w:val="center"/>
          </w:tcPr>
          <w:p w14:paraId="0AA50DAB">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snapToGrid w:val="0"/>
                <w:color w:val="auto"/>
                <w:spacing w:val="-6"/>
                <w:kern w:val="21"/>
                <w:sz w:val="18"/>
                <w:szCs w:val="18"/>
                <w:lang w:val="en-US" w:eastAsia="zh-CN" w:bidi="ar-SA"/>
              </w:rPr>
            </w:pPr>
            <w:r>
              <w:rPr>
                <w:rFonts w:hint="default" w:ascii="Times New Roman" w:hAnsi="Times New Roman" w:eastAsia="宋体" w:cs="Times New Roman"/>
                <w:b/>
                <w:snapToGrid w:val="0"/>
                <w:color w:val="auto"/>
                <w:spacing w:val="-6"/>
                <w:kern w:val="21"/>
                <w:sz w:val="18"/>
                <w:szCs w:val="18"/>
                <w:lang w:val="en-US" w:eastAsia="zh-CN" w:bidi="ar-SA"/>
              </w:rPr>
              <w:t>现有工程</w:t>
            </w:r>
          </w:p>
          <w:p w14:paraId="2008F26C">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snapToGrid w:val="0"/>
                <w:color w:val="auto"/>
                <w:spacing w:val="-6"/>
                <w:kern w:val="21"/>
                <w:sz w:val="18"/>
                <w:szCs w:val="18"/>
                <w:lang w:val="en-US" w:eastAsia="zh-CN" w:bidi="ar-SA"/>
              </w:rPr>
            </w:pPr>
            <w:r>
              <w:rPr>
                <w:rFonts w:hint="default" w:ascii="Times New Roman" w:hAnsi="Times New Roman" w:eastAsia="宋体" w:cs="Times New Roman"/>
                <w:b/>
                <w:snapToGrid w:val="0"/>
                <w:color w:val="auto"/>
                <w:spacing w:val="-6"/>
                <w:kern w:val="21"/>
                <w:sz w:val="18"/>
                <w:szCs w:val="18"/>
                <w:lang w:val="en-US" w:eastAsia="zh-CN" w:bidi="ar-SA"/>
              </w:rPr>
              <w:t>排放量（固体废物产生量）</w:t>
            </w:r>
            <w:r>
              <w:rPr>
                <w:rFonts w:hint="default" w:ascii="Times New Roman" w:hAnsi="Times New Roman" w:eastAsia="宋体" w:cs="Times New Roman"/>
                <w:b/>
                <w:snapToGrid w:val="0"/>
                <w:color w:val="auto"/>
                <w:spacing w:val="-6"/>
                <w:kern w:val="21"/>
                <w:sz w:val="18"/>
                <w:szCs w:val="18"/>
                <w:lang w:val="en-US" w:eastAsia="zh-CN" w:bidi="ar-SA"/>
              </w:rPr>
              <w:fldChar w:fldCharType="begin"/>
            </w:r>
            <w:r>
              <w:rPr>
                <w:rFonts w:hint="default" w:ascii="Times New Roman" w:hAnsi="Times New Roman" w:eastAsia="宋体" w:cs="Times New Roman"/>
                <w:b/>
                <w:snapToGrid w:val="0"/>
                <w:color w:val="auto"/>
                <w:spacing w:val="-6"/>
                <w:kern w:val="21"/>
                <w:sz w:val="18"/>
                <w:szCs w:val="18"/>
                <w:lang w:val="en-US" w:eastAsia="zh-CN" w:bidi="ar-SA"/>
              </w:rPr>
              <w:instrText xml:space="preserve">=1\*GB3\*MERGEFORMAT</w:instrText>
            </w:r>
            <w:r>
              <w:rPr>
                <w:rFonts w:hint="default" w:ascii="Times New Roman" w:hAnsi="Times New Roman" w:eastAsia="宋体" w:cs="Times New Roman"/>
                <w:b/>
                <w:snapToGrid w:val="0"/>
                <w:color w:val="auto"/>
                <w:spacing w:val="-6"/>
                <w:kern w:val="21"/>
                <w:sz w:val="18"/>
                <w:szCs w:val="18"/>
                <w:lang w:val="en-US" w:eastAsia="zh-CN" w:bidi="ar-SA"/>
              </w:rPr>
              <w:fldChar w:fldCharType="separate"/>
            </w:r>
            <w:r>
              <w:rPr>
                <w:rFonts w:hint="default" w:ascii="Times New Roman" w:hAnsi="Times New Roman" w:eastAsia="宋体" w:cs="Times New Roman"/>
                <w:b/>
                <w:color w:val="auto"/>
                <w:kern w:val="2"/>
                <w:sz w:val="18"/>
                <w:szCs w:val="18"/>
                <w:lang w:val="en-US" w:eastAsia="zh-CN" w:bidi="ar-SA"/>
              </w:rPr>
              <w:t>①</w:t>
            </w:r>
            <w:r>
              <w:rPr>
                <w:rFonts w:hint="default" w:ascii="Times New Roman" w:hAnsi="Times New Roman" w:eastAsia="宋体" w:cs="Times New Roman"/>
                <w:b/>
                <w:snapToGrid w:val="0"/>
                <w:color w:val="auto"/>
                <w:spacing w:val="-6"/>
                <w:kern w:val="21"/>
                <w:sz w:val="18"/>
                <w:szCs w:val="18"/>
                <w:lang w:val="en-US" w:eastAsia="zh-CN" w:bidi="ar-SA"/>
              </w:rPr>
              <w:fldChar w:fldCharType="end"/>
            </w:r>
          </w:p>
        </w:tc>
        <w:tc>
          <w:tcPr>
            <w:tcW w:w="447" w:type="pct"/>
            <w:tcMar>
              <w:left w:w="28" w:type="dxa"/>
              <w:right w:w="28" w:type="dxa"/>
            </w:tcMar>
            <w:vAlign w:val="center"/>
          </w:tcPr>
          <w:p w14:paraId="2FDBA2E4">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snapToGrid w:val="0"/>
                <w:color w:val="auto"/>
                <w:spacing w:val="-6"/>
                <w:kern w:val="21"/>
                <w:sz w:val="18"/>
                <w:szCs w:val="18"/>
                <w:lang w:val="en-US" w:eastAsia="zh-CN" w:bidi="ar-SA"/>
              </w:rPr>
            </w:pPr>
            <w:r>
              <w:rPr>
                <w:rFonts w:hint="default" w:ascii="Times New Roman" w:hAnsi="Times New Roman" w:eastAsia="宋体" w:cs="Times New Roman"/>
                <w:b/>
                <w:snapToGrid w:val="0"/>
                <w:color w:val="auto"/>
                <w:spacing w:val="-6"/>
                <w:kern w:val="21"/>
                <w:sz w:val="18"/>
                <w:szCs w:val="18"/>
                <w:lang w:val="en-US" w:eastAsia="zh-CN" w:bidi="ar-SA"/>
              </w:rPr>
              <w:t>现有工程</w:t>
            </w:r>
          </w:p>
          <w:p w14:paraId="19E57E0B">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snapToGrid w:val="0"/>
                <w:color w:val="auto"/>
                <w:spacing w:val="-6"/>
                <w:kern w:val="21"/>
                <w:sz w:val="18"/>
                <w:szCs w:val="18"/>
                <w:lang w:val="en-US" w:eastAsia="zh-CN" w:bidi="ar-SA"/>
              </w:rPr>
            </w:pPr>
            <w:r>
              <w:rPr>
                <w:rFonts w:hint="default" w:ascii="Times New Roman" w:hAnsi="Times New Roman" w:eastAsia="宋体" w:cs="Times New Roman"/>
                <w:b/>
                <w:snapToGrid w:val="0"/>
                <w:color w:val="auto"/>
                <w:spacing w:val="-6"/>
                <w:kern w:val="21"/>
                <w:sz w:val="18"/>
                <w:szCs w:val="18"/>
                <w:lang w:val="en-US" w:eastAsia="zh-CN" w:bidi="ar-SA"/>
              </w:rPr>
              <w:t>许可排放量</w:t>
            </w:r>
          </w:p>
          <w:p w14:paraId="732431A5">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snapToGrid w:val="0"/>
                <w:color w:val="auto"/>
                <w:spacing w:val="-6"/>
                <w:kern w:val="21"/>
                <w:sz w:val="18"/>
                <w:szCs w:val="18"/>
                <w:lang w:val="en-US" w:eastAsia="zh-CN" w:bidi="ar-SA"/>
              </w:rPr>
            </w:pPr>
            <w:r>
              <w:rPr>
                <w:rFonts w:hint="default" w:ascii="Times New Roman" w:hAnsi="Times New Roman" w:eastAsia="宋体" w:cs="Times New Roman"/>
                <w:b/>
                <w:snapToGrid w:val="0"/>
                <w:color w:val="auto"/>
                <w:spacing w:val="-6"/>
                <w:kern w:val="21"/>
                <w:sz w:val="18"/>
                <w:szCs w:val="18"/>
                <w:lang w:val="en-US" w:eastAsia="zh-CN" w:bidi="ar-SA"/>
              </w:rPr>
              <w:fldChar w:fldCharType="begin"/>
            </w:r>
            <w:r>
              <w:rPr>
                <w:rFonts w:hint="default" w:ascii="Times New Roman" w:hAnsi="Times New Roman" w:eastAsia="宋体" w:cs="Times New Roman"/>
                <w:b/>
                <w:snapToGrid w:val="0"/>
                <w:color w:val="auto"/>
                <w:spacing w:val="-6"/>
                <w:kern w:val="21"/>
                <w:sz w:val="18"/>
                <w:szCs w:val="18"/>
                <w:lang w:val="en-US" w:eastAsia="zh-CN" w:bidi="ar-SA"/>
              </w:rPr>
              <w:instrText xml:space="preserve">=2\*GB3\*MERGEFORMAT</w:instrText>
            </w:r>
            <w:r>
              <w:rPr>
                <w:rFonts w:hint="default" w:ascii="Times New Roman" w:hAnsi="Times New Roman" w:eastAsia="宋体" w:cs="Times New Roman"/>
                <w:b/>
                <w:snapToGrid w:val="0"/>
                <w:color w:val="auto"/>
                <w:spacing w:val="-6"/>
                <w:kern w:val="21"/>
                <w:sz w:val="18"/>
                <w:szCs w:val="18"/>
                <w:lang w:val="en-US" w:eastAsia="zh-CN" w:bidi="ar-SA"/>
              </w:rPr>
              <w:fldChar w:fldCharType="separate"/>
            </w:r>
            <w:r>
              <w:rPr>
                <w:rFonts w:hint="default" w:ascii="Times New Roman" w:hAnsi="Times New Roman" w:eastAsia="宋体" w:cs="Times New Roman"/>
                <w:b/>
                <w:snapToGrid w:val="0"/>
                <w:color w:val="auto"/>
                <w:spacing w:val="-6"/>
                <w:kern w:val="21"/>
                <w:sz w:val="18"/>
                <w:szCs w:val="18"/>
                <w:lang w:val="en-US" w:eastAsia="zh-CN" w:bidi="ar-SA"/>
              </w:rPr>
              <w:t>②</w:t>
            </w:r>
            <w:r>
              <w:rPr>
                <w:rFonts w:hint="default" w:ascii="Times New Roman" w:hAnsi="Times New Roman" w:eastAsia="宋体" w:cs="Times New Roman"/>
                <w:b/>
                <w:snapToGrid w:val="0"/>
                <w:color w:val="auto"/>
                <w:spacing w:val="-6"/>
                <w:kern w:val="21"/>
                <w:sz w:val="18"/>
                <w:szCs w:val="18"/>
                <w:lang w:val="en-US" w:eastAsia="zh-CN" w:bidi="ar-SA"/>
              </w:rPr>
              <w:fldChar w:fldCharType="end"/>
            </w:r>
          </w:p>
        </w:tc>
        <w:tc>
          <w:tcPr>
            <w:tcW w:w="602" w:type="pct"/>
            <w:tcMar>
              <w:left w:w="28" w:type="dxa"/>
              <w:right w:w="28" w:type="dxa"/>
            </w:tcMar>
            <w:vAlign w:val="center"/>
          </w:tcPr>
          <w:p w14:paraId="0DD6A31C">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snapToGrid w:val="0"/>
                <w:color w:val="auto"/>
                <w:spacing w:val="-6"/>
                <w:kern w:val="21"/>
                <w:sz w:val="18"/>
                <w:szCs w:val="18"/>
                <w:lang w:val="en-US" w:eastAsia="zh-CN" w:bidi="ar-SA"/>
              </w:rPr>
            </w:pPr>
            <w:r>
              <w:rPr>
                <w:rFonts w:hint="default" w:ascii="Times New Roman" w:hAnsi="Times New Roman" w:eastAsia="宋体" w:cs="Times New Roman"/>
                <w:b/>
                <w:snapToGrid w:val="0"/>
                <w:color w:val="auto"/>
                <w:spacing w:val="-6"/>
                <w:kern w:val="21"/>
                <w:sz w:val="18"/>
                <w:szCs w:val="18"/>
                <w:lang w:val="en-US" w:eastAsia="zh-CN" w:bidi="ar-SA"/>
              </w:rPr>
              <w:t>在建工程</w:t>
            </w:r>
          </w:p>
          <w:p w14:paraId="1366F48F">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snapToGrid w:val="0"/>
                <w:color w:val="auto"/>
                <w:spacing w:val="-6"/>
                <w:kern w:val="21"/>
                <w:sz w:val="18"/>
                <w:szCs w:val="18"/>
                <w:lang w:val="en-US" w:eastAsia="zh-CN" w:bidi="ar-SA"/>
              </w:rPr>
            </w:pPr>
            <w:r>
              <w:rPr>
                <w:rFonts w:hint="default" w:ascii="Times New Roman" w:hAnsi="Times New Roman" w:eastAsia="宋体" w:cs="Times New Roman"/>
                <w:b/>
                <w:snapToGrid w:val="0"/>
                <w:color w:val="auto"/>
                <w:spacing w:val="-6"/>
                <w:kern w:val="21"/>
                <w:sz w:val="18"/>
                <w:szCs w:val="18"/>
                <w:lang w:val="en-US" w:eastAsia="zh-CN" w:bidi="ar-SA"/>
              </w:rPr>
              <w:t>排放量（固体废物产生量）</w:t>
            </w:r>
            <w:r>
              <w:rPr>
                <w:rFonts w:hint="default" w:ascii="Times New Roman" w:hAnsi="Times New Roman" w:eastAsia="宋体" w:cs="Times New Roman"/>
                <w:b/>
                <w:snapToGrid w:val="0"/>
                <w:color w:val="auto"/>
                <w:spacing w:val="-6"/>
                <w:kern w:val="21"/>
                <w:sz w:val="18"/>
                <w:szCs w:val="18"/>
                <w:lang w:val="en-US" w:eastAsia="zh-CN" w:bidi="ar-SA"/>
              </w:rPr>
              <w:fldChar w:fldCharType="begin"/>
            </w:r>
            <w:r>
              <w:rPr>
                <w:rFonts w:hint="default" w:ascii="Times New Roman" w:hAnsi="Times New Roman" w:eastAsia="宋体" w:cs="Times New Roman"/>
                <w:b/>
                <w:snapToGrid w:val="0"/>
                <w:color w:val="auto"/>
                <w:spacing w:val="-6"/>
                <w:kern w:val="21"/>
                <w:sz w:val="18"/>
                <w:szCs w:val="18"/>
                <w:lang w:val="en-US" w:eastAsia="zh-CN" w:bidi="ar-SA"/>
              </w:rPr>
              <w:instrText xml:space="preserve">=3\*GB3\*MERGEFORMAT</w:instrText>
            </w:r>
            <w:r>
              <w:rPr>
                <w:rFonts w:hint="default" w:ascii="Times New Roman" w:hAnsi="Times New Roman" w:eastAsia="宋体" w:cs="Times New Roman"/>
                <w:b/>
                <w:snapToGrid w:val="0"/>
                <w:color w:val="auto"/>
                <w:spacing w:val="-6"/>
                <w:kern w:val="21"/>
                <w:sz w:val="18"/>
                <w:szCs w:val="18"/>
                <w:lang w:val="en-US" w:eastAsia="zh-CN" w:bidi="ar-SA"/>
              </w:rPr>
              <w:fldChar w:fldCharType="separate"/>
            </w:r>
            <w:r>
              <w:rPr>
                <w:rFonts w:hint="default" w:ascii="Times New Roman" w:hAnsi="Times New Roman" w:eastAsia="宋体" w:cs="Times New Roman"/>
                <w:b/>
                <w:color w:val="auto"/>
                <w:kern w:val="2"/>
                <w:sz w:val="18"/>
                <w:szCs w:val="18"/>
                <w:lang w:val="en-US" w:eastAsia="zh-CN" w:bidi="ar-SA"/>
              </w:rPr>
              <w:t>③</w:t>
            </w:r>
            <w:r>
              <w:rPr>
                <w:rFonts w:hint="default" w:ascii="Times New Roman" w:hAnsi="Times New Roman" w:eastAsia="宋体" w:cs="Times New Roman"/>
                <w:b/>
                <w:snapToGrid w:val="0"/>
                <w:color w:val="auto"/>
                <w:spacing w:val="-6"/>
                <w:kern w:val="21"/>
                <w:sz w:val="18"/>
                <w:szCs w:val="18"/>
                <w:lang w:val="en-US" w:eastAsia="zh-CN" w:bidi="ar-SA"/>
              </w:rPr>
              <w:fldChar w:fldCharType="end"/>
            </w:r>
          </w:p>
        </w:tc>
        <w:tc>
          <w:tcPr>
            <w:tcW w:w="551" w:type="pct"/>
            <w:tcMar>
              <w:left w:w="28" w:type="dxa"/>
              <w:right w:w="28" w:type="dxa"/>
            </w:tcMar>
            <w:vAlign w:val="center"/>
          </w:tcPr>
          <w:p w14:paraId="159D1CAF">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snapToGrid w:val="0"/>
                <w:color w:val="auto"/>
                <w:spacing w:val="-6"/>
                <w:kern w:val="21"/>
                <w:sz w:val="18"/>
                <w:szCs w:val="18"/>
                <w:lang w:val="en-US" w:eastAsia="zh-CN" w:bidi="ar-SA"/>
              </w:rPr>
            </w:pPr>
            <w:r>
              <w:rPr>
                <w:rFonts w:hint="default" w:ascii="Times New Roman" w:hAnsi="Times New Roman" w:eastAsia="宋体" w:cs="Times New Roman"/>
                <w:b/>
                <w:snapToGrid w:val="0"/>
                <w:color w:val="auto"/>
                <w:spacing w:val="-6"/>
                <w:kern w:val="21"/>
                <w:sz w:val="18"/>
                <w:szCs w:val="18"/>
                <w:lang w:val="en-US" w:eastAsia="zh-CN" w:bidi="ar-SA"/>
              </w:rPr>
              <w:t>建设项目</w:t>
            </w:r>
          </w:p>
          <w:p w14:paraId="3A1D365E">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snapToGrid w:val="0"/>
                <w:color w:val="auto"/>
                <w:spacing w:val="-6"/>
                <w:kern w:val="21"/>
                <w:sz w:val="18"/>
                <w:szCs w:val="18"/>
                <w:lang w:val="en-US" w:eastAsia="zh-CN" w:bidi="ar-SA"/>
              </w:rPr>
            </w:pPr>
            <w:r>
              <w:rPr>
                <w:rFonts w:hint="default" w:ascii="Times New Roman" w:hAnsi="Times New Roman" w:eastAsia="宋体" w:cs="Times New Roman"/>
                <w:b/>
                <w:snapToGrid w:val="0"/>
                <w:color w:val="auto"/>
                <w:spacing w:val="-6"/>
                <w:kern w:val="21"/>
                <w:sz w:val="18"/>
                <w:szCs w:val="18"/>
                <w:lang w:val="en-US" w:eastAsia="zh-CN" w:bidi="ar-SA"/>
              </w:rPr>
              <w:t>排放量（固体废物产生量）</w:t>
            </w:r>
            <w:r>
              <w:rPr>
                <w:rFonts w:hint="default" w:ascii="Times New Roman" w:hAnsi="Times New Roman" w:eastAsia="宋体" w:cs="Times New Roman"/>
                <w:b/>
                <w:snapToGrid w:val="0"/>
                <w:color w:val="auto"/>
                <w:spacing w:val="-6"/>
                <w:kern w:val="21"/>
                <w:sz w:val="18"/>
                <w:szCs w:val="18"/>
                <w:lang w:val="en-US" w:eastAsia="zh-CN" w:bidi="ar-SA"/>
              </w:rPr>
              <w:fldChar w:fldCharType="begin"/>
            </w:r>
            <w:r>
              <w:rPr>
                <w:rFonts w:hint="default" w:ascii="Times New Roman" w:hAnsi="Times New Roman" w:eastAsia="宋体" w:cs="Times New Roman"/>
                <w:b/>
                <w:snapToGrid w:val="0"/>
                <w:color w:val="auto"/>
                <w:spacing w:val="-6"/>
                <w:kern w:val="21"/>
                <w:sz w:val="18"/>
                <w:szCs w:val="18"/>
                <w:lang w:val="en-US" w:eastAsia="zh-CN" w:bidi="ar-SA"/>
              </w:rPr>
              <w:instrText xml:space="preserve">=4\*GB3\*MERGEFORMAT</w:instrText>
            </w:r>
            <w:r>
              <w:rPr>
                <w:rFonts w:hint="default" w:ascii="Times New Roman" w:hAnsi="Times New Roman" w:eastAsia="宋体" w:cs="Times New Roman"/>
                <w:b/>
                <w:snapToGrid w:val="0"/>
                <w:color w:val="auto"/>
                <w:spacing w:val="-6"/>
                <w:kern w:val="21"/>
                <w:sz w:val="18"/>
                <w:szCs w:val="18"/>
                <w:lang w:val="en-US" w:eastAsia="zh-CN" w:bidi="ar-SA"/>
              </w:rPr>
              <w:fldChar w:fldCharType="separate"/>
            </w:r>
            <w:r>
              <w:rPr>
                <w:rFonts w:hint="default" w:ascii="Times New Roman" w:hAnsi="Times New Roman" w:eastAsia="宋体" w:cs="Times New Roman"/>
                <w:b/>
                <w:color w:val="auto"/>
                <w:kern w:val="2"/>
                <w:sz w:val="18"/>
                <w:szCs w:val="18"/>
                <w:lang w:val="en-US" w:eastAsia="zh-CN" w:bidi="ar-SA"/>
              </w:rPr>
              <w:t>④</w:t>
            </w:r>
            <w:r>
              <w:rPr>
                <w:rFonts w:hint="default" w:ascii="Times New Roman" w:hAnsi="Times New Roman" w:eastAsia="宋体" w:cs="Times New Roman"/>
                <w:b/>
                <w:snapToGrid w:val="0"/>
                <w:color w:val="auto"/>
                <w:spacing w:val="-6"/>
                <w:kern w:val="21"/>
                <w:sz w:val="18"/>
                <w:szCs w:val="18"/>
                <w:lang w:val="en-US" w:eastAsia="zh-CN" w:bidi="ar-SA"/>
              </w:rPr>
              <w:fldChar w:fldCharType="end"/>
            </w:r>
          </w:p>
        </w:tc>
        <w:tc>
          <w:tcPr>
            <w:tcW w:w="625" w:type="pct"/>
            <w:tcMar>
              <w:left w:w="28" w:type="dxa"/>
              <w:right w:w="28" w:type="dxa"/>
            </w:tcMar>
            <w:vAlign w:val="center"/>
          </w:tcPr>
          <w:p w14:paraId="5C004926">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snapToGrid w:val="0"/>
                <w:color w:val="auto"/>
                <w:spacing w:val="-16"/>
                <w:kern w:val="21"/>
                <w:sz w:val="18"/>
                <w:szCs w:val="18"/>
                <w:lang w:val="en-US" w:eastAsia="zh-CN" w:bidi="ar-SA"/>
              </w:rPr>
            </w:pPr>
            <w:r>
              <w:rPr>
                <w:rFonts w:hint="default" w:ascii="Times New Roman" w:hAnsi="Times New Roman" w:eastAsia="宋体" w:cs="Times New Roman"/>
                <w:b/>
                <w:snapToGrid w:val="0"/>
                <w:color w:val="auto"/>
                <w:spacing w:val="-16"/>
                <w:kern w:val="21"/>
                <w:sz w:val="18"/>
                <w:szCs w:val="18"/>
                <w:lang w:val="en-US" w:eastAsia="zh-CN" w:bidi="ar-SA"/>
              </w:rPr>
              <w:t>以新带老削减量</w:t>
            </w:r>
          </w:p>
          <w:p w14:paraId="6EF5731F">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snapToGrid w:val="0"/>
                <w:color w:val="auto"/>
                <w:spacing w:val="-16"/>
                <w:kern w:val="21"/>
                <w:sz w:val="18"/>
                <w:szCs w:val="18"/>
                <w:lang w:val="en-US" w:eastAsia="zh-CN" w:bidi="ar-SA"/>
              </w:rPr>
            </w:pPr>
            <w:r>
              <w:rPr>
                <w:rFonts w:hint="default" w:ascii="Times New Roman" w:hAnsi="Times New Roman" w:eastAsia="宋体" w:cs="Times New Roman"/>
                <w:b/>
                <w:snapToGrid w:val="0"/>
                <w:color w:val="auto"/>
                <w:spacing w:val="-16"/>
                <w:kern w:val="21"/>
                <w:sz w:val="18"/>
                <w:szCs w:val="18"/>
                <w:lang w:val="en-US" w:eastAsia="zh-CN" w:bidi="ar-SA"/>
              </w:rPr>
              <w:t>（新建项目不填）</w:t>
            </w:r>
            <w:r>
              <w:rPr>
                <w:rFonts w:hint="default" w:ascii="Times New Roman" w:hAnsi="Times New Roman" w:eastAsia="宋体" w:cs="Times New Roman"/>
                <w:b/>
                <w:snapToGrid w:val="0"/>
                <w:color w:val="auto"/>
                <w:spacing w:val="-16"/>
                <w:kern w:val="21"/>
                <w:sz w:val="18"/>
                <w:szCs w:val="18"/>
                <w:lang w:val="en-US" w:eastAsia="zh-CN" w:bidi="ar-SA"/>
              </w:rPr>
              <w:fldChar w:fldCharType="begin"/>
            </w:r>
            <w:r>
              <w:rPr>
                <w:rFonts w:hint="default" w:ascii="Times New Roman" w:hAnsi="Times New Roman" w:eastAsia="宋体" w:cs="Times New Roman"/>
                <w:b/>
                <w:snapToGrid w:val="0"/>
                <w:color w:val="auto"/>
                <w:spacing w:val="-16"/>
                <w:kern w:val="21"/>
                <w:sz w:val="18"/>
                <w:szCs w:val="18"/>
                <w:lang w:val="en-US" w:eastAsia="zh-CN" w:bidi="ar-SA"/>
              </w:rPr>
              <w:instrText xml:space="preserve">=5\*GB3\*MERGEFORMAT</w:instrText>
            </w:r>
            <w:r>
              <w:rPr>
                <w:rFonts w:hint="default" w:ascii="Times New Roman" w:hAnsi="Times New Roman" w:eastAsia="宋体" w:cs="Times New Roman"/>
                <w:b/>
                <w:snapToGrid w:val="0"/>
                <w:color w:val="auto"/>
                <w:spacing w:val="-16"/>
                <w:kern w:val="21"/>
                <w:sz w:val="18"/>
                <w:szCs w:val="18"/>
                <w:lang w:val="en-US" w:eastAsia="zh-CN" w:bidi="ar-SA"/>
              </w:rPr>
              <w:fldChar w:fldCharType="separate"/>
            </w:r>
            <w:r>
              <w:rPr>
                <w:rFonts w:hint="default" w:ascii="Times New Roman" w:hAnsi="Times New Roman" w:eastAsia="宋体" w:cs="Times New Roman"/>
                <w:b/>
                <w:color w:val="auto"/>
                <w:kern w:val="2"/>
                <w:sz w:val="18"/>
                <w:szCs w:val="18"/>
                <w:lang w:val="en-US" w:eastAsia="zh-CN" w:bidi="ar-SA"/>
              </w:rPr>
              <w:t>⑤</w:t>
            </w:r>
            <w:r>
              <w:rPr>
                <w:rFonts w:hint="default" w:ascii="Times New Roman" w:hAnsi="Times New Roman" w:eastAsia="宋体" w:cs="Times New Roman"/>
                <w:b/>
                <w:snapToGrid w:val="0"/>
                <w:color w:val="auto"/>
                <w:spacing w:val="-16"/>
                <w:kern w:val="21"/>
                <w:sz w:val="18"/>
                <w:szCs w:val="18"/>
                <w:lang w:val="en-US" w:eastAsia="zh-CN" w:bidi="ar-SA"/>
              </w:rPr>
              <w:fldChar w:fldCharType="end"/>
            </w:r>
          </w:p>
        </w:tc>
        <w:tc>
          <w:tcPr>
            <w:tcW w:w="632" w:type="pct"/>
            <w:tcMar>
              <w:left w:w="28" w:type="dxa"/>
              <w:right w:w="28" w:type="dxa"/>
            </w:tcMar>
            <w:vAlign w:val="center"/>
          </w:tcPr>
          <w:p w14:paraId="0DE0AA52">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snapToGrid w:val="0"/>
                <w:color w:val="auto"/>
                <w:spacing w:val="-16"/>
                <w:kern w:val="21"/>
                <w:sz w:val="18"/>
                <w:szCs w:val="18"/>
                <w:lang w:val="en-US" w:eastAsia="zh-CN" w:bidi="ar-SA"/>
              </w:rPr>
            </w:pPr>
            <w:r>
              <w:rPr>
                <w:rFonts w:hint="default" w:ascii="Times New Roman" w:hAnsi="Times New Roman" w:eastAsia="宋体" w:cs="Times New Roman"/>
                <w:b/>
                <w:snapToGrid w:val="0"/>
                <w:color w:val="auto"/>
                <w:spacing w:val="-16"/>
                <w:kern w:val="21"/>
                <w:sz w:val="18"/>
                <w:szCs w:val="18"/>
                <w:lang w:val="en-US" w:eastAsia="zh-CN" w:bidi="ar-SA"/>
              </w:rPr>
              <w:t>建设项目建成后全厂排放量（固体废物产生量）⑥</w:t>
            </w:r>
          </w:p>
        </w:tc>
        <w:tc>
          <w:tcPr>
            <w:tcW w:w="449" w:type="pct"/>
            <w:tcMar>
              <w:left w:w="28" w:type="dxa"/>
              <w:right w:w="28" w:type="dxa"/>
            </w:tcMar>
            <w:vAlign w:val="center"/>
          </w:tcPr>
          <w:p w14:paraId="0862A0D9">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snapToGrid w:val="0"/>
                <w:color w:val="auto"/>
                <w:spacing w:val="-6"/>
                <w:kern w:val="21"/>
                <w:sz w:val="18"/>
                <w:szCs w:val="18"/>
                <w:lang w:val="en-US" w:eastAsia="zh-CN" w:bidi="ar-SA"/>
              </w:rPr>
            </w:pPr>
            <w:r>
              <w:rPr>
                <w:rFonts w:hint="default" w:ascii="Times New Roman" w:hAnsi="Times New Roman" w:eastAsia="宋体" w:cs="Times New Roman"/>
                <w:b/>
                <w:snapToGrid w:val="0"/>
                <w:color w:val="auto"/>
                <w:spacing w:val="-6"/>
                <w:kern w:val="21"/>
                <w:sz w:val="18"/>
                <w:szCs w:val="18"/>
                <w:lang w:val="en-US" w:eastAsia="zh-CN" w:bidi="ar-SA"/>
              </w:rPr>
              <w:t>变化量</w:t>
            </w:r>
          </w:p>
          <w:p w14:paraId="1DE67B9C">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snapToGrid w:val="0"/>
                <w:color w:val="auto"/>
                <w:spacing w:val="-6"/>
                <w:kern w:val="21"/>
                <w:sz w:val="18"/>
                <w:szCs w:val="18"/>
                <w:lang w:val="en-US" w:eastAsia="zh-CN" w:bidi="ar-SA"/>
              </w:rPr>
            </w:pPr>
            <w:r>
              <w:rPr>
                <w:rFonts w:hint="default" w:ascii="Times New Roman" w:hAnsi="Times New Roman" w:eastAsia="宋体" w:cs="Times New Roman"/>
                <w:b/>
                <w:snapToGrid w:val="0"/>
                <w:color w:val="auto"/>
                <w:spacing w:val="-6"/>
                <w:kern w:val="21"/>
                <w:sz w:val="18"/>
                <w:szCs w:val="18"/>
                <w:lang w:val="en-US" w:eastAsia="zh-CN" w:bidi="ar-SA"/>
              </w:rPr>
              <w:fldChar w:fldCharType="begin"/>
            </w:r>
            <w:r>
              <w:rPr>
                <w:rFonts w:hint="default" w:ascii="Times New Roman" w:hAnsi="Times New Roman" w:eastAsia="宋体" w:cs="Times New Roman"/>
                <w:b/>
                <w:snapToGrid w:val="0"/>
                <w:color w:val="auto"/>
                <w:spacing w:val="-6"/>
                <w:kern w:val="21"/>
                <w:sz w:val="18"/>
                <w:szCs w:val="18"/>
                <w:lang w:val="en-US" w:eastAsia="zh-CN" w:bidi="ar-SA"/>
              </w:rPr>
              <w:instrText xml:space="preserve">=7\*GB3\*MERGEFORMAT</w:instrText>
            </w:r>
            <w:r>
              <w:rPr>
                <w:rFonts w:hint="default" w:ascii="Times New Roman" w:hAnsi="Times New Roman" w:eastAsia="宋体" w:cs="Times New Roman"/>
                <w:b/>
                <w:snapToGrid w:val="0"/>
                <w:color w:val="auto"/>
                <w:spacing w:val="-6"/>
                <w:kern w:val="21"/>
                <w:sz w:val="18"/>
                <w:szCs w:val="18"/>
                <w:lang w:val="en-US" w:eastAsia="zh-CN" w:bidi="ar-SA"/>
              </w:rPr>
              <w:fldChar w:fldCharType="separate"/>
            </w:r>
            <w:r>
              <w:rPr>
                <w:rFonts w:hint="default" w:ascii="Times New Roman" w:hAnsi="Times New Roman" w:eastAsia="宋体" w:cs="Times New Roman"/>
                <w:b/>
                <w:color w:val="auto"/>
                <w:kern w:val="2"/>
                <w:sz w:val="18"/>
                <w:szCs w:val="18"/>
                <w:lang w:val="en-US" w:eastAsia="zh-CN" w:bidi="ar-SA"/>
              </w:rPr>
              <w:t>⑦</w:t>
            </w:r>
            <w:r>
              <w:rPr>
                <w:rFonts w:hint="default" w:ascii="Times New Roman" w:hAnsi="Times New Roman" w:eastAsia="宋体" w:cs="Times New Roman"/>
                <w:b/>
                <w:snapToGrid w:val="0"/>
                <w:color w:val="auto"/>
                <w:spacing w:val="-6"/>
                <w:kern w:val="21"/>
                <w:sz w:val="18"/>
                <w:szCs w:val="18"/>
                <w:lang w:val="en-US" w:eastAsia="zh-CN" w:bidi="ar-SA"/>
              </w:rPr>
              <w:fldChar w:fldCharType="end"/>
            </w:r>
          </w:p>
        </w:tc>
      </w:tr>
      <w:tr w14:paraId="078BC6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27" w:hRule="atLeast"/>
        </w:trPr>
        <w:tc>
          <w:tcPr>
            <w:tcW w:w="219" w:type="pct"/>
            <w:vMerge w:val="restart"/>
            <w:vAlign w:val="center"/>
          </w:tcPr>
          <w:p w14:paraId="73101A52">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snapToGrid w:val="0"/>
                <w:color w:val="auto"/>
                <w:kern w:val="21"/>
                <w:sz w:val="18"/>
                <w:szCs w:val="18"/>
                <w:lang w:val="en-US" w:eastAsia="zh-CN" w:bidi="ar-SA"/>
              </w:rPr>
            </w:pPr>
            <w:r>
              <w:rPr>
                <w:rFonts w:hint="default" w:ascii="Times New Roman" w:hAnsi="Times New Roman" w:eastAsia="宋体" w:cs="Times New Roman"/>
                <w:snapToGrid w:val="0"/>
                <w:color w:val="auto"/>
                <w:kern w:val="21"/>
                <w:sz w:val="18"/>
                <w:szCs w:val="18"/>
                <w:lang w:val="en-US" w:eastAsia="zh-CN" w:bidi="ar-SA"/>
              </w:rPr>
              <w:t>废气</w:t>
            </w:r>
          </w:p>
        </w:tc>
        <w:tc>
          <w:tcPr>
            <w:tcW w:w="266" w:type="pct"/>
            <w:vAlign w:val="center"/>
          </w:tcPr>
          <w:p w14:paraId="78CAD4FE">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snapToGrid w:val="0"/>
                <w:color w:val="auto"/>
                <w:kern w:val="21"/>
                <w:sz w:val="18"/>
                <w:szCs w:val="18"/>
                <w:lang w:val="en-US" w:eastAsia="zh-CN" w:bidi="ar-SA"/>
              </w:rPr>
            </w:pPr>
            <w:r>
              <w:rPr>
                <w:rFonts w:hint="default" w:ascii="Times New Roman" w:hAnsi="Times New Roman" w:eastAsia="宋体" w:cs="Times New Roman"/>
                <w:snapToGrid w:val="0"/>
                <w:color w:val="auto"/>
                <w:kern w:val="21"/>
                <w:sz w:val="18"/>
                <w:szCs w:val="18"/>
                <w:lang w:val="en-US" w:eastAsia="zh-CN" w:bidi="ar-SA"/>
              </w:rPr>
              <w:t>有组织</w:t>
            </w:r>
          </w:p>
        </w:tc>
        <w:tc>
          <w:tcPr>
            <w:tcW w:w="657" w:type="pct"/>
            <w:vAlign w:val="center"/>
          </w:tcPr>
          <w:p w14:paraId="1979B58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bCs/>
                <w:color w:val="auto"/>
                <w:sz w:val="18"/>
                <w:szCs w:val="18"/>
                <w:lang w:val="en-US" w:eastAsia="zh-CN"/>
              </w:rPr>
              <w:t>颗粒物</w:t>
            </w:r>
          </w:p>
        </w:tc>
        <w:tc>
          <w:tcPr>
            <w:tcW w:w="548" w:type="pct"/>
            <w:vAlign w:val="center"/>
          </w:tcPr>
          <w:p w14:paraId="0502BB8B">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w:t>
            </w:r>
          </w:p>
        </w:tc>
        <w:tc>
          <w:tcPr>
            <w:tcW w:w="447" w:type="pct"/>
            <w:vAlign w:val="center"/>
          </w:tcPr>
          <w:p w14:paraId="52459E2C">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w:t>
            </w:r>
          </w:p>
        </w:tc>
        <w:tc>
          <w:tcPr>
            <w:tcW w:w="602" w:type="pct"/>
            <w:vAlign w:val="center"/>
          </w:tcPr>
          <w:p w14:paraId="328C6DA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w:t>
            </w:r>
          </w:p>
        </w:tc>
        <w:tc>
          <w:tcPr>
            <w:tcW w:w="1488" w:type="dxa"/>
            <w:vAlign w:val="center"/>
          </w:tcPr>
          <w:p w14:paraId="7638CE0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0"/>
                <w:sz w:val="18"/>
                <w:szCs w:val="18"/>
                <w:lang w:val="en-US" w:eastAsia="zh-CN" w:bidi="ar"/>
              </w:rPr>
              <w:t>0.03</w:t>
            </w:r>
            <w:r>
              <w:rPr>
                <w:rFonts w:hint="eastAsia" w:cs="Times New Roman"/>
                <w:color w:val="auto"/>
                <w:kern w:val="0"/>
                <w:sz w:val="18"/>
                <w:szCs w:val="18"/>
                <w:lang w:val="en-US" w:eastAsia="zh-CN" w:bidi="ar"/>
              </w:rPr>
              <w:t>9</w:t>
            </w:r>
          </w:p>
        </w:tc>
        <w:tc>
          <w:tcPr>
            <w:tcW w:w="625" w:type="pct"/>
            <w:vAlign w:val="center"/>
          </w:tcPr>
          <w:p w14:paraId="7ABB5B01">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0"/>
                <w:sz w:val="18"/>
                <w:szCs w:val="18"/>
                <w:lang w:val="en-US" w:eastAsia="zh-CN" w:bidi="ar"/>
              </w:rPr>
              <w:t>0</w:t>
            </w:r>
          </w:p>
        </w:tc>
        <w:tc>
          <w:tcPr>
            <w:tcW w:w="1707" w:type="dxa"/>
            <w:vAlign w:val="center"/>
          </w:tcPr>
          <w:p w14:paraId="3A461D0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0"/>
                <w:sz w:val="18"/>
                <w:szCs w:val="18"/>
                <w:lang w:val="en-US" w:eastAsia="zh-CN" w:bidi="ar"/>
              </w:rPr>
            </w:pPr>
            <w:r>
              <w:rPr>
                <w:rFonts w:hint="default" w:ascii="Times New Roman" w:hAnsi="Times New Roman" w:eastAsia="宋体" w:cs="Times New Roman"/>
                <w:color w:val="auto"/>
                <w:kern w:val="0"/>
                <w:sz w:val="18"/>
                <w:szCs w:val="18"/>
                <w:lang w:val="en-US" w:eastAsia="zh-CN" w:bidi="ar"/>
              </w:rPr>
              <w:t>0.03</w:t>
            </w:r>
            <w:r>
              <w:rPr>
                <w:rFonts w:hint="eastAsia" w:ascii="Times New Roman" w:hAnsi="Times New Roman" w:eastAsia="宋体" w:cs="Times New Roman"/>
                <w:color w:val="auto"/>
                <w:kern w:val="0"/>
                <w:sz w:val="18"/>
                <w:szCs w:val="18"/>
                <w:lang w:val="en-US" w:eastAsia="zh-CN" w:bidi="ar"/>
              </w:rPr>
              <w:t>9</w:t>
            </w:r>
          </w:p>
        </w:tc>
        <w:tc>
          <w:tcPr>
            <w:tcW w:w="1213" w:type="dxa"/>
            <w:vAlign w:val="center"/>
          </w:tcPr>
          <w:p w14:paraId="7018E87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0"/>
                <w:sz w:val="18"/>
                <w:szCs w:val="18"/>
                <w:lang w:val="en-US" w:eastAsia="zh-CN" w:bidi="ar"/>
              </w:rPr>
            </w:pPr>
            <w:r>
              <w:rPr>
                <w:rFonts w:hint="eastAsia" w:ascii="Times New Roman" w:hAnsi="Times New Roman" w:eastAsia="宋体" w:cs="Times New Roman"/>
                <w:color w:val="auto"/>
                <w:kern w:val="0"/>
                <w:sz w:val="18"/>
                <w:szCs w:val="18"/>
                <w:lang w:val="en-US" w:eastAsia="zh-CN" w:bidi="ar"/>
              </w:rPr>
              <w:t>+</w:t>
            </w:r>
            <w:r>
              <w:rPr>
                <w:rFonts w:hint="default" w:ascii="Times New Roman" w:hAnsi="Times New Roman" w:eastAsia="宋体" w:cs="Times New Roman"/>
                <w:color w:val="auto"/>
                <w:kern w:val="0"/>
                <w:sz w:val="18"/>
                <w:szCs w:val="18"/>
                <w:lang w:val="en-US" w:eastAsia="zh-CN" w:bidi="ar"/>
              </w:rPr>
              <w:t>0.03</w:t>
            </w:r>
            <w:r>
              <w:rPr>
                <w:rFonts w:hint="eastAsia" w:ascii="Times New Roman" w:hAnsi="Times New Roman" w:eastAsia="宋体" w:cs="Times New Roman"/>
                <w:color w:val="auto"/>
                <w:kern w:val="0"/>
                <w:sz w:val="18"/>
                <w:szCs w:val="18"/>
                <w:lang w:val="en-US" w:eastAsia="zh-CN" w:bidi="ar"/>
              </w:rPr>
              <w:t>9</w:t>
            </w:r>
          </w:p>
        </w:tc>
      </w:tr>
      <w:tr w14:paraId="7014FC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19" w:type="pct"/>
            <w:vMerge w:val="continue"/>
            <w:vAlign w:val="center"/>
          </w:tcPr>
          <w:p w14:paraId="71F7826D">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snapToGrid w:val="0"/>
                <w:color w:val="auto"/>
                <w:kern w:val="21"/>
                <w:sz w:val="18"/>
                <w:szCs w:val="18"/>
                <w:lang w:val="en-US" w:eastAsia="zh-CN" w:bidi="ar-SA"/>
              </w:rPr>
            </w:pPr>
          </w:p>
        </w:tc>
        <w:tc>
          <w:tcPr>
            <w:tcW w:w="266" w:type="pct"/>
            <w:vAlign w:val="center"/>
          </w:tcPr>
          <w:p w14:paraId="0F5404FD">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snapToGrid w:val="0"/>
                <w:color w:val="auto"/>
                <w:kern w:val="21"/>
                <w:sz w:val="18"/>
                <w:szCs w:val="18"/>
                <w:lang w:val="en-US" w:eastAsia="zh-CN" w:bidi="ar-SA"/>
              </w:rPr>
            </w:pPr>
            <w:r>
              <w:rPr>
                <w:rFonts w:hint="default" w:ascii="Times New Roman" w:hAnsi="Times New Roman" w:eastAsia="宋体" w:cs="Times New Roman"/>
                <w:snapToGrid w:val="0"/>
                <w:color w:val="auto"/>
                <w:kern w:val="21"/>
                <w:sz w:val="18"/>
                <w:szCs w:val="18"/>
                <w:lang w:val="en-US" w:eastAsia="zh-CN" w:bidi="ar-SA"/>
              </w:rPr>
              <w:t>无组织</w:t>
            </w:r>
          </w:p>
        </w:tc>
        <w:tc>
          <w:tcPr>
            <w:tcW w:w="657" w:type="pct"/>
            <w:vAlign w:val="center"/>
          </w:tcPr>
          <w:p w14:paraId="2E9ABAD6">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bCs/>
                <w:color w:val="auto"/>
                <w:sz w:val="18"/>
                <w:szCs w:val="18"/>
                <w:lang w:val="en-US" w:eastAsia="zh-CN"/>
              </w:rPr>
              <w:t>颗粒物</w:t>
            </w:r>
          </w:p>
        </w:tc>
        <w:tc>
          <w:tcPr>
            <w:tcW w:w="548" w:type="pct"/>
            <w:vAlign w:val="center"/>
          </w:tcPr>
          <w:p w14:paraId="04F61C39">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w:t>
            </w:r>
          </w:p>
        </w:tc>
        <w:tc>
          <w:tcPr>
            <w:tcW w:w="447" w:type="pct"/>
            <w:vAlign w:val="center"/>
          </w:tcPr>
          <w:p w14:paraId="5E646FF4">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w:t>
            </w:r>
          </w:p>
        </w:tc>
        <w:tc>
          <w:tcPr>
            <w:tcW w:w="602" w:type="pct"/>
            <w:vAlign w:val="center"/>
          </w:tcPr>
          <w:p w14:paraId="787AC86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w:t>
            </w:r>
          </w:p>
        </w:tc>
        <w:tc>
          <w:tcPr>
            <w:tcW w:w="1488" w:type="dxa"/>
            <w:vAlign w:val="center"/>
          </w:tcPr>
          <w:p w14:paraId="5588E70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0"/>
                <w:sz w:val="18"/>
                <w:szCs w:val="18"/>
                <w:lang w:val="en-US" w:eastAsia="zh-CN" w:bidi="ar"/>
              </w:rPr>
              <w:t>0.0</w:t>
            </w:r>
            <w:r>
              <w:rPr>
                <w:rFonts w:hint="eastAsia" w:cs="Times New Roman"/>
                <w:color w:val="auto"/>
                <w:kern w:val="0"/>
                <w:sz w:val="18"/>
                <w:szCs w:val="18"/>
                <w:lang w:val="en-US" w:eastAsia="zh-CN" w:bidi="ar"/>
              </w:rPr>
              <w:t>41</w:t>
            </w:r>
          </w:p>
        </w:tc>
        <w:tc>
          <w:tcPr>
            <w:tcW w:w="625" w:type="pct"/>
            <w:vAlign w:val="center"/>
          </w:tcPr>
          <w:p w14:paraId="53C74C10">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olor w:val="auto"/>
                <w:kern w:val="2"/>
                <w:sz w:val="18"/>
                <w:szCs w:val="18"/>
                <w:lang w:val="en-US" w:eastAsia="zh-CN" w:bidi="ar-SA"/>
              </w:rPr>
            </w:pPr>
            <w:r>
              <w:rPr>
                <w:rFonts w:hint="eastAsia" w:cs="Times New Roman"/>
                <w:color w:val="auto"/>
                <w:kern w:val="0"/>
                <w:sz w:val="18"/>
                <w:szCs w:val="18"/>
                <w:lang w:val="en-US" w:eastAsia="zh-CN" w:bidi="ar"/>
              </w:rPr>
              <w:t>0</w:t>
            </w:r>
          </w:p>
        </w:tc>
        <w:tc>
          <w:tcPr>
            <w:tcW w:w="1707" w:type="dxa"/>
            <w:vAlign w:val="center"/>
          </w:tcPr>
          <w:p w14:paraId="5AC1FBC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0"/>
                <w:sz w:val="18"/>
                <w:szCs w:val="18"/>
                <w:lang w:val="en-US" w:eastAsia="zh-CN" w:bidi="ar"/>
              </w:rPr>
            </w:pPr>
            <w:r>
              <w:rPr>
                <w:rFonts w:hint="default" w:ascii="Times New Roman" w:hAnsi="Times New Roman" w:eastAsia="宋体" w:cs="Times New Roman"/>
                <w:color w:val="auto"/>
                <w:kern w:val="0"/>
                <w:sz w:val="18"/>
                <w:szCs w:val="18"/>
                <w:lang w:val="en-US" w:eastAsia="zh-CN" w:bidi="ar"/>
              </w:rPr>
              <w:t>0.0</w:t>
            </w:r>
            <w:r>
              <w:rPr>
                <w:rFonts w:hint="eastAsia" w:ascii="Times New Roman" w:hAnsi="Times New Roman" w:eastAsia="宋体" w:cs="Times New Roman"/>
                <w:color w:val="auto"/>
                <w:kern w:val="0"/>
                <w:sz w:val="18"/>
                <w:szCs w:val="18"/>
                <w:lang w:val="en-US" w:eastAsia="zh-CN" w:bidi="ar"/>
              </w:rPr>
              <w:t>41</w:t>
            </w:r>
          </w:p>
        </w:tc>
        <w:tc>
          <w:tcPr>
            <w:tcW w:w="1213" w:type="dxa"/>
            <w:vAlign w:val="center"/>
          </w:tcPr>
          <w:p w14:paraId="71D574D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0"/>
                <w:sz w:val="18"/>
                <w:szCs w:val="18"/>
                <w:lang w:val="en-US" w:eastAsia="zh-CN" w:bidi="ar"/>
              </w:rPr>
            </w:pPr>
            <w:r>
              <w:rPr>
                <w:rFonts w:hint="eastAsia" w:ascii="Times New Roman" w:hAnsi="Times New Roman" w:eastAsia="宋体" w:cs="Times New Roman"/>
                <w:color w:val="auto"/>
                <w:kern w:val="0"/>
                <w:sz w:val="18"/>
                <w:szCs w:val="18"/>
                <w:lang w:val="en-US" w:eastAsia="zh-CN" w:bidi="ar"/>
              </w:rPr>
              <w:t>+</w:t>
            </w:r>
            <w:r>
              <w:rPr>
                <w:rFonts w:hint="default" w:ascii="Times New Roman" w:hAnsi="Times New Roman" w:eastAsia="宋体" w:cs="Times New Roman"/>
                <w:color w:val="auto"/>
                <w:kern w:val="0"/>
                <w:sz w:val="18"/>
                <w:szCs w:val="18"/>
                <w:lang w:val="en-US" w:eastAsia="zh-CN" w:bidi="ar"/>
              </w:rPr>
              <w:t>0.0</w:t>
            </w:r>
            <w:r>
              <w:rPr>
                <w:rFonts w:hint="eastAsia" w:ascii="Times New Roman" w:hAnsi="Times New Roman" w:eastAsia="宋体" w:cs="Times New Roman"/>
                <w:color w:val="auto"/>
                <w:kern w:val="0"/>
                <w:sz w:val="18"/>
                <w:szCs w:val="18"/>
                <w:lang w:val="en-US" w:eastAsia="zh-CN" w:bidi="ar"/>
              </w:rPr>
              <w:t>41</w:t>
            </w:r>
          </w:p>
        </w:tc>
      </w:tr>
      <w:tr w14:paraId="7A290F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84" w:hRule="atLeast"/>
        </w:trPr>
        <w:tc>
          <w:tcPr>
            <w:tcW w:w="485" w:type="pct"/>
            <w:gridSpan w:val="2"/>
            <w:vMerge w:val="restart"/>
            <w:vAlign w:val="center"/>
          </w:tcPr>
          <w:p w14:paraId="71F6D7C2">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snapToGrid w:val="0"/>
                <w:color w:val="auto"/>
                <w:kern w:val="21"/>
                <w:sz w:val="18"/>
                <w:szCs w:val="18"/>
                <w:lang w:val="en-US" w:eastAsia="zh-CN" w:bidi="ar-SA"/>
              </w:rPr>
            </w:pPr>
            <w:r>
              <w:rPr>
                <w:rFonts w:hint="eastAsia" w:cs="Times New Roman"/>
                <w:snapToGrid w:val="0"/>
                <w:color w:val="auto"/>
                <w:kern w:val="21"/>
                <w:sz w:val="18"/>
                <w:szCs w:val="18"/>
                <w:lang w:val="en-US" w:eastAsia="zh-CN" w:bidi="ar-SA"/>
              </w:rPr>
              <w:t>生活污水</w:t>
            </w:r>
          </w:p>
        </w:tc>
        <w:tc>
          <w:tcPr>
            <w:tcW w:w="657" w:type="pct"/>
            <w:vAlign w:val="center"/>
          </w:tcPr>
          <w:p w14:paraId="05DEB26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eastAsiaTheme="minorEastAsia"/>
                <w:color w:val="auto"/>
                <w:sz w:val="18"/>
                <w:szCs w:val="18"/>
              </w:rPr>
              <w:t>废水量（</w:t>
            </w:r>
            <w:r>
              <w:rPr>
                <w:rFonts w:hint="eastAsia" w:cs="Times New Roman" w:eastAsiaTheme="minorEastAsia"/>
                <w:color w:val="auto"/>
                <w:sz w:val="18"/>
                <w:szCs w:val="18"/>
                <w:lang w:val="en-US" w:eastAsia="zh-CN"/>
              </w:rPr>
              <w:t>t</w:t>
            </w:r>
            <w:r>
              <w:rPr>
                <w:rFonts w:hint="default" w:ascii="Times New Roman" w:hAnsi="Times New Roman" w:cs="Times New Roman" w:eastAsiaTheme="minorEastAsia"/>
                <w:color w:val="auto"/>
                <w:sz w:val="18"/>
                <w:szCs w:val="18"/>
              </w:rPr>
              <w:t>/a）</w:t>
            </w:r>
          </w:p>
        </w:tc>
        <w:tc>
          <w:tcPr>
            <w:tcW w:w="548" w:type="pct"/>
            <w:vAlign w:val="center"/>
          </w:tcPr>
          <w:p w14:paraId="55660CC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w:t>
            </w:r>
          </w:p>
        </w:tc>
        <w:tc>
          <w:tcPr>
            <w:tcW w:w="447" w:type="pct"/>
            <w:vAlign w:val="center"/>
          </w:tcPr>
          <w:p w14:paraId="57D60A9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w:t>
            </w:r>
          </w:p>
        </w:tc>
        <w:tc>
          <w:tcPr>
            <w:tcW w:w="602" w:type="pct"/>
            <w:vAlign w:val="center"/>
          </w:tcPr>
          <w:p w14:paraId="39D383B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w:t>
            </w:r>
          </w:p>
        </w:tc>
        <w:tc>
          <w:tcPr>
            <w:tcW w:w="1488" w:type="dxa"/>
            <w:vAlign w:val="center"/>
          </w:tcPr>
          <w:p w14:paraId="470B4A4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olor w:val="auto"/>
                <w:kern w:val="2"/>
                <w:sz w:val="18"/>
                <w:szCs w:val="18"/>
                <w:lang w:val="en-US" w:eastAsia="zh-CN" w:bidi="ar-SA"/>
              </w:rPr>
            </w:pPr>
            <w:r>
              <w:rPr>
                <w:rFonts w:hint="eastAsia" w:cs="Times New Roman" w:eastAsiaTheme="minorEastAsia"/>
                <w:bCs/>
                <w:color w:val="auto"/>
                <w:sz w:val="18"/>
                <w:szCs w:val="18"/>
                <w:lang w:val="en-US" w:eastAsia="zh-CN"/>
              </w:rPr>
              <w:t>162</w:t>
            </w:r>
          </w:p>
        </w:tc>
        <w:tc>
          <w:tcPr>
            <w:tcW w:w="625" w:type="pct"/>
            <w:vAlign w:val="center"/>
          </w:tcPr>
          <w:p w14:paraId="482411E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0</w:t>
            </w:r>
          </w:p>
        </w:tc>
        <w:tc>
          <w:tcPr>
            <w:tcW w:w="1707" w:type="dxa"/>
            <w:vAlign w:val="center"/>
          </w:tcPr>
          <w:p w14:paraId="1A9C20F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olor w:val="auto"/>
                <w:kern w:val="2"/>
                <w:sz w:val="18"/>
                <w:szCs w:val="18"/>
                <w:lang w:val="en-US" w:eastAsia="zh-CN" w:bidi="ar-SA"/>
              </w:rPr>
            </w:pPr>
            <w:r>
              <w:rPr>
                <w:rFonts w:hint="eastAsia" w:cs="Times New Roman" w:eastAsiaTheme="minorEastAsia"/>
                <w:bCs/>
                <w:color w:val="auto"/>
                <w:sz w:val="18"/>
                <w:szCs w:val="18"/>
                <w:lang w:val="en-US" w:eastAsia="zh-CN"/>
              </w:rPr>
              <w:t>162</w:t>
            </w:r>
          </w:p>
        </w:tc>
        <w:tc>
          <w:tcPr>
            <w:tcW w:w="1213" w:type="dxa"/>
            <w:vAlign w:val="center"/>
          </w:tcPr>
          <w:p w14:paraId="63D0EC0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olor w:val="auto"/>
                <w:kern w:val="2"/>
                <w:sz w:val="18"/>
                <w:szCs w:val="18"/>
                <w:lang w:val="en-US" w:eastAsia="zh-CN" w:bidi="ar-SA"/>
              </w:rPr>
            </w:pPr>
            <w:r>
              <w:rPr>
                <w:rFonts w:hint="eastAsia" w:cs="Times New Roman" w:eastAsiaTheme="minorEastAsia"/>
                <w:bCs/>
                <w:color w:val="auto"/>
                <w:sz w:val="18"/>
                <w:szCs w:val="18"/>
                <w:lang w:val="en-US" w:eastAsia="zh-CN"/>
              </w:rPr>
              <w:t>+162</w:t>
            </w:r>
          </w:p>
        </w:tc>
      </w:tr>
      <w:tr w14:paraId="7A41C8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84" w:hRule="atLeast"/>
        </w:trPr>
        <w:tc>
          <w:tcPr>
            <w:tcW w:w="485" w:type="pct"/>
            <w:gridSpan w:val="2"/>
            <w:vMerge w:val="continue"/>
            <w:vAlign w:val="center"/>
          </w:tcPr>
          <w:p w14:paraId="1648065A">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snapToGrid w:val="0"/>
                <w:color w:val="auto"/>
                <w:kern w:val="21"/>
                <w:sz w:val="18"/>
                <w:szCs w:val="18"/>
                <w:lang w:val="en-US" w:eastAsia="zh-CN" w:bidi="ar-SA"/>
              </w:rPr>
            </w:pPr>
          </w:p>
        </w:tc>
        <w:tc>
          <w:tcPr>
            <w:tcW w:w="657" w:type="pct"/>
            <w:vAlign w:val="center"/>
          </w:tcPr>
          <w:p w14:paraId="433CB8AD">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eastAsiaTheme="minorEastAsia"/>
                <w:bCs/>
                <w:color w:val="auto"/>
                <w:sz w:val="18"/>
                <w:szCs w:val="18"/>
              </w:rPr>
              <w:t>COD</w:t>
            </w:r>
          </w:p>
        </w:tc>
        <w:tc>
          <w:tcPr>
            <w:tcW w:w="548" w:type="pct"/>
            <w:vAlign w:val="center"/>
          </w:tcPr>
          <w:p w14:paraId="73653AB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w:t>
            </w:r>
          </w:p>
        </w:tc>
        <w:tc>
          <w:tcPr>
            <w:tcW w:w="447" w:type="pct"/>
            <w:vAlign w:val="center"/>
          </w:tcPr>
          <w:p w14:paraId="28A580C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w:t>
            </w:r>
          </w:p>
        </w:tc>
        <w:tc>
          <w:tcPr>
            <w:tcW w:w="602" w:type="pct"/>
            <w:vAlign w:val="center"/>
          </w:tcPr>
          <w:p w14:paraId="1B38296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w:t>
            </w:r>
          </w:p>
        </w:tc>
        <w:tc>
          <w:tcPr>
            <w:tcW w:w="1488" w:type="dxa"/>
            <w:vAlign w:val="center"/>
          </w:tcPr>
          <w:p w14:paraId="7619A496">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bCs/>
                <w:color w:val="auto"/>
                <w:sz w:val="18"/>
                <w:szCs w:val="18"/>
                <w:lang w:val="en-US" w:eastAsia="zh-CN"/>
              </w:rPr>
              <w:t>0.045</w:t>
            </w:r>
          </w:p>
        </w:tc>
        <w:tc>
          <w:tcPr>
            <w:tcW w:w="625" w:type="pct"/>
            <w:vAlign w:val="center"/>
          </w:tcPr>
          <w:p w14:paraId="169552A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0</w:t>
            </w:r>
          </w:p>
        </w:tc>
        <w:tc>
          <w:tcPr>
            <w:tcW w:w="1707" w:type="dxa"/>
            <w:vAlign w:val="center"/>
          </w:tcPr>
          <w:p w14:paraId="176F9C94">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bCs/>
                <w:color w:val="auto"/>
                <w:sz w:val="18"/>
                <w:szCs w:val="18"/>
                <w:lang w:val="en-US" w:eastAsia="zh-CN"/>
              </w:rPr>
              <w:t>0.045</w:t>
            </w:r>
          </w:p>
        </w:tc>
        <w:tc>
          <w:tcPr>
            <w:tcW w:w="1213" w:type="dxa"/>
            <w:vAlign w:val="center"/>
          </w:tcPr>
          <w:p w14:paraId="4064D1B4">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bCs/>
                <w:color w:val="auto"/>
                <w:sz w:val="18"/>
                <w:szCs w:val="18"/>
                <w:lang w:val="en-US" w:eastAsia="zh-CN"/>
              </w:rPr>
              <w:t>+0.045</w:t>
            </w:r>
          </w:p>
        </w:tc>
      </w:tr>
      <w:tr w14:paraId="64FAD4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84" w:hRule="atLeast"/>
        </w:trPr>
        <w:tc>
          <w:tcPr>
            <w:tcW w:w="485" w:type="pct"/>
            <w:gridSpan w:val="2"/>
            <w:vMerge w:val="continue"/>
            <w:vAlign w:val="center"/>
          </w:tcPr>
          <w:p w14:paraId="1B229FFE">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snapToGrid w:val="0"/>
                <w:color w:val="auto"/>
                <w:kern w:val="21"/>
                <w:sz w:val="18"/>
                <w:szCs w:val="18"/>
                <w:lang w:val="en-US" w:eastAsia="zh-CN" w:bidi="ar-SA"/>
              </w:rPr>
            </w:pPr>
          </w:p>
        </w:tc>
        <w:tc>
          <w:tcPr>
            <w:tcW w:w="657" w:type="pct"/>
            <w:vAlign w:val="center"/>
          </w:tcPr>
          <w:p w14:paraId="4858836A">
            <w:pPr>
              <w:pStyle w:val="9"/>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SS</w:t>
            </w:r>
          </w:p>
        </w:tc>
        <w:tc>
          <w:tcPr>
            <w:tcW w:w="548" w:type="pct"/>
            <w:vAlign w:val="center"/>
          </w:tcPr>
          <w:p w14:paraId="62A27AB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w:t>
            </w:r>
          </w:p>
        </w:tc>
        <w:tc>
          <w:tcPr>
            <w:tcW w:w="447" w:type="pct"/>
            <w:vAlign w:val="center"/>
          </w:tcPr>
          <w:p w14:paraId="321775F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w:t>
            </w:r>
          </w:p>
        </w:tc>
        <w:tc>
          <w:tcPr>
            <w:tcW w:w="602" w:type="pct"/>
            <w:vAlign w:val="center"/>
          </w:tcPr>
          <w:p w14:paraId="09B38ED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w:t>
            </w:r>
          </w:p>
        </w:tc>
        <w:tc>
          <w:tcPr>
            <w:tcW w:w="1488" w:type="dxa"/>
            <w:vAlign w:val="center"/>
          </w:tcPr>
          <w:p w14:paraId="5E7222EB">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bCs/>
                <w:color w:val="auto"/>
                <w:sz w:val="18"/>
                <w:szCs w:val="18"/>
                <w:lang w:val="en-US" w:eastAsia="zh-CN"/>
              </w:rPr>
              <w:t>0.032</w:t>
            </w:r>
          </w:p>
        </w:tc>
        <w:tc>
          <w:tcPr>
            <w:tcW w:w="625" w:type="pct"/>
            <w:vAlign w:val="center"/>
          </w:tcPr>
          <w:p w14:paraId="020FEF4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0</w:t>
            </w:r>
          </w:p>
        </w:tc>
        <w:tc>
          <w:tcPr>
            <w:tcW w:w="1707" w:type="dxa"/>
            <w:vAlign w:val="center"/>
          </w:tcPr>
          <w:p w14:paraId="2C6F12E1">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bCs/>
                <w:color w:val="auto"/>
                <w:sz w:val="18"/>
                <w:szCs w:val="18"/>
                <w:lang w:val="en-US" w:eastAsia="zh-CN"/>
              </w:rPr>
              <w:t>0.032</w:t>
            </w:r>
          </w:p>
        </w:tc>
        <w:tc>
          <w:tcPr>
            <w:tcW w:w="1213" w:type="dxa"/>
            <w:vAlign w:val="center"/>
          </w:tcPr>
          <w:p w14:paraId="54F830D2">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bCs/>
                <w:color w:val="auto"/>
                <w:sz w:val="18"/>
                <w:szCs w:val="18"/>
                <w:lang w:val="en-US" w:eastAsia="zh-CN"/>
              </w:rPr>
              <w:t>+0.032</w:t>
            </w:r>
          </w:p>
        </w:tc>
      </w:tr>
      <w:tr w14:paraId="2A06D5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84" w:hRule="atLeast"/>
        </w:trPr>
        <w:tc>
          <w:tcPr>
            <w:tcW w:w="485" w:type="pct"/>
            <w:gridSpan w:val="2"/>
            <w:vMerge w:val="continue"/>
            <w:vAlign w:val="center"/>
          </w:tcPr>
          <w:p w14:paraId="33ECF5C0">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snapToGrid w:val="0"/>
                <w:color w:val="auto"/>
                <w:kern w:val="21"/>
                <w:sz w:val="18"/>
                <w:szCs w:val="18"/>
                <w:lang w:val="en-US" w:eastAsia="zh-CN" w:bidi="ar-SA"/>
              </w:rPr>
            </w:pPr>
          </w:p>
        </w:tc>
        <w:tc>
          <w:tcPr>
            <w:tcW w:w="657" w:type="pct"/>
            <w:vAlign w:val="center"/>
          </w:tcPr>
          <w:p w14:paraId="372858D4">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eastAsiaTheme="minorEastAsia"/>
                <w:bCs/>
                <w:color w:val="auto"/>
                <w:sz w:val="18"/>
                <w:szCs w:val="18"/>
                <w:lang w:val="en-US" w:eastAsia="zh-CN"/>
              </w:rPr>
              <w:t>氨氮</w:t>
            </w:r>
          </w:p>
        </w:tc>
        <w:tc>
          <w:tcPr>
            <w:tcW w:w="548" w:type="pct"/>
            <w:vAlign w:val="center"/>
          </w:tcPr>
          <w:p w14:paraId="24930BE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w:t>
            </w:r>
          </w:p>
        </w:tc>
        <w:tc>
          <w:tcPr>
            <w:tcW w:w="447" w:type="pct"/>
            <w:vAlign w:val="center"/>
          </w:tcPr>
          <w:p w14:paraId="4C23168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w:t>
            </w:r>
          </w:p>
        </w:tc>
        <w:tc>
          <w:tcPr>
            <w:tcW w:w="602" w:type="pct"/>
            <w:vAlign w:val="center"/>
          </w:tcPr>
          <w:p w14:paraId="54BC1F9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w:t>
            </w:r>
          </w:p>
        </w:tc>
        <w:tc>
          <w:tcPr>
            <w:tcW w:w="1488" w:type="dxa"/>
            <w:vAlign w:val="center"/>
          </w:tcPr>
          <w:p w14:paraId="5A8AF73C">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bCs/>
                <w:color w:val="auto"/>
                <w:sz w:val="18"/>
                <w:szCs w:val="18"/>
                <w:lang w:val="en-US" w:eastAsia="zh-CN"/>
              </w:rPr>
              <w:t>0.005</w:t>
            </w:r>
          </w:p>
        </w:tc>
        <w:tc>
          <w:tcPr>
            <w:tcW w:w="625" w:type="pct"/>
            <w:vAlign w:val="center"/>
          </w:tcPr>
          <w:p w14:paraId="241D103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0</w:t>
            </w:r>
          </w:p>
        </w:tc>
        <w:tc>
          <w:tcPr>
            <w:tcW w:w="1707" w:type="dxa"/>
            <w:vAlign w:val="center"/>
          </w:tcPr>
          <w:p w14:paraId="38395B98">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bCs/>
                <w:color w:val="auto"/>
                <w:sz w:val="18"/>
                <w:szCs w:val="18"/>
                <w:lang w:val="en-US" w:eastAsia="zh-CN"/>
              </w:rPr>
              <w:t>0.005</w:t>
            </w:r>
          </w:p>
        </w:tc>
        <w:tc>
          <w:tcPr>
            <w:tcW w:w="1213" w:type="dxa"/>
            <w:vAlign w:val="center"/>
          </w:tcPr>
          <w:p w14:paraId="62ABEBFD">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bCs/>
                <w:color w:val="auto"/>
                <w:sz w:val="18"/>
                <w:szCs w:val="18"/>
                <w:lang w:val="en-US" w:eastAsia="zh-CN"/>
              </w:rPr>
              <w:t>+0.005</w:t>
            </w:r>
          </w:p>
        </w:tc>
      </w:tr>
      <w:tr w14:paraId="70A143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42" w:hRule="atLeast"/>
        </w:trPr>
        <w:tc>
          <w:tcPr>
            <w:tcW w:w="485" w:type="pct"/>
            <w:gridSpan w:val="2"/>
            <w:vMerge w:val="continue"/>
            <w:vAlign w:val="center"/>
          </w:tcPr>
          <w:p w14:paraId="3A3BB2D8">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snapToGrid w:val="0"/>
                <w:color w:val="auto"/>
                <w:kern w:val="21"/>
                <w:sz w:val="18"/>
                <w:szCs w:val="18"/>
                <w:lang w:val="en-US" w:eastAsia="zh-CN" w:bidi="ar-SA"/>
              </w:rPr>
            </w:pPr>
          </w:p>
        </w:tc>
        <w:tc>
          <w:tcPr>
            <w:tcW w:w="657" w:type="pct"/>
            <w:vAlign w:val="center"/>
          </w:tcPr>
          <w:p w14:paraId="27FF205A">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eastAsiaTheme="minorEastAsia"/>
                <w:bCs/>
                <w:color w:val="auto"/>
                <w:sz w:val="18"/>
                <w:szCs w:val="18"/>
                <w:lang w:val="en-US" w:eastAsia="zh-CN"/>
              </w:rPr>
              <w:t>总氮</w:t>
            </w:r>
          </w:p>
        </w:tc>
        <w:tc>
          <w:tcPr>
            <w:tcW w:w="548" w:type="pct"/>
            <w:vAlign w:val="center"/>
          </w:tcPr>
          <w:p w14:paraId="43B8980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w:t>
            </w:r>
          </w:p>
        </w:tc>
        <w:tc>
          <w:tcPr>
            <w:tcW w:w="447" w:type="pct"/>
            <w:vAlign w:val="center"/>
          </w:tcPr>
          <w:p w14:paraId="2EABE16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w:t>
            </w:r>
          </w:p>
        </w:tc>
        <w:tc>
          <w:tcPr>
            <w:tcW w:w="602" w:type="pct"/>
            <w:vAlign w:val="center"/>
          </w:tcPr>
          <w:p w14:paraId="24FEA98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w:t>
            </w:r>
          </w:p>
        </w:tc>
        <w:tc>
          <w:tcPr>
            <w:tcW w:w="1488" w:type="dxa"/>
            <w:vAlign w:val="center"/>
          </w:tcPr>
          <w:p w14:paraId="2A70877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bCs/>
                <w:color w:val="auto"/>
                <w:sz w:val="18"/>
                <w:szCs w:val="18"/>
                <w:lang w:val="en-US" w:eastAsia="zh-CN"/>
              </w:rPr>
              <w:t>0.007</w:t>
            </w:r>
          </w:p>
        </w:tc>
        <w:tc>
          <w:tcPr>
            <w:tcW w:w="625" w:type="pct"/>
            <w:vAlign w:val="center"/>
          </w:tcPr>
          <w:p w14:paraId="68D0B7A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0</w:t>
            </w:r>
          </w:p>
        </w:tc>
        <w:tc>
          <w:tcPr>
            <w:tcW w:w="1707" w:type="dxa"/>
            <w:vAlign w:val="center"/>
          </w:tcPr>
          <w:p w14:paraId="38034E96">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bCs/>
                <w:color w:val="auto"/>
                <w:sz w:val="18"/>
                <w:szCs w:val="18"/>
                <w:lang w:val="en-US" w:eastAsia="zh-CN"/>
              </w:rPr>
              <w:t>0.007</w:t>
            </w:r>
          </w:p>
        </w:tc>
        <w:tc>
          <w:tcPr>
            <w:tcW w:w="1213" w:type="dxa"/>
            <w:vAlign w:val="center"/>
          </w:tcPr>
          <w:p w14:paraId="0CECD998">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bCs/>
                <w:color w:val="auto"/>
                <w:sz w:val="18"/>
                <w:szCs w:val="18"/>
                <w:lang w:val="en-US" w:eastAsia="zh-CN"/>
              </w:rPr>
              <w:t>+0.007</w:t>
            </w:r>
          </w:p>
        </w:tc>
      </w:tr>
      <w:tr w14:paraId="1DB127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32" w:hRule="atLeast"/>
        </w:trPr>
        <w:tc>
          <w:tcPr>
            <w:tcW w:w="485" w:type="pct"/>
            <w:gridSpan w:val="2"/>
            <w:vMerge w:val="continue"/>
            <w:vAlign w:val="center"/>
          </w:tcPr>
          <w:p w14:paraId="43BAB0AA">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snapToGrid w:val="0"/>
                <w:color w:val="auto"/>
                <w:kern w:val="21"/>
                <w:sz w:val="18"/>
                <w:szCs w:val="18"/>
                <w:lang w:val="en-US" w:eastAsia="zh-CN" w:bidi="ar-SA"/>
              </w:rPr>
            </w:pPr>
          </w:p>
        </w:tc>
        <w:tc>
          <w:tcPr>
            <w:tcW w:w="657" w:type="pct"/>
            <w:vAlign w:val="center"/>
          </w:tcPr>
          <w:p w14:paraId="211CA487">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eastAsiaTheme="minorEastAsia"/>
                <w:bCs/>
                <w:color w:val="auto"/>
                <w:sz w:val="18"/>
                <w:szCs w:val="18"/>
                <w:lang w:val="en-US" w:eastAsia="zh-CN"/>
              </w:rPr>
              <w:t>总磷</w:t>
            </w:r>
          </w:p>
        </w:tc>
        <w:tc>
          <w:tcPr>
            <w:tcW w:w="548" w:type="pct"/>
            <w:vAlign w:val="center"/>
          </w:tcPr>
          <w:p w14:paraId="2B8351D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w:t>
            </w:r>
          </w:p>
        </w:tc>
        <w:tc>
          <w:tcPr>
            <w:tcW w:w="447" w:type="pct"/>
            <w:vAlign w:val="center"/>
          </w:tcPr>
          <w:p w14:paraId="0B0B7F0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w:t>
            </w:r>
          </w:p>
        </w:tc>
        <w:tc>
          <w:tcPr>
            <w:tcW w:w="602" w:type="pct"/>
            <w:vAlign w:val="center"/>
          </w:tcPr>
          <w:p w14:paraId="7E2EEA2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w:t>
            </w:r>
          </w:p>
        </w:tc>
        <w:tc>
          <w:tcPr>
            <w:tcW w:w="1488" w:type="dxa"/>
            <w:vAlign w:val="center"/>
          </w:tcPr>
          <w:p w14:paraId="187C5692">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bCs/>
                <w:color w:val="auto"/>
                <w:sz w:val="18"/>
                <w:szCs w:val="18"/>
                <w:lang w:val="en-US" w:eastAsia="zh-CN"/>
              </w:rPr>
              <w:t>0.0006</w:t>
            </w:r>
          </w:p>
        </w:tc>
        <w:tc>
          <w:tcPr>
            <w:tcW w:w="625" w:type="pct"/>
            <w:vAlign w:val="center"/>
          </w:tcPr>
          <w:p w14:paraId="6193D2A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0</w:t>
            </w:r>
          </w:p>
        </w:tc>
        <w:tc>
          <w:tcPr>
            <w:tcW w:w="1707" w:type="dxa"/>
            <w:vAlign w:val="center"/>
          </w:tcPr>
          <w:p w14:paraId="3D2F120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bCs/>
                <w:color w:val="auto"/>
                <w:sz w:val="18"/>
                <w:szCs w:val="18"/>
                <w:lang w:val="en-US" w:eastAsia="zh-CN"/>
              </w:rPr>
              <w:t>0.0006</w:t>
            </w:r>
          </w:p>
        </w:tc>
        <w:tc>
          <w:tcPr>
            <w:tcW w:w="1213" w:type="dxa"/>
            <w:vAlign w:val="center"/>
          </w:tcPr>
          <w:p w14:paraId="1ED6DB91">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bCs/>
                <w:color w:val="auto"/>
                <w:sz w:val="18"/>
                <w:szCs w:val="18"/>
                <w:lang w:val="en-US" w:eastAsia="zh-CN"/>
              </w:rPr>
              <w:t>0.0006</w:t>
            </w:r>
          </w:p>
        </w:tc>
      </w:tr>
      <w:tr w14:paraId="0D8211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84" w:hRule="atLeast"/>
        </w:trPr>
        <w:tc>
          <w:tcPr>
            <w:tcW w:w="485" w:type="pct"/>
            <w:gridSpan w:val="2"/>
            <w:vMerge w:val="restart"/>
            <w:vAlign w:val="center"/>
          </w:tcPr>
          <w:p w14:paraId="44FE23F1">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snapToGrid w:val="0"/>
                <w:color w:val="auto"/>
                <w:kern w:val="21"/>
                <w:sz w:val="18"/>
                <w:szCs w:val="18"/>
                <w:lang w:val="en-US" w:eastAsia="zh-CN" w:bidi="ar-SA"/>
              </w:rPr>
            </w:pPr>
            <w:r>
              <w:rPr>
                <w:rFonts w:hint="default" w:ascii="Times New Roman" w:hAnsi="Times New Roman" w:eastAsia="宋体" w:cs="Times New Roman"/>
                <w:snapToGrid w:val="0"/>
                <w:color w:val="auto"/>
                <w:kern w:val="21"/>
                <w:sz w:val="18"/>
                <w:szCs w:val="18"/>
                <w:lang w:val="en-US" w:eastAsia="zh-CN" w:bidi="ar-SA"/>
              </w:rPr>
              <w:t>一般工业</w:t>
            </w:r>
          </w:p>
          <w:p w14:paraId="3B48410D">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snapToGrid w:val="0"/>
                <w:color w:val="auto"/>
                <w:kern w:val="21"/>
                <w:sz w:val="18"/>
                <w:szCs w:val="18"/>
                <w:lang w:val="en-US" w:eastAsia="zh-CN" w:bidi="ar-SA"/>
              </w:rPr>
            </w:pPr>
            <w:r>
              <w:rPr>
                <w:rFonts w:hint="default" w:ascii="Times New Roman" w:hAnsi="Times New Roman" w:eastAsia="宋体" w:cs="Times New Roman"/>
                <w:snapToGrid w:val="0"/>
                <w:color w:val="auto"/>
                <w:kern w:val="21"/>
                <w:sz w:val="18"/>
                <w:szCs w:val="18"/>
                <w:lang w:val="en-US" w:eastAsia="zh-CN" w:bidi="ar-SA"/>
              </w:rPr>
              <w:t>固体废物</w:t>
            </w:r>
          </w:p>
        </w:tc>
        <w:tc>
          <w:tcPr>
            <w:tcW w:w="657" w:type="pct"/>
            <w:vAlign w:val="center"/>
          </w:tcPr>
          <w:p w14:paraId="51B5082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边角料</w:t>
            </w:r>
          </w:p>
        </w:tc>
        <w:tc>
          <w:tcPr>
            <w:tcW w:w="548" w:type="pct"/>
            <w:vAlign w:val="center"/>
          </w:tcPr>
          <w:p w14:paraId="180B25B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w:t>
            </w:r>
          </w:p>
        </w:tc>
        <w:tc>
          <w:tcPr>
            <w:tcW w:w="447" w:type="pct"/>
            <w:vAlign w:val="center"/>
          </w:tcPr>
          <w:p w14:paraId="4C9CC1F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w:t>
            </w:r>
          </w:p>
        </w:tc>
        <w:tc>
          <w:tcPr>
            <w:tcW w:w="602" w:type="pct"/>
            <w:vAlign w:val="center"/>
          </w:tcPr>
          <w:p w14:paraId="0F3E573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w:t>
            </w:r>
          </w:p>
        </w:tc>
        <w:tc>
          <w:tcPr>
            <w:tcW w:w="1488" w:type="dxa"/>
            <w:vAlign w:val="center"/>
          </w:tcPr>
          <w:p w14:paraId="20FB21B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eastAsia" w:cs="Times New Roman"/>
                <w:color w:val="auto"/>
                <w:kern w:val="2"/>
                <w:sz w:val="18"/>
                <w:szCs w:val="18"/>
                <w:lang w:val="en-US" w:eastAsia="zh-CN" w:bidi="ar-SA"/>
              </w:rPr>
              <w:t>1.2</w:t>
            </w:r>
          </w:p>
        </w:tc>
        <w:tc>
          <w:tcPr>
            <w:tcW w:w="625" w:type="pct"/>
            <w:vAlign w:val="center"/>
          </w:tcPr>
          <w:p w14:paraId="279A69D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auto"/>
                <w:kern w:val="2"/>
                <w:sz w:val="18"/>
                <w:szCs w:val="18"/>
                <w:lang w:val="en-US" w:eastAsia="zh-CN" w:bidi="ar-SA"/>
              </w:rPr>
            </w:pPr>
            <w:r>
              <w:rPr>
                <w:rFonts w:hint="eastAsia" w:cs="Times New Roman"/>
                <w:color w:val="auto"/>
                <w:kern w:val="2"/>
                <w:sz w:val="18"/>
                <w:szCs w:val="18"/>
                <w:lang w:val="en-US" w:eastAsia="zh-CN" w:bidi="ar-SA"/>
              </w:rPr>
              <w:t>0</w:t>
            </w:r>
          </w:p>
        </w:tc>
        <w:tc>
          <w:tcPr>
            <w:tcW w:w="1707" w:type="dxa"/>
            <w:vAlign w:val="center"/>
          </w:tcPr>
          <w:p w14:paraId="2150521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eastAsia" w:cs="Times New Roman"/>
                <w:color w:val="auto"/>
                <w:kern w:val="2"/>
                <w:sz w:val="18"/>
                <w:szCs w:val="18"/>
                <w:lang w:val="en-US" w:eastAsia="zh-CN" w:bidi="ar-SA"/>
              </w:rPr>
              <w:t>1.2</w:t>
            </w:r>
          </w:p>
        </w:tc>
        <w:tc>
          <w:tcPr>
            <w:tcW w:w="1213" w:type="dxa"/>
            <w:vAlign w:val="center"/>
          </w:tcPr>
          <w:p w14:paraId="337375C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eastAsia" w:cs="Times New Roman"/>
                <w:color w:val="auto"/>
                <w:kern w:val="2"/>
                <w:sz w:val="18"/>
                <w:szCs w:val="18"/>
                <w:lang w:val="en-US" w:eastAsia="zh-CN" w:bidi="ar-SA"/>
              </w:rPr>
              <w:t>+1.2</w:t>
            </w:r>
          </w:p>
        </w:tc>
      </w:tr>
      <w:tr w14:paraId="296032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84" w:hRule="atLeast"/>
        </w:trPr>
        <w:tc>
          <w:tcPr>
            <w:tcW w:w="485" w:type="pct"/>
            <w:gridSpan w:val="2"/>
            <w:vMerge w:val="continue"/>
            <w:vAlign w:val="center"/>
          </w:tcPr>
          <w:p w14:paraId="028A0F3E">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snapToGrid w:val="0"/>
                <w:color w:val="auto"/>
                <w:kern w:val="21"/>
                <w:sz w:val="18"/>
                <w:szCs w:val="18"/>
                <w:lang w:val="en-US" w:eastAsia="zh-CN" w:bidi="ar-SA"/>
              </w:rPr>
            </w:pPr>
          </w:p>
        </w:tc>
        <w:tc>
          <w:tcPr>
            <w:tcW w:w="657" w:type="pct"/>
            <w:vAlign w:val="center"/>
          </w:tcPr>
          <w:p w14:paraId="53B836D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除尘灰</w:t>
            </w:r>
          </w:p>
        </w:tc>
        <w:tc>
          <w:tcPr>
            <w:tcW w:w="548" w:type="pct"/>
            <w:vAlign w:val="center"/>
          </w:tcPr>
          <w:p w14:paraId="1EDC769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w:t>
            </w:r>
          </w:p>
        </w:tc>
        <w:tc>
          <w:tcPr>
            <w:tcW w:w="447" w:type="pct"/>
            <w:vAlign w:val="center"/>
          </w:tcPr>
          <w:p w14:paraId="770E8D2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w:t>
            </w:r>
          </w:p>
        </w:tc>
        <w:tc>
          <w:tcPr>
            <w:tcW w:w="602" w:type="pct"/>
            <w:vAlign w:val="center"/>
          </w:tcPr>
          <w:p w14:paraId="271AC8A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w:t>
            </w:r>
          </w:p>
        </w:tc>
        <w:tc>
          <w:tcPr>
            <w:tcW w:w="1488" w:type="dxa"/>
            <w:vAlign w:val="center"/>
          </w:tcPr>
          <w:p w14:paraId="2D6F3C6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eastAsia" w:cs="Times New Roman"/>
                <w:color w:val="auto"/>
                <w:kern w:val="2"/>
                <w:sz w:val="18"/>
                <w:szCs w:val="18"/>
                <w:lang w:val="en-US" w:eastAsia="zh-CN" w:bidi="ar-SA"/>
              </w:rPr>
              <w:t>0.745</w:t>
            </w:r>
          </w:p>
        </w:tc>
        <w:tc>
          <w:tcPr>
            <w:tcW w:w="625" w:type="pct"/>
            <w:vAlign w:val="center"/>
          </w:tcPr>
          <w:p w14:paraId="6A76356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0</w:t>
            </w:r>
          </w:p>
        </w:tc>
        <w:tc>
          <w:tcPr>
            <w:tcW w:w="1707" w:type="dxa"/>
            <w:vAlign w:val="center"/>
          </w:tcPr>
          <w:p w14:paraId="0AEBE72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eastAsia" w:cs="Times New Roman"/>
                <w:color w:val="auto"/>
                <w:kern w:val="2"/>
                <w:sz w:val="18"/>
                <w:szCs w:val="18"/>
                <w:lang w:val="en-US" w:eastAsia="zh-CN" w:bidi="ar-SA"/>
              </w:rPr>
              <w:t>0.745</w:t>
            </w:r>
          </w:p>
        </w:tc>
        <w:tc>
          <w:tcPr>
            <w:tcW w:w="1213" w:type="dxa"/>
            <w:vAlign w:val="center"/>
          </w:tcPr>
          <w:p w14:paraId="158CC03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eastAsia" w:cs="Times New Roman"/>
                <w:color w:val="auto"/>
                <w:kern w:val="2"/>
                <w:sz w:val="18"/>
                <w:szCs w:val="18"/>
                <w:lang w:val="en-US" w:eastAsia="zh-CN" w:bidi="ar-SA"/>
              </w:rPr>
              <w:t>+0.745</w:t>
            </w:r>
          </w:p>
        </w:tc>
      </w:tr>
      <w:tr w14:paraId="1106A1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84" w:hRule="atLeast"/>
        </w:trPr>
        <w:tc>
          <w:tcPr>
            <w:tcW w:w="485" w:type="pct"/>
            <w:gridSpan w:val="2"/>
            <w:vMerge w:val="continue"/>
            <w:vAlign w:val="center"/>
          </w:tcPr>
          <w:p w14:paraId="6077C251">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snapToGrid w:val="0"/>
                <w:color w:val="auto"/>
                <w:kern w:val="21"/>
                <w:sz w:val="18"/>
                <w:szCs w:val="18"/>
                <w:lang w:val="en-US" w:eastAsia="zh-CN" w:bidi="ar-SA"/>
              </w:rPr>
            </w:pPr>
          </w:p>
        </w:tc>
        <w:tc>
          <w:tcPr>
            <w:tcW w:w="657" w:type="pct"/>
            <w:vAlign w:val="center"/>
          </w:tcPr>
          <w:p w14:paraId="643688C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eastAsia" w:cs="Times New Roman"/>
                <w:color w:val="auto"/>
                <w:sz w:val="18"/>
                <w:szCs w:val="18"/>
                <w:lang w:val="en-US" w:eastAsia="zh-CN"/>
              </w:rPr>
              <w:t>不合格品</w:t>
            </w:r>
          </w:p>
        </w:tc>
        <w:tc>
          <w:tcPr>
            <w:tcW w:w="548" w:type="pct"/>
            <w:vAlign w:val="center"/>
          </w:tcPr>
          <w:p w14:paraId="568C422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w:t>
            </w:r>
          </w:p>
        </w:tc>
        <w:tc>
          <w:tcPr>
            <w:tcW w:w="447" w:type="pct"/>
            <w:vAlign w:val="center"/>
          </w:tcPr>
          <w:p w14:paraId="5A626BA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w:t>
            </w:r>
          </w:p>
        </w:tc>
        <w:tc>
          <w:tcPr>
            <w:tcW w:w="602" w:type="pct"/>
            <w:vAlign w:val="center"/>
          </w:tcPr>
          <w:p w14:paraId="419E81C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w:t>
            </w:r>
          </w:p>
        </w:tc>
        <w:tc>
          <w:tcPr>
            <w:tcW w:w="1488" w:type="dxa"/>
            <w:vAlign w:val="center"/>
          </w:tcPr>
          <w:p w14:paraId="4F5B4CA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eastAsia" w:cs="Times New Roman"/>
                <w:color w:val="auto"/>
                <w:sz w:val="18"/>
                <w:szCs w:val="18"/>
                <w:lang w:val="en-US" w:eastAsia="zh-CN"/>
              </w:rPr>
              <w:t>5</w:t>
            </w:r>
          </w:p>
        </w:tc>
        <w:tc>
          <w:tcPr>
            <w:tcW w:w="625" w:type="pct"/>
            <w:vAlign w:val="center"/>
          </w:tcPr>
          <w:p w14:paraId="36A48C7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0</w:t>
            </w:r>
          </w:p>
        </w:tc>
        <w:tc>
          <w:tcPr>
            <w:tcW w:w="1707" w:type="dxa"/>
            <w:vAlign w:val="center"/>
          </w:tcPr>
          <w:p w14:paraId="1FB9044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eastAsia" w:cs="Times New Roman"/>
                <w:color w:val="auto"/>
                <w:sz w:val="18"/>
                <w:szCs w:val="18"/>
                <w:lang w:val="en-US" w:eastAsia="zh-CN"/>
              </w:rPr>
              <w:t>5</w:t>
            </w:r>
          </w:p>
        </w:tc>
        <w:tc>
          <w:tcPr>
            <w:tcW w:w="1213" w:type="dxa"/>
            <w:vAlign w:val="center"/>
          </w:tcPr>
          <w:p w14:paraId="445BCB1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eastAsia" w:cs="Times New Roman"/>
                <w:color w:val="auto"/>
                <w:sz w:val="18"/>
                <w:szCs w:val="18"/>
                <w:lang w:val="en-US" w:eastAsia="zh-CN"/>
              </w:rPr>
              <w:t>+5</w:t>
            </w:r>
          </w:p>
        </w:tc>
      </w:tr>
      <w:tr w14:paraId="6C9060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84" w:hRule="atLeast"/>
        </w:trPr>
        <w:tc>
          <w:tcPr>
            <w:tcW w:w="485" w:type="pct"/>
            <w:gridSpan w:val="2"/>
            <w:vAlign w:val="center"/>
          </w:tcPr>
          <w:p w14:paraId="372F3BE4">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snapToGrid w:val="0"/>
                <w:color w:val="auto"/>
                <w:kern w:val="21"/>
                <w:sz w:val="18"/>
                <w:szCs w:val="18"/>
                <w:lang w:val="en-US" w:eastAsia="zh-CN" w:bidi="ar-SA"/>
              </w:rPr>
            </w:pPr>
            <w:r>
              <w:rPr>
                <w:rFonts w:hint="default" w:ascii="Times New Roman" w:hAnsi="Times New Roman" w:cs="Times New Roman"/>
                <w:color w:val="auto"/>
                <w:sz w:val="18"/>
                <w:szCs w:val="18"/>
              </w:rPr>
              <w:t>生活垃圾</w:t>
            </w:r>
          </w:p>
        </w:tc>
        <w:tc>
          <w:tcPr>
            <w:tcW w:w="657" w:type="pct"/>
            <w:vAlign w:val="center"/>
          </w:tcPr>
          <w:p w14:paraId="4E05A56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生活垃圾</w:t>
            </w:r>
          </w:p>
        </w:tc>
        <w:tc>
          <w:tcPr>
            <w:tcW w:w="548" w:type="pct"/>
            <w:vAlign w:val="center"/>
          </w:tcPr>
          <w:p w14:paraId="3018F51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w:t>
            </w:r>
          </w:p>
        </w:tc>
        <w:tc>
          <w:tcPr>
            <w:tcW w:w="447" w:type="pct"/>
            <w:vAlign w:val="center"/>
          </w:tcPr>
          <w:p w14:paraId="42908BA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w:t>
            </w:r>
          </w:p>
        </w:tc>
        <w:tc>
          <w:tcPr>
            <w:tcW w:w="602" w:type="pct"/>
            <w:vAlign w:val="center"/>
          </w:tcPr>
          <w:p w14:paraId="2DA3DE3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w:t>
            </w:r>
          </w:p>
        </w:tc>
        <w:tc>
          <w:tcPr>
            <w:tcW w:w="1488" w:type="dxa"/>
            <w:vAlign w:val="center"/>
          </w:tcPr>
          <w:p w14:paraId="321FE91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1.512</w:t>
            </w:r>
          </w:p>
        </w:tc>
        <w:tc>
          <w:tcPr>
            <w:tcW w:w="625" w:type="pct"/>
            <w:vAlign w:val="center"/>
          </w:tcPr>
          <w:p w14:paraId="0F6AC7E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0</w:t>
            </w:r>
          </w:p>
        </w:tc>
        <w:tc>
          <w:tcPr>
            <w:tcW w:w="1707" w:type="dxa"/>
            <w:vAlign w:val="center"/>
          </w:tcPr>
          <w:p w14:paraId="4FFE27C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1.512</w:t>
            </w:r>
          </w:p>
        </w:tc>
        <w:tc>
          <w:tcPr>
            <w:tcW w:w="1213" w:type="dxa"/>
            <w:vAlign w:val="center"/>
          </w:tcPr>
          <w:p w14:paraId="740BF3A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+1.512</w:t>
            </w:r>
          </w:p>
        </w:tc>
      </w:tr>
      <w:bookmarkEnd w:id="23"/>
    </w:tbl>
    <w:p w14:paraId="2D41E348">
      <w:pPr>
        <w:adjustRightInd w:val="0"/>
        <w:snapToGrid w:val="0"/>
        <w:spacing w:beforeLines="0" w:after="31" w:afterLines="10" w:line="259" w:lineRule="auto"/>
        <w:jc w:val="left"/>
        <w:rPr>
          <w:rFonts w:hint="default" w:ascii="Times New Roman" w:hAnsi="Times New Roman" w:eastAsia="宋体" w:cs="Times New Roman"/>
          <w:color w:val="auto"/>
        </w:rPr>
      </w:pPr>
      <w:r>
        <w:rPr>
          <w:rFonts w:hint="default" w:ascii="Times New Roman" w:hAnsi="Times New Roman" w:eastAsia="宋体" w:cs="Times New Roman"/>
          <w:snapToGrid w:val="0"/>
          <w:color w:val="auto"/>
          <w:kern w:val="21"/>
          <w:sz w:val="21"/>
          <w:szCs w:val="21"/>
          <w:lang w:val="en-US" w:eastAsia="zh-CN" w:bidi="ar-SA"/>
        </w:rPr>
        <w:t>注：</w:t>
      </w:r>
      <w:r>
        <w:rPr>
          <w:rFonts w:hint="default" w:ascii="Times New Roman" w:hAnsi="Times New Roman" w:eastAsia="宋体" w:cs="Times New Roman"/>
          <w:snapToGrid w:val="0"/>
          <w:color w:val="auto"/>
          <w:spacing w:val="-16"/>
          <w:kern w:val="21"/>
          <w:sz w:val="21"/>
          <w:szCs w:val="21"/>
          <w:lang w:val="en-US" w:eastAsia="zh-CN" w:bidi="ar-SA"/>
        </w:rPr>
        <w:fldChar w:fldCharType="begin"/>
      </w:r>
      <w:r>
        <w:rPr>
          <w:rFonts w:hint="default" w:ascii="Times New Roman" w:hAnsi="Times New Roman" w:eastAsia="宋体" w:cs="Times New Roman"/>
          <w:snapToGrid w:val="0"/>
          <w:color w:val="auto"/>
          <w:spacing w:val="-16"/>
          <w:kern w:val="21"/>
          <w:sz w:val="21"/>
          <w:szCs w:val="21"/>
          <w:lang w:val="en-US" w:eastAsia="zh-CN" w:bidi="ar-SA"/>
        </w:rPr>
        <w:instrText xml:space="preserve"> = 6 \* GB3 \* MERGEFORMAT </w:instrText>
      </w:r>
      <w:r>
        <w:rPr>
          <w:rFonts w:hint="default" w:ascii="Times New Roman" w:hAnsi="Times New Roman" w:eastAsia="宋体" w:cs="Times New Roman"/>
          <w:snapToGrid w:val="0"/>
          <w:color w:val="auto"/>
          <w:spacing w:val="-16"/>
          <w:kern w:val="21"/>
          <w:sz w:val="21"/>
          <w:szCs w:val="21"/>
          <w:lang w:val="en-US" w:eastAsia="zh-CN" w:bidi="ar-SA"/>
        </w:rPr>
        <w:fldChar w:fldCharType="separate"/>
      </w:r>
      <w:r>
        <w:rPr>
          <w:rFonts w:hint="default" w:ascii="Times New Roman" w:hAnsi="Times New Roman" w:eastAsia="宋体" w:cs="Times New Roman"/>
          <w:color w:val="auto"/>
          <w:kern w:val="0"/>
          <w:sz w:val="21"/>
          <w:szCs w:val="21"/>
          <w:lang w:val="en-US" w:eastAsia="zh-CN" w:bidi="ar-SA"/>
        </w:rPr>
        <w:t>⑥</w:t>
      </w:r>
      <w:r>
        <w:rPr>
          <w:rFonts w:hint="default" w:ascii="Times New Roman" w:hAnsi="Times New Roman" w:eastAsia="宋体" w:cs="Times New Roman"/>
          <w:snapToGrid w:val="0"/>
          <w:color w:val="auto"/>
          <w:spacing w:val="-16"/>
          <w:kern w:val="21"/>
          <w:sz w:val="21"/>
          <w:szCs w:val="21"/>
          <w:lang w:val="en-US" w:eastAsia="zh-CN" w:bidi="ar-SA"/>
        </w:rPr>
        <w:fldChar w:fldCharType="end"/>
      </w:r>
      <w:r>
        <w:rPr>
          <w:rFonts w:hint="default" w:ascii="Times New Roman" w:hAnsi="Times New Roman" w:eastAsia="宋体" w:cs="Times New Roman"/>
          <w:snapToGrid w:val="0"/>
          <w:color w:val="auto"/>
          <w:spacing w:val="-16"/>
          <w:kern w:val="21"/>
          <w:sz w:val="21"/>
          <w:szCs w:val="21"/>
          <w:lang w:val="en-US" w:eastAsia="zh-CN" w:bidi="ar-SA"/>
        </w:rPr>
        <w:t>=</w:t>
      </w:r>
      <w:r>
        <w:rPr>
          <w:rFonts w:hint="default" w:ascii="Times New Roman" w:hAnsi="Times New Roman" w:eastAsia="宋体" w:cs="Times New Roman"/>
          <w:snapToGrid w:val="0"/>
          <w:color w:val="auto"/>
          <w:spacing w:val="-6"/>
          <w:kern w:val="21"/>
          <w:sz w:val="21"/>
          <w:szCs w:val="21"/>
          <w:lang w:val="en-US" w:eastAsia="zh-CN" w:bidi="ar-SA"/>
        </w:rPr>
        <w:fldChar w:fldCharType="begin"/>
      </w:r>
      <w:r>
        <w:rPr>
          <w:rFonts w:hint="default" w:ascii="Times New Roman" w:hAnsi="Times New Roman" w:eastAsia="宋体" w:cs="Times New Roman"/>
          <w:snapToGrid w:val="0"/>
          <w:color w:val="auto"/>
          <w:spacing w:val="-6"/>
          <w:kern w:val="21"/>
          <w:sz w:val="21"/>
          <w:szCs w:val="21"/>
          <w:lang w:val="en-US" w:eastAsia="zh-CN" w:bidi="ar-SA"/>
        </w:rPr>
        <w:instrText xml:space="preserve"> = 1 \* GB3 \* MERGEFORMAT </w:instrText>
      </w:r>
      <w:r>
        <w:rPr>
          <w:rFonts w:hint="default" w:ascii="Times New Roman" w:hAnsi="Times New Roman" w:eastAsia="宋体" w:cs="Times New Roman"/>
          <w:snapToGrid w:val="0"/>
          <w:color w:val="auto"/>
          <w:spacing w:val="-6"/>
          <w:kern w:val="21"/>
          <w:sz w:val="21"/>
          <w:szCs w:val="21"/>
          <w:lang w:val="en-US" w:eastAsia="zh-CN" w:bidi="ar-SA"/>
        </w:rPr>
        <w:fldChar w:fldCharType="separate"/>
      </w:r>
      <w:r>
        <w:rPr>
          <w:rFonts w:hint="default" w:ascii="Times New Roman" w:hAnsi="Times New Roman" w:eastAsia="宋体" w:cs="Times New Roman"/>
          <w:color w:val="auto"/>
          <w:kern w:val="0"/>
          <w:sz w:val="21"/>
          <w:szCs w:val="21"/>
          <w:lang w:val="en-US" w:eastAsia="zh-CN" w:bidi="ar-SA"/>
        </w:rPr>
        <w:t>①</w:t>
      </w:r>
      <w:r>
        <w:rPr>
          <w:rFonts w:hint="default" w:ascii="Times New Roman" w:hAnsi="Times New Roman" w:eastAsia="宋体" w:cs="Times New Roman"/>
          <w:snapToGrid w:val="0"/>
          <w:color w:val="auto"/>
          <w:spacing w:val="-6"/>
          <w:kern w:val="21"/>
          <w:sz w:val="21"/>
          <w:szCs w:val="21"/>
          <w:lang w:val="en-US" w:eastAsia="zh-CN" w:bidi="ar-SA"/>
        </w:rPr>
        <w:fldChar w:fldCharType="end"/>
      </w:r>
      <w:r>
        <w:rPr>
          <w:rFonts w:hint="default" w:ascii="Times New Roman" w:hAnsi="Times New Roman" w:eastAsia="宋体" w:cs="Times New Roman"/>
          <w:snapToGrid w:val="0"/>
          <w:color w:val="auto"/>
          <w:spacing w:val="-6"/>
          <w:kern w:val="21"/>
          <w:sz w:val="21"/>
          <w:szCs w:val="21"/>
          <w:lang w:val="en-US" w:eastAsia="zh-CN" w:bidi="ar-SA"/>
        </w:rPr>
        <w:t>+</w:t>
      </w:r>
      <w:r>
        <w:rPr>
          <w:rFonts w:hint="default" w:ascii="Times New Roman" w:hAnsi="Times New Roman" w:eastAsia="宋体" w:cs="Times New Roman"/>
          <w:snapToGrid w:val="0"/>
          <w:color w:val="auto"/>
          <w:spacing w:val="-6"/>
          <w:kern w:val="21"/>
          <w:sz w:val="21"/>
          <w:szCs w:val="21"/>
          <w:lang w:val="en-US" w:eastAsia="zh-CN" w:bidi="ar-SA"/>
        </w:rPr>
        <w:fldChar w:fldCharType="begin"/>
      </w:r>
      <w:r>
        <w:rPr>
          <w:rFonts w:hint="default" w:ascii="Times New Roman" w:hAnsi="Times New Roman" w:eastAsia="宋体" w:cs="Times New Roman"/>
          <w:snapToGrid w:val="0"/>
          <w:color w:val="auto"/>
          <w:spacing w:val="-6"/>
          <w:kern w:val="21"/>
          <w:sz w:val="21"/>
          <w:szCs w:val="21"/>
          <w:lang w:val="en-US" w:eastAsia="zh-CN" w:bidi="ar-SA"/>
        </w:rPr>
        <w:instrText xml:space="preserve"> = 3 \* GB3 \* MERGEFORMAT </w:instrText>
      </w:r>
      <w:r>
        <w:rPr>
          <w:rFonts w:hint="default" w:ascii="Times New Roman" w:hAnsi="Times New Roman" w:eastAsia="宋体" w:cs="Times New Roman"/>
          <w:snapToGrid w:val="0"/>
          <w:color w:val="auto"/>
          <w:spacing w:val="-6"/>
          <w:kern w:val="21"/>
          <w:sz w:val="21"/>
          <w:szCs w:val="21"/>
          <w:lang w:val="en-US" w:eastAsia="zh-CN" w:bidi="ar-SA"/>
        </w:rPr>
        <w:fldChar w:fldCharType="separate"/>
      </w:r>
      <w:r>
        <w:rPr>
          <w:rFonts w:hint="default" w:ascii="Times New Roman" w:hAnsi="Times New Roman" w:eastAsia="宋体" w:cs="Times New Roman"/>
          <w:color w:val="auto"/>
          <w:kern w:val="0"/>
          <w:sz w:val="21"/>
          <w:szCs w:val="21"/>
          <w:lang w:val="en-US" w:eastAsia="zh-CN" w:bidi="ar-SA"/>
        </w:rPr>
        <w:t>③</w:t>
      </w:r>
      <w:r>
        <w:rPr>
          <w:rFonts w:hint="default" w:ascii="Times New Roman" w:hAnsi="Times New Roman" w:eastAsia="宋体" w:cs="Times New Roman"/>
          <w:snapToGrid w:val="0"/>
          <w:color w:val="auto"/>
          <w:spacing w:val="-6"/>
          <w:kern w:val="21"/>
          <w:sz w:val="21"/>
          <w:szCs w:val="21"/>
          <w:lang w:val="en-US" w:eastAsia="zh-CN" w:bidi="ar-SA"/>
        </w:rPr>
        <w:fldChar w:fldCharType="end"/>
      </w:r>
      <w:r>
        <w:rPr>
          <w:rFonts w:hint="default" w:ascii="Times New Roman" w:hAnsi="Times New Roman" w:eastAsia="宋体" w:cs="Times New Roman"/>
          <w:snapToGrid w:val="0"/>
          <w:color w:val="auto"/>
          <w:spacing w:val="-6"/>
          <w:kern w:val="21"/>
          <w:sz w:val="21"/>
          <w:szCs w:val="21"/>
          <w:lang w:val="en-US" w:eastAsia="zh-CN" w:bidi="ar-SA"/>
        </w:rPr>
        <w:t>+</w:t>
      </w:r>
      <w:r>
        <w:rPr>
          <w:rFonts w:hint="default" w:ascii="Times New Roman" w:hAnsi="Times New Roman" w:eastAsia="宋体" w:cs="Times New Roman"/>
          <w:snapToGrid w:val="0"/>
          <w:color w:val="auto"/>
          <w:spacing w:val="-6"/>
          <w:kern w:val="21"/>
          <w:sz w:val="21"/>
          <w:szCs w:val="21"/>
          <w:lang w:val="en-US" w:eastAsia="zh-CN" w:bidi="ar-SA"/>
        </w:rPr>
        <w:fldChar w:fldCharType="begin"/>
      </w:r>
      <w:r>
        <w:rPr>
          <w:rFonts w:hint="default" w:ascii="Times New Roman" w:hAnsi="Times New Roman" w:eastAsia="宋体" w:cs="Times New Roman"/>
          <w:snapToGrid w:val="0"/>
          <w:color w:val="auto"/>
          <w:spacing w:val="-6"/>
          <w:kern w:val="21"/>
          <w:sz w:val="21"/>
          <w:szCs w:val="21"/>
          <w:lang w:val="en-US" w:eastAsia="zh-CN" w:bidi="ar-SA"/>
        </w:rPr>
        <w:instrText xml:space="preserve"> = 4 \* GB3 \* MERGEFORMAT </w:instrText>
      </w:r>
      <w:r>
        <w:rPr>
          <w:rFonts w:hint="default" w:ascii="Times New Roman" w:hAnsi="Times New Roman" w:eastAsia="宋体" w:cs="Times New Roman"/>
          <w:snapToGrid w:val="0"/>
          <w:color w:val="auto"/>
          <w:spacing w:val="-6"/>
          <w:kern w:val="21"/>
          <w:sz w:val="21"/>
          <w:szCs w:val="21"/>
          <w:lang w:val="en-US" w:eastAsia="zh-CN" w:bidi="ar-SA"/>
        </w:rPr>
        <w:fldChar w:fldCharType="separate"/>
      </w:r>
      <w:r>
        <w:rPr>
          <w:rFonts w:hint="default" w:ascii="Times New Roman" w:hAnsi="Times New Roman" w:eastAsia="宋体" w:cs="Times New Roman"/>
          <w:color w:val="auto"/>
          <w:kern w:val="0"/>
          <w:sz w:val="21"/>
          <w:szCs w:val="21"/>
          <w:lang w:val="en-US" w:eastAsia="zh-CN" w:bidi="ar-SA"/>
        </w:rPr>
        <w:t>④</w:t>
      </w:r>
      <w:r>
        <w:rPr>
          <w:rFonts w:hint="default" w:ascii="Times New Roman" w:hAnsi="Times New Roman" w:eastAsia="宋体" w:cs="Times New Roman"/>
          <w:snapToGrid w:val="0"/>
          <w:color w:val="auto"/>
          <w:spacing w:val="-6"/>
          <w:kern w:val="21"/>
          <w:sz w:val="21"/>
          <w:szCs w:val="21"/>
          <w:lang w:val="en-US" w:eastAsia="zh-CN" w:bidi="ar-SA"/>
        </w:rPr>
        <w:fldChar w:fldCharType="end"/>
      </w:r>
      <w:r>
        <w:rPr>
          <w:rFonts w:hint="default" w:ascii="Times New Roman" w:hAnsi="Times New Roman" w:eastAsia="宋体" w:cs="Times New Roman"/>
          <w:snapToGrid w:val="0"/>
          <w:color w:val="auto"/>
          <w:spacing w:val="-6"/>
          <w:kern w:val="21"/>
          <w:sz w:val="21"/>
          <w:szCs w:val="21"/>
          <w:lang w:val="en-US" w:eastAsia="zh-CN" w:bidi="ar-SA"/>
        </w:rPr>
        <w:t>-</w:t>
      </w:r>
      <w:r>
        <w:rPr>
          <w:rFonts w:hint="default" w:ascii="Times New Roman" w:hAnsi="Times New Roman" w:eastAsia="宋体" w:cs="Times New Roman"/>
          <w:snapToGrid w:val="0"/>
          <w:color w:val="auto"/>
          <w:spacing w:val="-16"/>
          <w:kern w:val="21"/>
          <w:sz w:val="21"/>
          <w:szCs w:val="21"/>
          <w:lang w:val="en-US" w:eastAsia="zh-CN" w:bidi="ar-SA"/>
        </w:rPr>
        <w:fldChar w:fldCharType="begin"/>
      </w:r>
      <w:r>
        <w:rPr>
          <w:rFonts w:hint="default" w:ascii="Times New Roman" w:hAnsi="Times New Roman" w:eastAsia="宋体" w:cs="Times New Roman"/>
          <w:snapToGrid w:val="0"/>
          <w:color w:val="auto"/>
          <w:spacing w:val="-16"/>
          <w:kern w:val="21"/>
          <w:sz w:val="21"/>
          <w:szCs w:val="21"/>
          <w:lang w:val="en-US" w:eastAsia="zh-CN" w:bidi="ar-SA"/>
        </w:rPr>
        <w:instrText xml:space="preserve"> = 5 \* GB3 \* MERGEFORMAT </w:instrText>
      </w:r>
      <w:r>
        <w:rPr>
          <w:rFonts w:hint="default" w:ascii="Times New Roman" w:hAnsi="Times New Roman" w:eastAsia="宋体" w:cs="Times New Roman"/>
          <w:snapToGrid w:val="0"/>
          <w:color w:val="auto"/>
          <w:spacing w:val="-16"/>
          <w:kern w:val="21"/>
          <w:sz w:val="21"/>
          <w:szCs w:val="21"/>
          <w:lang w:val="en-US" w:eastAsia="zh-CN" w:bidi="ar-SA"/>
        </w:rPr>
        <w:fldChar w:fldCharType="separate"/>
      </w:r>
      <w:r>
        <w:rPr>
          <w:rFonts w:hint="default" w:ascii="Times New Roman" w:hAnsi="Times New Roman" w:eastAsia="宋体" w:cs="Times New Roman"/>
          <w:color w:val="auto"/>
          <w:kern w:val="0"/>
          <w:sz w:val="21"/>
          <w:szCs w:val="21"/>
          <w:lang w:val="en-US" w:eastAsia="zh-CN" w:bidi="ar-SA"/>
        </w:rPr>
        <w:t>⑤</w:t>
      </w:r>
      <w:r>
        <w:rPr>
          <w:rFonts w:hint="default" w:ascii="Times New Roman" w:hAnsi="Times New Roman" w:eastAsia="宋体" w:cs="Times New Roman"/>
          <w:snapToGrid w:val="0"/>
          <w:color w:val="auto"/>
          <w:spacing w:val="-16"/>
          <w:kern w:val="21"/>
          <w:sz w:val="21"/>
          <w:szCs w:val="21"/>
          <w:lang w:val="en-US" w:eastAsia="zh-CN" w:bidi="ar-SA"/>
        </w:rPr>
        <w:fldChar w:fldCharType="end"/>
      </w:r>
      <w:r>
        <w:rPr>
          <w:rFonts w:hint="default" w:ascii="Times New Roman" w:hAnsi="Times New Roman" w:eastAsia="宋体" w:cs="Times New Roman"/>
          <w:snapToGrid w:val="0"/>
          <w:color w:val="auto"/>
          <w:spacing w:val="-16"/>
          <w:kern w:val="21"/>
          <w:sz w:val="21"/>
          <w:szCs w:val="21"/>
          <w:lang w:val="en-US" w:eastAsia="zh-CN" w:bidi="ar-SA"/>
        </w:rPr>
        <w:t>；</w:t>
      </w:r>
      <w:r>
        <w:rPr>
          <w:rFonts w:hint="default" w:ascii="Times New Roman" w:hAnsi="Times New Roman" w:eastAsia="宋体" w:cs="Times New Roman"/>
          <w:snapToGrid w:val="0"/>
          <w:color w:val="auto"/>
          <w:spacing w:val="-6"/>
          <w:kern w:val="21"/>
          <w:sz w:val="21"/>
          <w:szCs w:val="21"/>
          <w:lang w:val="en-US" w:eastAsia="zh-CN" w:bidi="ar-SA"/>
        </w:rPr>
        <w:fldChar w:fldCharType="begin"/>
      </w:r>
      <w:r>
        <w:rPr>
          <w:rFonts w:hint="default" w:ascii="Times New Roman" w:hAnsi="Times New Roman" w:eastAsia="宋体" w:cs="Times New Roman"/>
          <w:snapToGrid w:val="0"/>
          <w:color w:val="auto"/>
          <w:spacing w:val="-6"/>
          <w:kern w:val="21"/>
          <w:sz w:val="21"/>
          <w:szCs w:val="21"/>
          <w:lang w:val="en-US" w:eastAsia="zh-CN" w:bidi="ar-SA"/>
        </w:rPr>
        <w:instrText xml:space="preserve"> = 7 \* GB3 \* MERGEFORMAT </w:instrText>
      </w:r>
      <w:r>
        <w:rPr>
          <w:rFonts w:hint="default" w:ascii="Times New Roman" w:hAnsi="Times New Roman" w:eastAsia="宋体" w:cs="Times New Roman"/>
          <w:snapToGrid w:val="0"/>
          <w:color w:val="auto"/>
          <w:spacing w:val="-6"/>
          <w:kern w:val="21"/>
          <w:sz w:val="21"/>
          <w:szCs w:val="21"/>
          <w:lang w:val="en-US" w:eastAsia="zh-CN" w:bidi="ar-SA"/>
        </w:rPr>
        <w:fldChar w:fldCharType="separate"/>
      </w:r>
      <w:r>
        <w:rPr>
          <w:rFonts w:hint="default" w:ascii="Times New Roman" w:hAnsi="Times New Roman" w:eastAsia="宋体" w:cs="Times New Roman"/>
          <w:color w:val="auto"/>
          <w:kern w:val="0"/>
          <w:sz w:val="21"/>
          <w:szCs w:val="21"/>
          <w:lang w:val="en-US" w:eastAsia="zh-CN" w:bidi="ar-SA"/>
        </w:rPr>
        <w:t>⑦</w:t>
      </w:r>
      <w:r>
        <w:rPr>
          <w:rFonts w:hint="default" w:ascii="Times New Roman" w:hAnsi="Times New Roman" w:eastAsia="宋体" w:cs="Times New Roman"/>
          <w:snapToGrid w:val="0"/>
          <w:color w:val="auto"/>
          <w:spacing w:val="-6"/>
          <w:kern w:val="21"/>
          <w:sz w:val="21"/>
          <w:szCs w:val="21"/>
          <w:lang w:val="en-US" w:eastAsia="zh-CN" w:bidi="ar-SA"/>
        </w:rPr>
        <w:fldChar w:fldCharType="end"/>
      </w:r>
      <w:r>
        <w:rPr>
          <w:rFonts w:hint="default" w:ascii="Times New Roman" w:hAnsi="Times New Roman" w:eastAsia="宋体" w:cs="Times New Roman"/>
          <w:snapToGrid w:val="0"/>
          <w:color w:val="auto"/>
          <w:spacing w:val="-6"/>
          <w:kern w:val="21"/>
          <w:sz w:val="21"/>
          <w:szCs w:val="21"/>
          <w:lang w:val="en-US" w:eastAsia="zh-CN" w:bidi="ar-SA"/>
        </w:rPr>
        <w:t>=</w:t>
      </w:r>
      <w:r>
        <w:rPr>
          <w:rFonts w:hint="default" w:ascii="Times New Roman" w:hAnsi="Times New Roman" w:eastAsia="宋体" w:cs="Times New Roman"/>
          <w:snapToGrid w:val="0"/>
          <w:color w:val="auto"/>
          <w:spacing w:val="-16"/>
          <w:kern w:val="21"/>
          <w:sz w:val="21"/>
          <w:szCs w:val="21"/>
          <w:lang w:val="en-US" w:eastAsia="zh-CN" w:bidi="ar-SA"/>
        </w:rPr>
        <w:fldChar w:fldCharType="begin"/>
      </w:r>
      <w:r>
        <w:rPr>
          <w:rFonts w:hint="default" w:ascii="Times New Roman" w:hAnsi="Times New Roman" w:eastAsia="宋体" w:cs="Times New Roman"/>
          <w:snapToGrid w:val="0"/>
          <w:color w:val="auto"/>
          <w:spacing w:val="-16"/>
          <w:kern w:val="21"/>
          <w:sz w:val="21"/>
          <w:szCs w:val="21"/>
          <w:lang w:val="en-US" w:eastAsia="zh-CN" w:bidi="ar-SA"/>
        </w:rPr>
        <w:instrText xml:space="preserve"> = 6 \* GB3 \* MERGEFORMAT </w:instrText>
      </w:r>
      <w:r>
        <w:rPr>
          <w:rFonts w:hint="default" w:ascii="Times New Roman" w:hAnsi="Times New Roman" w:eastAsia="宋体" w:cs="Times New Roman"/>
          <w:snapToGrid w:val="0"/>
          <w:color w:val="auto"/>
          <w:spacing w:val="-16"/>
          <w:kern w:val="21"/>
          <w:sz w:val="21"/>
          <w:szCs w:val="21"/>
          <w:lang w:val="en-US" w:eastAsia="zh-CN" w:bidi="ar-SA"/>
        </w:rPr>
        <w:fldChar w:fldCharType="separate"/>
      </w:r>
      <w:r>
        <w:rPr>
          <w:rFonts w:hint="default" w:ascii="Times New Roman" w:hAnsi="Times New Roman" w:eastAsia="宋体" w:cs="Times New Roman"/>
          <w:color w:val="auto"/>
          <w:kern w:val="0"/>
          <w:sz w:val="21"/>
          <w:szCs w:val="21"/>
          <w:lang w:val="en-US" w:eastAsia="zh-CN" w:bidi="ar-SA"/>
        </w:rPr>
        <w:t>⑥</w:t>
      </w:r>
      <w:r>
        <w:rPr>
          <w:rFonts w:hint="default" w:ascii="Times New Roman" w:hAnsi="Times New Roman" w:eastAsia="宋体" w:cs="Times New Roman"/>
          <w:snapToGrid w:val="0"/>
          <w:color w:val="auto"/>
          <w:spacing w:val="-16"/>
          <w:kern w:val="21"/>
          <w:sz w:val="21"/>
          <w:szCs w:val="21"/>
          <w:lang w:val="en-US" w:eastAsia="zh-CN" w:bidi="ar-SA"/>
        </w:rPr>
        <w:fldChar w:fldCharType="end"/>
      </w:r>
      <w:r>
        <w:rPr>
          <w:rFonts w:hint="default" w:ascii="Times New Roman" w:hAnsi="Times New Roman" w:eastAsia="宋体" w:cs="Times New Roman"/>
          <w:snapToGrid w:val="0"/>
          <w:color w:val="auto"/>
          <w:spacing w:val="-16"/>
          <w:kern w:val="21"/>
          <w:sz w:val="21"/>
          <w:szCs w:val="21"/>
          <w:lang w:val="en-US" w:eastAsia="zh-CN" w:bidi="ar-SA"/>
        </w:rPr>
        <w:t>-</w:t>
      </w:r>
      <w:r>
        <w:rPr>
          <w:rFonts w:hint="default" w:ascii="Times New Roman" w:hAnsi="Times New Roman" w:eastAsia="宋体" w:cs="Times New Roman"/>
          <w:snapToGrid w:val="0"/>
          <w:color w:val="auto"/>
          <w:spacing w:val="-6"/>
          <w:kern w:val="21"/>
          <w:sz w:val="21"/>
          <w:szCs w:val="21"/>
          <w:lang w:val="en-US" w:eastAsia="zh-CN" w:bidi="ar-SA"/>
        </w:rPr>
        <w:fldChar w:fldCharType="begin"/>
      </w:r>
      <w:r>
        <w:rPr>
          <w:rFonts w:hint="default" w:ascii="Times New Roman" w:hAnsi="Times New Roman" w:eastAsia="宋体" w:cs="Times New Roman"/>
          <w:snapToGrid w:val="0"/>
          <w:color w:val="auto"/>
          <w:spacing w:val="-6"/>
          <w:kern w:val="21"/>
          <w:sz w:val="21"/>
          <w:szCs w:val="21"/>
          <w:lang w:val="en-US" w:eastAsia="zh-CN" w:bidi="ar-SA"/>
        </w:rPr>
        <w:instrText xml:space="preserve"> = 1 \* GB3 \* MERGEFORMAT </w:instrText>
      </w:r>
      <w:r>
        <w:rPr>
          <w:rFonts w:hint="default" w:ascii="Times New Roman" w:hAnsi="Times New Roman" w:eastAsia="宋体" w:cs="Times New Roman"/>
          <w:snapToGrid w:val="0"/>
          <w:color w:val="auto"/>
          <w:spacing w:val="-6"/>
          <w:kern w:val="21"/>
          <w:sz w:val="21"/>
          <w:szCs w:val="21"/>
          <w:lang w:val="en-US" w:eastAsia="zh-CN" w:bidi="ar-SA"/>
        </w:rPr>
        <w:fldChar w:fldCharType="separate"/>
      </w:r>
      <w:r>
        <w:rPr>
          <w:rFonts w:hint="default" w:ascii="Times New Roman" w:hAnsi="Times New Roman" w:eastAsia="宋体" w:cs="Times New Roman"/>
          <w:color w:val="auto"/>
          <w:kern w:val="0"/>
          <w:sz w:val="21"/>
          <w:szCs w:val="21"/>
          <w:lang w:val="en-US" w:eastAsia="zh-CN" w:bidi="ar-SA"/>
        </w:rPr>
        <w:t>①</w:t>
      </w:r>
      <w:r>
        <w:rPr>
          <w:rFonts w:hint="default" w:ascii="Times New Roman" w:hAnsi="Times New Roman" w:eastAsia="宋体" w:cs="Times New Roman"/>
          <w:snapToGrid w:val="0"/>
          <w:color w:val="auto"/>
          <w:spacing w:val="-6"/>
          <w:kern w:val="21"/>
          <w:sz w:val="21"/>
          <w:szCs w:val="21"/>
          <w:lang w:val="en-US" w:eastAsia="zh-CN" w:bidi="ar-SA"/>
        </w:rPr>
        <w:fldChar w:fldCharType="end"/>
      </w:r>
    </w:p>
    <w:sectPr>
      <w:footerReference r:id="rId7" w:type="default"/>
      <w:pgSz w:w="16838" w:h="11906" w:orient="landscape"/>
      <w:pgMar w:top="1531" w:right="1701" w:bottom="1531" w:left="1701" w:header="851" w:footer="851" w:gutter="0"/>
      <w:pgBorders>
        <w:top w:val="none" w:sz="0" w:space="0"/>
        <w:left w:val="none" w:sz="0" w:space="0"/>
        <w:bottom w:val="none" w:sz="0" w:space="0"/>
        <w:right w:val="none" w:sz="0" w:space="0"/>
      </w:pgBorders>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Wingdings 2">
    <w:altName w:val="Wingdings"/>
    <w:panose1 w:val="05020102010507070707"/>
    <w:charset w:val="02"/>
    <w:family w:val="roman"/>
    <w:pitch w:val="default"/>
    <w:sig w:usb0="00000000" w:usb1="00000000" w:usb2="00000000" w:usb3="00000000" w:csb0="80000000" w:csb1="00000000"/>
  </w:font>
  <w:font w:name="Segoe UI Symbol">
    <w:panose1 w:val="020B0502040204020203"/>
    <w:charset w:val="00"/>
    <w:family w:val="swiss"/>
    <w:pitch w:val="default"/>
    <w:sig w:usb0="8000006F" w:usb1="1200FBEF" w:usb2="0064C000" w:usb3="00000002" w:csb0="00000001" w:csb1="40000000"/>
  </w:font>
  <w:font w:name="Kingsoft UE">
    <w:altName w:val="GENISO"/>
    <w:panose1 w:val="00000000000000000000"/>
    <w:charset w:val="00"/>
    <w:family w:val="auto"/>
    <w:pitch w:val="default"/>
    <w:sig w:usb0="00000000" w:usb1="00000000" w:usb2="00000000" w:usb3="00000000" w:csb0="00000000" w:csb1="00000000"/>
  </w:font>
  <w:font w:name="GENISO">
    <w:panose1 w:val="02000400000000000000"/>
    <w:charset w:val="00"/>
    <w:family w:val="auto"/>
    <w:pitch w:val="default"/>
    <w:sig w:usb0="00000003" w:usb1="00000000" w:usb2="00000040" w:usb3="00000000" w:csb0="000001F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A43AF">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BC9652">
    <w:pPr>
      <w:pStyle w:val="1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1348AE">
                          <w:pPr>
                            <w:pStyle w:val="1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91348AE">
                    <w:pPr>
                      <w:pStyle w:val="1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AFA1E">
    <w:pPr>
      <w:widowControl w:val="0"/>
      <w:tabs>
        <w:tab w:val="center" w:pos="4153"/>
        <w:tab w:val="right" w:pos="8306"/>
      </w:tabs>
      <w:snapToGrid w:val="0"/>
      <w:ind w:right="360" w:firstLine="360"/>
      <w:jc w:val="center"/>
      <w:rPr>
        <w:rFonts w:ascii="Times New Roman" w:hAnsi="Times New Roman" w:eastAsia="宋体" w:cs="Times New Roman"/>
        <w:kern w:val="0"/>
        <w:sz w:val="18"/>
        <w:szCs w:val="20"/>
        <w:lang w:val="en-US" w:eastAsia="zh-CN" w:bidi="ar-S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637213">
                          <w:pPr>
                            <w:pStyle w:val="19"/>
                          </w:pPr>
                          <w:r>
                            <w:fldChar w:fldCharType="begin"/>
                          </w:r>
                          <w:r>
                            <w:instrText xml:space="preserve"> PAGE  \* MERGEFORMAT </w:instrText>
                          </w:r>
                          <w:r>
                            <w:fldChar w:fldCharType="separate"/>
                          </w:r>
                          <w:r>
                            <w:t>62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1637213">
                    <w:pPr>
                      <w:pStyle w:val="19"/>
                    </w:pPr>
                    <w:r>
                      <w:fldChar w:fldCharType="begin"/>
                    </w:r>
                    <w:r>
                      <w:instrText xml:space="preserve"> PAGE  \* MERGEFORMAT </w:instrText>
                    </w:r>
                    <w:r>
                      <w:fldChar w:fldCharType="separate"/>
                    </w:r>
                    <w:r>
                      <w:t>62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9F6F7A"/>
    <w:multiLevelType w:val="singleLevel"/>
    <w:tmpl w:val="D39F6F7A"/>
    <w:lvl w:ilvl="0" w:tentative="0">
      <w:start w:val="1"/>
      <w:numFmt w:val="decimal"/>
      <w:suff w:val="nothing"/>
      <w:lvlText w:val="（%1）"/>
      <w:lvlJc w:val="left"/>
    </w:lvl>
  </w:abstractNum>
  <w:abstractNum w:abstractNumId="1">
    <w:nsid w:val="DC448AD5"/>
    <w:multiLevelType w:val="singleLevel"/>
    <w:tmpl w:val="DC448AD5"/>
    <w:lvl w:ilvl="0" w:tentative="0">
      <w:start w:val="1"/>
      <w:numFmt w:val="decimal"/>
      <w:suff w:val="space"/>
      <w:lvlText w:val="%1."/>
      <w:lvlJc w:val="left"/>
      <w:pPr>
        <w:ind w:left="-2"/>
      </w:pPr>
    </w:lvl>
  </w:abstractNum>
  <w:abstractNum w:abstractNumId="2">
    <w:nsid w:val="F759469F"/>
    <w:multiLevelType w:val="multilevel"/>
    <w:tmpl w:val="F759469F"/>
    <w:lvl w:ilvl="0" w:tentative="0">
      <w:start w:val="1"/>
      <w:numFmt w:val="decimal"/>
      <w:suff w:val="space"/>
      <w:lvlText w:val="%1."/>
      <w:lvlJc w:val="left"/>
    </w:lvl>
    <w:lvl w:ilvl="1" w:tentative="0">
      <w:start w:val="1"/>
      <w:numFmt w:val="decimal"/>
      <w:suff w:val="space"/>
      <w:lvlText w:val="%1.%2"/>
      <w:lvlJc w:val="left"/>
      <w:pPr>
        <w:ind w:left="0" w:leftChars="0" w:firstLine="0" w:firstLineChars="0"/>
      </w:pPr>
      <w:rPr>
        <w:rFonts w:hint="default"/>
        <w:b/>
        <w:bCs/>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3">
    <w:nsid w:val="30CE00EF"/>
    <w:multiLevelType w:val="multilevel"/>
    <w:tmpl w:val="30CE00EF"/>
    <w:lvl w:ilvl="0" w:tentative="0">
      <w:start w:val="1"/>
      <w:numFmt w:val="decimal"/>
      <w:lvlText w:val="%1"/>
      <w:lvlJc w:val="left"/>
      <w:pPr>
        <w:ind w:left="432" w:hanging="432"/>
      </w:p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pStyle w:val="6"/>
      <w:lvlText w:val="%1.%2.%3.%4"/>
      <w:lvlJc w:val="left"/>
      <w:pPr>
        <w:ind w:left="157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4">
    <w:nsid w:val="368BF080"/>
    <w:multiLevelType w:val="singleLevel"/>
    <w:tmpl w:val="368BF080"/>
    <w:lvl w:ilvl="0" w:tentative="0">
      <w:start w:val="1"/>
      <w:numFmt w:val="decimal"/>
      <w:suff w:val="nothing"/>
      <w:lvlText w:val="%1、"/>
      <w:lvlJc w:val="left"/>
    </w:lvl>
  </w:abstractNum>
  <w:abstractNum w:abstractNumId="5">
    <w:nsid w:val="3859CED2"/>
    <w:multiLevelType w:val="singleLevel"/>
    <w:tmpl w:val="3859CED2"/>
    <w:lvl w:ilvl="0" w:tentative="0">
      <w:start w:val="1"/>
      <w:numFmt w:val="bullet"/>
      <w:pStyle w:val="12"/>
      <w:lvlText w:val=""/>
      <w:lvlJc w:val="left"/>
      <w:pPr>
        <w:tabs>
          <w:tab w:val="left" w:pos="780"/>
        </w:tabs>
        <w:ind w:left="780" w:hanging="360"/>
      </w:pPr>
      <w:rPr>
        <w:rFonts w:hint="default" w:ascii="Wingdings" w:hAnsi="Wingdings"/>
      </w:rPr>
    </w:lvl>
  </w:abstractNum>
  <w:abstractNum w:abstractNumId="6">
    <w:nsid w:val="4C38B6E6"/>
    <w:multiLevelType w:val="singleLevel"/>
    <w:tmpl w:val="4C38B6E6"/>
    <w:lvl w:ilvl="0" w:tentative="0">
      <w:start w:val="1"/>
      <w:numFmt w:val="decimal"/>
      <w:suff w:val="nothing"/>
      <w:lvlText w:val="（%1）"/>
      <w:lvlJc w:val="left"/>
    </w:lvl>
  </w:abstractNum>
  <w:abstractNum w:abstractNumId="7">
    <w:nsid w:val="4E945499"/>
    <w:multiLevelType w:val="singleLevel"/>
    <w:tmpl w:val="4E945499"/>
    <w:lvl w:ilvl="0" w:tentative="0">
      <w:start w:val="1"/>
      <w:numFmt w:val="decimal"/>
      <w:lvlText w:val="%1."/>
      <w:lvlJc w:val="left"/>
      <w:pPr>
        <w:tabs>
          <w:tab w:val="left" w:pos="312"/>
        </w:tabs>
      </w:pPr>
    </w:lvl>
  </w:abstractNum>
  <w:abstractNum w:abstractNumId="8">
    <w:nsid w:val="4FAD7324"/>
    <w:multiLevelType w:val="singleLevel"/>
    <w:tmpl w:val="4FAD7324"/>
    <w:lvl w:ilvl="0" w:tentative="0">
      <w:start w:val="1"/>
      <w:numFmt w:val="decimal"/>
      <w:suff w:val="space"/>
      <w:lvlText w:val="%1."/>
      <w:lvlJc w:val="left"/>
    </w:lvl>
  </w:abstractNum>
  <w:abstractNum w:abstractNumId="9">
    <w:nsid w:val="51584D09"/>
    <w:multiLevelType w:val="singleLevel"/>
    <w:tmpl w:val="51584D09"/>
    <w:lvl w:ilvl="0" w:tentative="0">
      <w:start w:val="1"/>
      <w:numFmt w:val="decimal"/>
      <w:suff w:val="nothing"/>
      <w:lvlText w:val="（%1）"/>
      <w:lvlJc w:val="left"/>
    </w:lvl>
  </w:abstractNum>
  <w:abstractNum w:abstractNumId="10">
    <w:nsid w:val="646EE1A9"/>
    <w:multiLevelType w:val="singleLevel"/>
    <w:tmpl w:val="646EE1A9"/>
    <w:lvl w:ilvl="0" w:tentative="0">
      <w:start w:val="1"/>
      <w:numFmt w:val="decimal"/>
      <w:suff w:val="space"/>
      <w:lvlText w:val="%1."/>
      <w:lvlJc w:val="left"/>
    </w:lvl>
  </w:abstractNum>
  <w:abstractNum w:abstractNumId="11">
    <w:nsid w:val="6B8D50D4"/>
    <w:multiLevelType w:val="multilevel"/>
    <w:tmpl w:val="6B8D50D4"/>
    <w:lvl w:ilvl="0" w:tentative="0">
      <w:start w:val="4"/>
      <w:numFmt w:val="decimal"/>
      <w:suff w:val="space"/>
      <w:lvlText w:val="%1"/>
      <w:lvlJc w:val="left"/>
      <w:pPr>
        <w:ind w:left="567" w:hanging="567"/>
      </w:pPr>
      <w:rPr>
        <w:rFonts w:hint="default" w:ascii="Times New Roman" w:hAnsi="Times New Roman" w:eastAsia="宋体"/>
        <w:b/>
        <w:i w:val="0"/>
        <w:sz w:val="36"/>
        <w:szCs w:val="36"/>
      </w:rPr>
    </w:lvl>
    <w:lvl w:ilvl="1" w:tentative="0">
      <w:start w:val="1"/>
      <w:numFmt w:val="decimal"/>
      <w:pStyle w:val="4"/>
      <w:lvlText w:val="%1.%2."/>
      <w:lvlJc w:val="left"/>
      <w:pPr>
        <w:tabs>
          <w:tab w:val="left" w:pos="737"/>
        </w:tabs>
        <w:ind w:left="737" w:hanging="737"/>
      </w:pPr>
      <w:rPr>
        <w:rFonts w:hint="default" w:ascii="Times New Roman" w:hAnsi="Times New Roman" w:eastAsia="宋体"/>
        <w:b w:val="0"/>
        <w:i w:val="0"/>
        <w:caps w:val="0"/>
        <w:strike w:val="0"/>
        <w:dstrike w:val="0"/>
        <w:vanish w:val="0"/>
        <w:sz w:val="32"/>
        <w:szCs w:val="32"/>
        <w:vertAlign w:val="baseline"/>
      </w:rPr>
    </w:lvl>
    <w:lvl w:ilvl="2" w:tentative="0">
      <w:start w:val="1"/>
      <w:numFmt w:val="decimal"/>
      <w:lvlText w:val="%1.%2.%3."/>
      <w:lvlJc w:val="left"/>
      <w:pPr>
        <w:tabs>
          <w:tab w:val="left" w:pos="1080"/>
        </w:tabs>
        <w:ind w:left="227" w:hanging="227"/>
      </w:pPr>
      <w:rPr>
        <w:rFonts w:hint="default" w:ascii="Times New Roman" w:hAnsi="Times New Roman"/>
        <w:b w:val="0"/>
        <w:i w:val="0"/>
        <w:sz w:val="30"/>
        <w:szCs w:val="30"/>
      </w:rPr>
    </w:lvl>
    <w:lvl w:ilvl="3" w:tentative="0">
      <w:start w:val="1"/>
      <w:numFmt w:val="decimal"/>
      <w:lvlText w:val="%1.%2.%3.%4."/>
      <w:lvlJc w:val="left"/>
      <w:pPr>
        <w:tabs>
          <w:tab w:val="left" w:pos="1080"/>
        </w:tabs>
        <w:ind w:left="170" w:hanging="170"/>
      </w:pPr>
      <w:rPr>
        <w:rFonts w:hint="default" w:ascii="Times New Roman" w:hAnsi="Times New Roman"/>
        <w:b w:val="0"/>
        <w:i w:val="0"/>
        <w:sz w:val="28"/>
        <w:szCs w:val="28"/>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11"/>
  </w:num>
  <w:num w:numId="2">
    <w:abstractNumId w:val="3"/>
  </w:num>
  <w:num w:numId="3">
    <w:abstractNumId w:val="5"/>
  </w:num>
  <w:num w:numId="4">
    <w:abstractNumId w:val="4"/>
  </w:num>
  <w:num w:numId="5">
    <w:abstractNumId w:val="6"/>
  </w:num>
  <w:num w:numId="6">
    <w:abstractNumId w:val="7"/>
  </w:num>
  <w:num w:numId="7">
    <w:abstractNumId w:val="8"/>
  </w:num>
  <w:num w:numId="8">
    <w:abstractNumId w:val="10"/>
  </w:num>
  <w:num w:numId="9">
    <w:abstractNumId w:val="1"/>
  </w:num>
  <w:num w:numId="10">
    <w:abstractNumId w:val="2"/>
  </w:num>
  <w:num w:numId="11">
    <w:abstractNumId w:val="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6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A5ZGQ2YmNlZjhmMGJlM2NiZDZmOTEwZDRlNzFlMjgifQ=="/>
  </w:docVars>
  <w:rsids>
    <w:rsidRoot w:val="00172A27"/>
    <w:rsid w:val="000F1F69"/>
    <w:rsid w:val="0017729D"/>
    <w:rsid w:val="001D64B2"/>
    <w:rsid w:val="002C00C5"/>
    <w:rsid w:val="004435CA"/>
    <w:rsid w:val="00483F46"/>
    <w:rsid w:val="005255BE"/>
    <w:rsid w:val="00534E43"/>
    <w:rsid w:val="00622AE4"/>
    <w:rsid w:val="00697721"/>
    <w:rsid w:val="006B0123"/>
    <w:rsid w:val="00787206"/>
    <w:rsid w:val="00792CED"/>
    <w:rsid w:val="007D39A4"/>
    <w:rsid w:val="00810516"/>
    <w:rsid w:val="00925DC3"/>
    <w:rsid w:val="00A02F12"/>
    <w:rsid w:val="00A142A1"/>
    <w:rsid w:val="00A95A9A"/>
    <w:rsid w:val="00AC28BC"/>
    <w:rsid w:val="00B93D8D"/>
    <w:rsid w:val="00C041F1"/>
    <w:rsid w:val="00D379DB"/>
    <w:rsid w:val="00D860C7"/>
    <w:rsid w:val="00DF63E1"/>
    <w:rsid w:val="00E22B1C"/>
    <w:rsid w:val="00E57B9F"/>
    <w:rsid w:val="00EE6914"/>
    <w:rsid w:val="00EF33BF"/>
    <w:rsid w:val="00F94F6A"/>
    <w:rsid w:val="010A06C2"/>
    <w:rsid w:val="010B69B4"/>
    <w:rsid w:val="011172E2"/>
    <w:rsid w:val="01140146"/>
    <w:rsid w:val="011653B3"/>
    <w:rsid w:val="011B0EAE"/>
    <w:rsid w:val="012A385F"/>
    <w:rsid w:val="012D7E3C"/>
    <w:rsid w:val="01396E1E"/>
    <w:rsid w:val="01441010"/>
    <w:rsid w:val="01441BA5"/>
    <w:rsid w:val="01503A68"/>
    <w:rsid w:val="01565674"/>
    <w:rsid w:val="015F4EA6"/>
    <w:rsid w:val="01631090"/>
    <w:rsid w:val="0166087E"/>
    <w:rsid w:val="016F45ED"/>
    <w:rsid w:val="01782C72"/>
    <w:rsid w:val="01785F13"/>
    <w:rsid w:val="01793E8B"/>
    <w:rsid w:val="017B41D9"/>
    <w:rsid w:val="018E36E1"/>
    <w:rsid w:val="01905D25"/>
    <w:rsid w:val="01927855"/>
    <w:rsid w:val="01A52705"/>
    <w:rsid w:val="01AF1054"/>
    <w:rsid w:val="01B36E52"/>
    <w:rsid w:val="01B81102"/>
    <w:rsid w:val="01B94994"/>
    <w:rsid w:val="01C539A4"/>
    <w:rsid w:val="01C72BF7"/>
    <w:rsid w:val="01CE61B8"/>
    <w:rsid w:val="01CF3028"/>
    <w:rsid w:val="01D408F4"/>
    <w:rsid w:val="01DC2A7A"/>
    <w:rsid w:val="01E9187C"/>
    <w:rsid w:val="01EC034F"/>
    <w:rsid w:val="01FD7E4B"/>
    <w:rsid w:val="01FE3F4C"/>
    <w:rsid w:val="01FF2E4B"/>
    <w:rsid w:val="02074C42"/>
    <w:rsid w:val="020B355E"/>
    <w:rsid w:val="020F4ADB"/>
    <w:rsid w:val="021558DE"/>
    <w:rsid w:val="021B29F0"/>
    <w:rsid w:val="021B4152"/>
    <w:rsid w:val="021E10DC"/>
    <w:rsid w:val="021E3354"/>
    <w:rsid w:val="02261125"/>
    <w:rsid w:val="02272D62"/>
    <w:rsid w:val="022F017E"/>
    <w:rsid w:val="02363411"/>
    <w:rsid w:val="02401B07"/>
    <w:rsid w:val="024217AC"/>
    <w:rsid w:val="02572112"/>
    <w:rsid w:val="025B6A38"/>
    <w:rsid w:val="026116D0"/>
    <w:rsid w:val="02721E78"/>
    <w:rsid w:val="027352AD"/>
    <w:rsid w:val="02780C2D"/>
    <w:rsid w:val="02811782"/>
    <w:rsid w:val="028639BA"/>
    <w:rsid w:val="028835D2"/>
    <w:rsid w:val="028F482F"/>
    <w:rsid w:val="02937B18"/>
    <w:rsid w:val="029D2E63"/>
    <w:rsid w:val="02A13EA4"/>
    <w:rsid w:val="02A2176D"/>
    <w:rsid w:val="02AA5749"/>
    <w:rsid w:val="02AD415A"/>
    <w:rsid w:val="02AF070F"/>
    <w:rsid w:val="02B05F22"/>
    <w:rsid w:val="02BA3AFD"/>
    <w:rsid w:val="02BC1D4F"/>
    <w:rsid w:val="02BF15A4"/>
    <w:rsid w:val="02C21536"/>
    <w:rsid w:val="02C57ED8"/>
    <w:rsid w:val="02C6056F"/>
    <w:rsid w:val="02D24524"/>
    <w:rsid w:val="02D25A6D"/>
    <w:rsid w:val="02DA66D9"/>
    <w:rsid w:val="02E03B0B"/>
    <w:rsid w:val="02E31F16"/>
    <w:rsid w:val="02E425BC"/>
    <w:rsid w:val="02E65CE7"/>
    <w:rsid w:val="02F37B30"/>
    <w:rsid w:val="02FE1CEA"/>
    <w:rsid w:val="030E0E46"/>
    <w:rsid w:val="03107E03"/>
    <w:rsid w:val="03125E55"/>
    <w:rsid w:val="03164E23"/>
    <w:rsid w:val="031D6D27"/>
    <w:rsid w:val="0324162C"/>
    <w:rsid w:val="03243E24"/>
    <w:rsid w:val="032819CF"/>
    <w:rsid w:val="03282B4D"/>
    <w:rsid w:val="032D26DE"/>
    <w:rsid w:val="03315E11"/>
    <w:rsid w:val="03382D3A"/>
    <w:rsid w:val="033834C2"/>
    <w:rsid w:val="0348159A"/>
    <w:rsid w:val="03485BA6"/>
    <w:rsid w:val="03560BE9"/>
    <w:rsid w:val="03675157"/>
    <w:rsid w:val="036B7DA6"/>
    <w:rsid w:val="03746005"/>
    <w:rsid w:val="03894AF3"/>
    <w:rsid w:val="038E3DD6"/>
    <w:rsid w:val="03912F41"/>
    <w:rsid w:val="03A75783"/>
    <w:rsid w:val="03B94439"/>
    <w:rsid w:val="03C4278D"/>
    <w:rsid w:val="03C44B05"/>
    <w:rsid w:val="03CA6453"/>
    <w:rsid w:val="03CF75C5"/>
    <w:rsid w:val="03D270B5"/>
    <w:rsid w:val="03D56844"/>
    <w:rsid w:val="03E2554B"/>
    <w:rsid w:val="03E70DB3"/>
    <w:rsid w:val="03EF1A15"/>
    <w:rsid w:val="03F97754"/>
    <w:rsid w:val="03FB3455"/>
    <w:rsid w:val="03FD0971"/>
    <w:rsid w:val="04027960"/>
    <w:rsid w:val="04096F7B"/>
    <w:rsid w:val="0409799A"/>
    <w:rsid w:val="040A6D0A"/>
    <w:rsid w:val="04151794"/>
    <w:rsid w:val="041672DC"/>
    <w:rsid w:val="041E626E"/>
    <w:rsid w:val="04201B6F"/>
    <w:rsid w:val="04202A3E"/>
    <w:rsid w:val="04205325"/>
    <w:rsid w:val="0427257C"/>
    <w:rsid w:val="042B650B"/>
    <w:rsid w:val="042F4473"/>
    <w:rsid w:val="04302177"/>
    <w:rsid w:val="04320033"/>
    <w:rsid w:val="043B0A93"/>
    <w:rsid w:val="044517C6"/>
    <w:rsid w:val="0448715B"/>
    <w:rsid w:val="044A33F6"/>
    <w:rsid w:val="044B1E0B"/>
    <w:rsid w:val="044F4B2D"/>
    <w:rsid w:val="0463574E"/>
    <w:rsid w:val="046515C6"/>
    <w:rsid w:val="04677F7F"/>
    <w:rsid w:val="046D630E"/>
    <w:rsid w:val="04747A8F"/>
    <w:rsid w:val="047E2BAF"/>
    <w:rsid w:val="0482068E"/>
    <w:rsid w:val="04835281"/>
    <w:rsid w:val="048D195A"/>
    <w:rsid w:val="048F2CC1"/>
    <w:rsid w:val="04900DCA"/>
    <w:rsid w:val="04912EAB"/>
    <w:rsid w:val="0494642D"/>
    <w:rsid w:val="049D5915"/>
    <w:rsid w:val="04A46CA4"/>
    <w:rsid w:val="04A64C8A"/>
    <w:rsid w:val="04A95A26"/>
    <w:rsid w:val="04B53B68"/>
    <w:rsid w:val="04B725B3"/>
    <w:rsid w:val="04C23560"/>
    <w:rsid w:val="04C743CF"/>
    <w:rsid w:val="04C835B9"/>
    <w:rsid w:val="04D32DB4"/>
    <w:rsid w:val="04E2157A"/>
    <w:rsid w:val="04E73BB4"/>
    <w:rsid w:val="04F37544"/>
    <w:rsid w:val="04F65B76"/>
    <w:rsid w:val="04FC088E"/>
    <w:rsid w:val="04FE093A"/>
    <w:rsid w:val="050339CA"/>
    <w:rsid w:val="050D7B1C"/>
    <w:rsid w:val="051C2F5A"/>
    <w:rsid w:val="05202444"/>
    <w:rsid w:val="0521616E"/>
    <w:rsid w:val="05316FF2"/>
    <w:rsid w:val="05420CBD"/>
    <w:rsid w:val="05493B39"/>
    <w:rsid w:val="05507D82"/>
    <w:rsid w:val="055B5021"/>
    <w:rsid w:val="055C0E67"/>
    <w:rsid w:val="05667A7A"/>
    <w:rsid w:val="05687CEB"/>
    <w:rsid w:val="05750BD5"/>
    <w:rsid w:val="05797385"/>
    <w:rsid w:val="058218B8"/>
    <w:rsid w:val="058648D2"/>
    <w:rsid w:val="058C0F61"/>
    <w:rsid w:val="058F525E"/>
    <w:rsid w:val="05947B02"/>
    <w:rsid w:val="05A313BB"/>
    <w:rsid w:val="05AF61F9"/>
    <w:rsid w:val="05B457FC"/>
    <w:rsid w:val="05B56BCD"/>
    <w:rsid w:val="05B7080A"/>
    <w:rsid w:val="05E00F46"/>
    <w:rsid w:val="05E21143"/>
    <w:rsid w:val="05E50375"/>
    <w:rsid w:val="05E530CE"/>
    <w:rsid w:val="05EB4740"/>
    <w:rsid w:val="05F01689"/>
    <w:rsid w:val="05F3434A"/>
    <w:rsid w:val="05F57ECB"/>
    <w:rsid w:val="06100B57"/>
    <w:rsid w:val="0615527A"/>
    <w:rsid w:val="06171429"/>
    <w:rsid w:val="06185ABE"/>
    <w:rsid w:val="06280B84"/>
    <w:rsid w:val="06315FF7"/>
    <w:rsid w:val="06493B19"/>
    <w:rsid w:val="064A387B"/>
    <w:rsid w:val="065965E2"/>
    <w:rsid w:val="065A0C9D"/>
    <w:rsid w:val="065A76BB"/>
    <w:rsid w:val="06755E99"/>
    <w:rsid w:val="06793BDF"/>
    <w:rsid w:val="067B259F"/>
    <w:rsid w:val="067F4A0F"/>
    <w:rsid w:val="067F4A75"/>
    <w:rsid w:val="068723D9"/>
    <w:rsid w:val="06925DD3"/>
    <w:rsid w:val="06AF2C48"/>
    <w:rsid w:val="06B64308"/>
    <w:rsid w:val="06B953EE"/>
    <w:rsid w:val="06BD225B"/>
    <w:rsid w:val="06BD23E6"/>
    <w:rsid w:val="06C037A1"/>
    <w:rsid w:val="06C80769"/>
    <w:rsid w:val="06CD24E2"/>
    <w:rsid w:val="06DC646E"/>
    <w:rsid w:val="06DE7834"/>
    <w:rsid w:val="06E12414"/>
    <w:rsid w:val="06EC66E0"/>
    <w:rsid w:val="070C1DD0"/>
    <w:rsid w:val="071A324D"/>
    <w:rsid w:val="071F0864"/>
    <w:rsid w:val="071F3794"/>
    <w:rsid w:val="07291061"/>
    <w:rsid w:val="07293E0A"/>
    <w:rsid w:val="072B4919"/>
    <w:rsid w:val="072F5D2B"/>
    <w:rsid w:val="073302AC"/>
    <w:rsid w:val="073A77D4"/>
    <w:rsid w:val="07477E3C"/>
    <w:rsid w:val="074B0801"/>
    <w:rsid w:val="075C1AB8"/>
    <w:rsid w:val="07702E6D"/>
    <w:rsid w:val="07762B7A"/>
    <w:rsid w:val="077B1260"/>
    <w:rsid w:val="07885887"/>
    <w:rsid w:val="078C6A6D"/>
    <w:rsid w:val="07964C2D"/>
    <w:rsid w:val="079E3915"/>
    <w:rsid w:val="07A24F71"/>
    <w:rsid w:val="07BA636E"/>
    <w:rsid w:val="07BF0365"/>
    <w:rsid w:val="07C739AD"/>
    <w:rsid w:val="07E839B1"/>
    <w:rsid w:val="07ED7639"/>
    <w:rsid w:val="07F103B6"/>
    <w:rsid w:val="07F438D1"/>
    <w:rsid w:val="07F67466"/>
    <w:rsid w:val="07F67816"/>
    <w:rsid w:val="080339AD"/>
    <w:rsid w:val="08071A24"/>
    <w:rsid w:val="080B456B"/>
    <w:rsid w:val="08115EBC"/>
    <w:rsid w:val="08145A95"/>
    <w:rsid w:val="08157D0A"/>
    <w:rsid w:val="081C0411"/>
    <w:rsid w:val="082D52EC"/>
    <w:rsid w:val="08330197"/>
    <w:rsid w:val="08367AE9"/>
    <w:rsid w:val="083B016D"/>
    <w:rsid w:val="083D528F"/>
    <w:rsid w:val="084141C8"/>
    <w:rsid w:val="08473567"/>
    <w:rsid w:val="08485684"/>
    <w:rsid w:val="0849663C"/>
    <w:rsid w:val="085A6A9E"/>
    <w:rsid w:val="08793B9B"/>
    <w:rsid w:val="087F4ADF"/>
    <w:rsid w:val="0885029B"/>
    <w:rsid w:val="08872E74"/>
    <w:rsid w:val="089247D2"/>
    <w:rsid w:val="08936E96"/>
    <w:rsid w:val="08A116F6"/>
    <w:rsid w:val="08B95E2A"/>
    <w:rsid w:val="08BD6586"/>
    <w:rsid w:val="08C75A1D"/>
    <w:rsid w:val="08CB060C"/>
    <w:rsid w:val="08D05DA9"/>
    <w:rsid w:val="08DB4E5B"/>
    <w:rsid w:val="08E25FED"/>
    <w:rsid w:val="08E52080"/>
    <w:rsid w:val="08F053C4"/>
    <w:rsid w:val="08F31C82"/>
    <w:rsid w:val="08F32B3C"/>
    <w:rsid w:val="090555CD"/>
    <w:rsid w:val="09070DD7"/>
    <w:rsid w:val="090D6477"/>
    <w:rsid w:val="091744CC"/>
    <w:rsid w:val="091D4B74"/>
    <w:rsid w:val="091F5525"/>
    <w:rsid w:val="09234F82"/>
    <w:rsid w:val="0925575C"/>
    <w:rsid w:val="092E599C"/>
    <w:rsid w:val="093C47D0"/>
    <w:rsid w:val="093F2622"/>
    <w:rsid w:val="09412287"/>
    <w:rsid w:val="094942C7"/>
    <w:rsid w:val="095B0B1A"/>
    <w:rsid w:val="09651255"/>
    <w:rsid w:val="096A4F50"/>
    <w:rsid w:val="096E636F"/>
    <w:rsid w:val="097C34F4"/>
    <w:rsid w:val="097E3F67"/>
    <w:rsid w:val="097E66FE"/>
    <w:rsid w:val="09822D88"/>
    <w:rsid w:val="09824EA9"/>
    <w:rsid w:val="09832FB2"/>
    <w:rsid w:val="098D4402"/>
    <w:rsid w:val="098F7F23"/>
    <w:rsid w:val="099A220C"/>
    <w:rsid w:val="099D41B9"/>
    <w:rsid w:val="099D49DC"/>
    <w:rsid w:val="09A125B7"/>
    <w:rsid w:val="09A37F9F"/>
    <w:rsid w:val="09B13F5C"/>
    <w:rsid w:val="09B56C69"/>
    <w:rsid w:val="09C14B43"/>
    <w:rsid w:val="09C46FB4"/>
    <w:rsid w:val="09C6232C"/>
    <w:rsid w:val="09CD0C44"/>
    <w:rsid w:val="09CF1D12"/>
    <w:rsid w:val="09DB7548"/>
    <w:rsid w:val="09DF2C23"/>
    <w:rsid w:val="09EA7675"/>
    <w:rsid w:val="09F50440"/>
    <w:rsid w:val="09F963C6"/>
    <w:rsid w:val="0A00672A"/>
    <w:rsid w:val="0A0A00B0"/>
    <w:rsid w:val="0A1D11B2"/>
    <w:rsid w:val="0A2B0DCB"/>
    <w:rsid w:val="0A304DB2"/>
    <w:rsid w:val="0A315324"/>
    <w:rsid w:val="0A33367C"/>
    <w:rsid w:val="0A35628F"/>
    <w:rsid w:val="0A376186"/>
    <w:rsid w:val="0A391C3C"/>
    <w:rsid w:val="0A3C063D"/>
    <w:rsid w:val="0A3D03CF"/>
    <w:rsid w:val="0A435A04"/>
    <w:rsid w:val="0A4756F2"/>
    <w:rsid w:val="0A484412"/>
    <w:rsid w:val="0A4A4062"/>
    <w:rsid w:val="0A4C5B1D"/>
    <w:rsid w:val="0A535B50"/>
    <w:rsid w:val="0A546BE6"/>
    <w:rsid w:val="0A576829"/>
    <w:rsid w:val="0A5D2729"/>
    <w:rsid w:val="0A747956"/>
    <w:rsid w:val="0A795C4D"/>
    <w:rsid w:val="0A7B52A0"/>
    <w:rsid w:val="0A7D4224"/>
    <w:rsid w:val="0A7E1D45"/>
    <w:rsid w:val="0AA25E05"/>
    <w:rsid w:val="0AA51080"/>
    <w:rsid w:val="0AA61284"/>
    <w:rsid w:val="0AA7129C"/>
    <w:rsid w:val="0AA96DC2"/>
    <w:rsid w:val="0AB2666B"/>
    <w:rsid w:val="0AB6056B"/>
    <w:rsid w:val="0ABB7F1A"/>
    <w:rsid w:val="0ABC321E"/>
    <w:rsid w:val="0AC01CE4"/>
    <w:rsid w:val="0AC66363"/>
    <w:rsid w:val="0AD329BB"/>
    <w:rsid w:val="0AD434DC"/>
    <w:rsid w:val="0AD66358"/>
    <w:rsid w:val="0AD801AB"/>
    <w:rsid w:val="0ADC26A8"/>
    <w:rsid w:val="0AE1644F"/>
    <w:rsid w:val="0AE2480E"/>
    <w:rsid w:val="0AEC34AE"/>
    <w:rsid w:val="0AEE4718"/>
    <w:rsid w:val="0AF0679F"/>
    <w:rsid w:val="0AF10B2B"/>
    <w:rsid w:val="0AF41A48"/>
    <w:rsid w:val="0AF91725"/>
    <w:rsid w:val="0AFE6295"/>
    <w:rsid w:val="0B032431"/>
    <w:rsid w:val="0B047263"/>
    <w:rsid w:val="0B0F5B25"/>
    <w:rsid w:val="0B105F1C"/>
    <w:rsid w:val="0B191497"/>
    <w:rsid w:val="0B20144F"/>
    <w:rsid w:val="0B261F6D"/>
    <w:rsid w:val="0B400144"/>
    <w:rsid w:val="0B50521E"/>
    <w:rsid w:val="0B510B0B"/>
    <w:rsid w:val="0B510FB5"/>
    <w:rsid w:val="0B5119F5"/>
    <w:rsid w:val="0B521DAC"/>
    <w:rsid w:val="0B5C0CEA"/>
    <w:rsid w:val="0B601B56"/>
    <w:rsid w:val="0B676661"/>
    <w:rsid w:val="0B6B6E1B"/>
    <w:rsid w:val="0B782B60"/>
    <w:rsid w:val="0B7F23A1"/>
    <w:rsid w:val="0B8D23AF"/>
    <w:rsid w:val="0B8E0909"/>
    <w:rsid w:val="0B933C9B"/>
    <w:rsid w:val="0B9744C6"/>
    <w:rsid w:val="0B977132"/>
    <w:rsid w:val="0B992F66"/>
    <w:rsid w:val="0B9B2FA6"/>
    <w:rsid w:val="0B9F75D5"/>
    <w:rsid w:val="0B9F7C91"/>
    <w:rsid w:val="0BAB4912"/>
    <w:rsid w:val="0BAC424D"/>
    <w:rsid w:val="0BAD2373"/>
    <w:rsid w:val="0BAE737B"/>
    <w:rsid w:val="0BB127E9"/>
    <w:rsid w:val="0BB84DE3"/>
    <w:rsid w:val="0BBA3E63"/>
    <w:rsid w:val="0BBC3016"/>
    <w:rsid w:val="0BC02E7B"/>
    <w:rsid w:val="0BC112AD"/>
    <w:rsid w:val="0BC56019"/>
    <w:rsid w:val="0BC74F47"/>
    <w:rsid w:val="0BCE47E9"/>
    <w:rsid w:val="0BD97701"/>
    <w:rsid w:val="0BDB42E9"/>
    <w:rsid w:val="0BDC13E9"/>
    <w:rsid w:val="0BE60310"/>
    <w:rsid w:val="0BEB731D"/>
    <w:rsid w:val="0BEC0E2D"/>
    <w:rsid w:val="0BEF0FDC"/>
    <w:rsid w:val="0BF56F1E"/>
    <w:rsid w:val="0BFA721E"/>
    <w:rsid w:val="0C010E3B"/>
    <w:rsid w:val="0C057BFD"/>
    <w:rsid w:val="0C12627F"/>
    <w:rsid w:val="0C172615"/>
    <w:rsid w:val="0C1A7001"/>
    <w:rsid w:val="0C1B739D"/>
    <w:rsid w:val="0C2507C7"/>
    <w:rsid w:val="0C2F4784"/>
    <w:rsid w:val="0C305779"/>
    <w:rsid w:val="0C316FA5"/>
    <w:rsid w:val="0C3737A1"/>
    <w:rsid w:val="0C37664F"/>
    <w:rsid w:val="0C3D763F"/>
    <w:rsid w:val="0C423D4E"/>
    <w:rsid w:val="0C440D04"/>
    <w:rsid w:val="0C4422D3"/>
    <w:rsid w:val="0C444614"/>
    <w:rsid w:val="0C4548C9"/>
    <w:rsid w:val="0C5213BB"/>
    <w:rsid w:val="0C551C3A"/>
    <w:rsid w:val="0C5652E5"/>
    <w:rsid w:val="0C600E4F"/>
    <w:rsid w:val="0C676F35"/>
    <w:rsid w:val="0C6C43F7"/>
    <w:rsid w:val="0C7B653C"/>
    <w:rsid w:val="0C7C7FF7"/>
    <w:rsid w:val="0C832E32"/>
    <w:rsid w:val="0C865C16"/>
    <w:rsid w:val="0C8B0166"/>
    <w:rsid w:val="0C9C688C"/>
    <w:rsid w:val="0C9E7CD1"/>
    <w:rsid w:val="0CAE1792"/>
    <w:rsid w:val="0CB43C31"/>
    <w:rsid w:val="0CB61955"/>
    <w:rsid w:val="0CCD79AA"/>
    <w:rsid w:val="0CCE07C8"/>
    <w:rsid w:val="0CDC4E85"/>
    <w:rsid w:val="0CEE2AA0"/>
    <w:rsid w:val="0CFE30F6"/>
    <w:rsid w:val="0CFE46F5"/>
    <w:rsid w:val="0D0016BF"/>
    <w:rsid w:val="0D0631A7"/>
    <w:rsid w:val="0D090121"/>
    <w:rsid w:val="0D124B42"/>
    <w:rsid w:val="0D1D7279"/>
    <w:rsid w:val="0D1F336B"/>
    <w:rsid w:val="0D21512B"/>
    <w:rsid w:val="0D305579"/>
    <w:rsid w:val="0D36374D"/>
    <w:rsid w:val="0D3C7DAF"/>
    <w:rsid w:val="0D3E6DB7"/>
    <w:rsid w:val="0D417190"/>
    <w:rsid w:val="0D461B30"/>
    <w:rsid w:val="0D474B79"/>
    <w:rsid w:val="0D612A2F"/>
    <w:rsid w:val="0D8145D3"/>
    <w:rsid w:val="0D865199"/>
    <w:rsid w:val="0D8B0A48"/>
    <w:rsid w:val="0D8C54AE"/>
    <w:rsid w:val="0DB00467"/>
    <w:rsid w:val="0DB34448"/>
    <w:rsid w:val="0DB5151F"/>
    <w:rsid w:val="0DB65122"/>
    <w:rsid w:val="0DB83905"/>
    <w:rsid w:val="0DBB2747"/>
    <w:rsid w:val="0DC91EEE"/>
    <w:rsid w:val="0DCC0AEC"/>
    <w:rsid w:val="0DCE7A86"/>
    <w:rsid w:val="0DCF0EB6"/>
    <w:rsid w:val="0DCF6C42"/>
    <w:rsid w:val="0DCF7C23"/>
    <w:rsid w:val="0DD2496E"/>
    <w:rsid w:val="0DDB10C5"/>
    <w:rsid w:val="0DDF258C"/>
    <w:rsid w:val="0DE33650"/>
    <w:rsid w:val="0DE778A9"/>
    <w:rsid w:val="0DED2780"/>
    <w:rsid w:val="0DFC7E30"/>
    <w:rsid w:val="0E0267AD"/>
    <w:rsid w:val="0E027D36"/>
    <w:rsid w:val="0E146C48"/>
    <w:rsid w:val="0E1D02FF"/>
    <w:rsid w:val="0E25322A"/>
    <w:rsid w:val="0E2E66E6"/>
    <w:rsid w:val="0E350CB6"/>
    <w:rsid w:val="0E3B6E5D"/>
    <w:rsid w:val="0E4749D4"/>
    <w:rsid w:val="0E4C7EBD"/>
    <w:rsid w:val="0E514724"/>
    <w:rsid w:val="0E547045"/>
    <w:rsid w:val="0E552380"/>
    <w:rsid w:val="0E5703C2"/>
    <w:rsid w:val="0E576B35"/>
    <w:rsid w:val="0E5B43CB"/>
    <w:rsid w:val="0E5C53E1"/>
    <w:rsid w:val="0E622D37"/>
    <w:rsid w:val="0E652AC5"/>
    <w:rsid w:val="0E6C18C7"/>
    <w:rsid w:val="0E7E12AC"/>
    <w:rsid w:val="0E7E38ED"/>
    <w:rsid w:val="0E7F45D4"/>
    <w:rsid w:val="0E8B4168"/>
    <w:rsid w:val="0E955A95"/>
    <w:rsid w:val="0E975448"/>
    <w:rsid w:val="0E9A445C"/>
    <w:rsid w:val="0EA00768"/>
    <w:rsid w:val="0EA96440"/>
    <w:rsid w:val="0EAC5412"/>
    <w:rsid w:val="0EAF76B8"/>
    <w:rsid w:val="0EB13CB5"/>
    <w:rsid w:val="0EBB2FCE"/>
    <w:rsid w:val="0EC50FE7"/>
    <w:rsid w:val="0EC60854"/>
    <w:rsid w:val="0ED15953"/>
    <w:rsid w:val="0ED74B35"/>
    <w:rsid w:val="0ED75E9F"/>
    <w:rsid w:val="0EDE3A4C"/>
    <w:rsid w:val="0EE83E79"/>
    <w:rsid w:val="0EF47086"/>
    <w:rsid w:val="0EFB7642"/>
    <w:rsid w:val="0EFF2990"/>
    <w:rsid w:val="0F064CB9"/>
    <w:rsid w:val="0F196739"/>
    <w:rsid w:val="0F2129EA"/>
    <w:rsid w:val="0F2A2B24"/>
    <w:rsid w:val="0F326286"/>
    <w:rsid w:val="0F39735F"/>
    <w:rsid w:val="0F3A5AE7"/>
    <w:rsid w:val="0F3C7EC9"/>
    <w:rsid w:val="0F3D6EB8"/>
    <w:rsid w:val="0F4079D4"/>
    <w:rsid w:val="0F4254DB"/>
    <w:rsid w:val="0F455FDA"/>
    <w:rsid w:val="0F4B669A"/>
    <w:rsid w:val="0F585066"/>
    <w:rsid w:val="0F59068B"/>
    <w:rsid w:val="0F5A2BFA"/>
    <w:rsid w:val="0F5C4F59"/>
    <w:rsid w:val="0F5F460A"/>
    <w:rsid w:val="0F6529EE"/>
    <w:rsid w:val="0F672631"/>
    <w:rsid w:val="0F746AD2"/>
    <w:rsid w:val="0F7E5CE7"/>
    <w:rsid w:val="0F804F9C"/>
    <w:rsid w:val="0F82598F"/>
    <w:rsid w:val="0F847DFE"/>
    <w:rsid w:val="0F895414"/>
    <w:rsid w:val="0F8D6F1D"/>
    <w:rsid w:val="0F917E7F"/>
    <w:rsid w:val="0F994A3E"/>
    <w:rsid w:val="0F9B5591"/>
    <w:rsid w:val="0F9C0A28"/>
    <w:rsid w:val="0F9E301E"/>
    <w:rsid w:val="0FA345C2"/>
    <w:rsid w:val="0FA4224E"/>
    <w:rsid w:val="0FA4446A"/>
    <w:rsid w:val="0FB01D1F"/>
    <w:rsid w:val="0FB70C80"/>
    <w:rsid w:val="0FB87AA7"/>
    <w:rsid w:val="0FBC3B2D"/>
    <w:rsid w:val="0FBD39FA"/>
    <w:rsid w:val="0FC839B9"/>
    <w:rsid w:val="0FCD6844"/>
    <w:rsid w:val="0FD06C62"/>
    <w:rsid w:val="0FD15829"/>
    <w:rsid w:val="0FD30486"/>
    <w:rsid w:val="0FDE08A0"/>
    <w:rsid w:val="0FE24D3D"/>
    <w:rsid w:val="0FEF5853"/>
    <w:rsid w:val="0FFD5B9B"/>
    <w:rsid w:val="10091C47"/>
    <w:rsid w:val="100E42EE"/>
    <w:rsid w:val="100F3B6B"/>
    <w:rsid w:val="10174037"/>
    <w:rsid w:val="10184D5C"/>
    <w:rsid w:val="102971B5"/>
    <w:rsid w:val="103330D0"/>
    <w:rsid w:val="10406687"/>
    <w:rsid w:val="10442BFC"/>
    <w:rsid w:val="105B2D61"/>
    <w:rsid w:val="105F6519"/>
    <w:rsid w:val="10613E0E"/>
    <w:rsid w:val="10693B2C"/>
    <w:rsid w:val="106E1667"/>
    <w:rsid w:val="10790FE5"/>
    <w:rsid w:val="107E301E"/>
    <w:rsid w:val="108B098C"/>
    <w:rsid w:val="109E4479"/>
    <w:rsid w:val="109E6A41"/>
    <w:rsid w:val="10A07011"/>
    <w:rsid w:val="10A204AE"/>
    <w:rsid w:val="10AB43EA"/>
    <w:rsid w:val="10C52E70"/>
    <w:rsid w:val="10CA62D1"/>
    <w:rsid w:val="10D1070B"/>
    <w:rsid w:val="10DD651F"/>
    <w:rsid w:val="10EC085B"/>
    <w:rsid w:val="10F15133"/>
    <w:rsid w:val="10F25EEC"/>
    <w:rsid w:val="10F27F71"/>
    <w:rsid w:val="1101056A"/>
    <w:rsid w:val="11030202"/>
    <w:rsid w:val="110D3A00"/>
    <w:rsid w:val="11173EC9"/>
    <w:rsid w:val="111D73C8"/>
    <w:rsid w:val="11241311"/>
    <w:rsid w:val="11247D54"/>
    <w:rsid w:val="113066A6"/>
    <w:rsid w:val="11351166"/>
    <w:rsid w:val="113553DA"/>
    <w:rsid w:val="113704F1"/>
    <w:rsid w:val="113B358D"/>
    <w:rsid w:val="113C03CA"/>
    <w:rsid w:val="11427629"/>
    <w:rsid w:val="11436875"/>
    <w:rsid w:val="11582973"/>
    <w:rsid w:val="116677CC"/>
    <w:rsid w:val="1176097D"/>
    <w:rsid w:val="117A744A"/>
    <w:rsid w:val="11877A85"/>
    <w:rsid w:val="118A6A63"/>
    <w:rsid w:val="118D41A1"/>
    <w:rsid w:val="119220D9"/>
    <w:rsid w:val="1193107C"/>
    <w:rsid w:val="119522B5"/>
    <w:rsid w:val="11AA2E81"/>
    <w:rsid w:val="11BA03DF"/>
    <w:rsid w:val="11C540B5"/>
    <w:rsid w:val="11C63143"/>
    <w:rsid w:val="11C8625F"/>
    <w:rsid w:val="11EA1855"/>
    <w:rsid w:val="11F97B3C"/>
    <w:rsid w:val="11FC0C39"/>
    <w:rsid w:val="11FC69B0"/>
    <w:rsid w:val="11FF408E"/>
    <w:rsid w:val="12087A18"/>
    <w:rsid w:val="120A0286"/>
    <w:rsid w:val="120D0BAC"/>
    <w:rsid w:val="120F4155"/>
    <w:rsid w:val="120F4AA2"/>
    <w:rsid w:val="12173660"/>
    <w:rsid w:val="12174B86"/>
    <w:rsid w:val="12193527"/>
    <w:rsid w:val="12195523"/>
    <w:rsid w:val="121C6ECA"/>
    <w:rsid w:val="12362335"/>
    <w:rsid w:val="1239331F"/>
    <w:rsid w:val="123E24E6"/>
    <w:rsid w:val="12490079"/>
    <w:rsid w:val="124B449C"/>
    <w:rsid w:val="125A606E"/>
    <w:rsid w:val="1260044F"/>
    <w:rsid w:val="126C643A"/>
    <w:rsid w:val="126F515F"/>
    <w:rsid w:val="12764066"/>
    <w:rsid w:val="128248A8"/>
    <w:rsid w:val="128A38B3"/>
    <w:rsid w:val="129466D9"/>
    <w:rsid w:val="12961648"/>
    <w:rsid w:val="12980B5D"/>
    <w:rsid w:val="12992672"/>
    <w:rsid w:val="12A17A6E"/>
    <w:rsid w:val="12C164CC"/>
    <w:rsid w:val="12C744E4"/>
    <w:rsid w:val="12D7291F"/>
    <w:rsid w:val="12DB549B"/>
    <w:rsid w:val="12E7487A"/>
    <w:rsid w:val="12F05150"/>
    <w:rsid w:val="12F163A7"/>
    <w:rsid w:val="12F35CBE"/>
    <w:rsid w:val="12FD1BF7"/>
    <w:rsid w:val="13091EDB"/>
    <w:rsid w:val="130D2F59"/>
    <w:rsid w:val="13101DD6"/>
    <w:rsid w:val="131430CC"/>
    <w:rsid w:val="131505CA"/>
    <w:rsid w:val="13193533"/>
    <w:rsid w:val="131C4CCA"/>
    <w:rsid w:val="1326001B"/>
    <w:rsid w:val="13276AA4"/>
    <w:rsid w:val="13310BD3"/>
    <w:rsid w:val="13392E2E"/>
    <w:rsid w:val="133B07BF"/>
    <w:rsid w:val="13440607"/>
    <w:rsid w:val="13490E14"/>
    <w:rsid w:val="135E48F1"/>
    <w:rsid w:val="135F5937"/>
    <w:rsid w:val="135F79C5"/>
    <w:rsid w:val="136603CE"/>
    <w:rsid w:val="137A4057"/>
    <w:rsid w:val="13861B64"/>
    <w:rsid w:val="138B1413"/>
    <w:rsid w:val="138E4540"/>
    <w:rsid w:val="139351D1"/>
    <w:rsid w:val="13937C9B"/>
    <w:rsid w:val="13973B67"/>
    <w:rsid w:val="139917F6"/>
    <w:rsid w:val="13992BE4"/>
    <w:rsid w:val="139D2CFE"/>
    <w:rsid w:val="139E2979"/>
    <w:rsid w:val="139E2B38"/>
    <w:rsid w:val="13A06C33"/>
    <w:rsid w:val="13A1136E"/>
    <w:rsid w:val="13A67F5D"/>
    <w:rsid w:val="13B07560"/>
    <w:rsid w:val="13B90CB9"/>
    <w:rsid w:val="13C25CBA"/>
    <w:rsid w:val="13DB65A7"/>
    <w:rsid w:val="13DC777D"/>
    <w:rsid w:val="13DD1972"/>
    <w:rsid w:val="13DD7FA7"/>
    <w:rsid w:val="13E50C1D"/>
    <w:rsid w:val="13E970F0"/>
    <w:rsid w:val="13EF3A7A"/>
    <w:rsid w:val="13F5650D"/>
    <w:rsid w:val="13FC3064"/>
    <w:rsid w:val="14012F01"/>
    <w:rsid w:val="14121DDD"/>
    <w:rsid w:val="1414150B"/>
    <w:rsid w:val="141A5AA2"/>
    <w:rsid w:val="141B07A0"/>
    <w:rsid w:val="14262774"/>
    <w:rsid w:val="142D13C4"/>
    <w:rsid w:val="143C0B97"/>
    <w:rsid w:val="14404441"/>
    <w:rsid w:val="144B2C98"/>
    <w:rsid w:val="14535829"/>
    <w:rsid w:val="146213BE"/>
    <w:rsid w:val="14624D93"/>
    <w:rsid w:val="146D1A5B"/>
    <w:rsid w:val="146F502C"/>
    <w:rsid w:val="1473653D"/>
    <w:rsid w:val="147F2942"/>
    <w:rsid w:val="148B5FAA"/>
    <w:rsid w:val="148C2E95"/>
    <w:rsid w:val="14935A24"/>
    <w:rsid w:val="14972F44"/>
    <w:rsid w:val="14973D3E"/>
    <w:rsid w:val="14992679"/>
    <w:rsid w:val="14AC3FD6"/>
    <w:rsid w:val="14AD5F86"/>
    <w:rsid w:val="14B04F4C"/>
    <w:rsid w:val="14BE2B3A"/>
    <w:rsid w:val="14BE647F"/>
    <w:rsid w:val="14C00F53"/>
    <w:rsid w:val="14C52821"/>
    <w:rsid w:val="14D51A1A"/>
    <w:rsid w:val="14D8046E"/>
    <w:rsid w:val="14DE0976"/>
    <w:rsid w:val="14E4587C"/>
    <w:rsid w:val="14E86739"/>
    <w:rsid w:val="14EF0951"/>
    <w:rsid w:val="14F0240C"/>
    <w:rsid w:val="14F06F12"/>
    <w:rsid w:val="14F162A0"/>
    <w:rsid w:val="14F21061"/>
    <w:rsid w:val="14FB3DD1"/>
    <w:rsid w:val="14FB646C"/>
    <w:rsid w:val="14FD7704"/>
    <w:rsid w:val="14FF7385"/>
    <w:rsid w:val="151508C6"/>
    <w:rsid w:val="1518045A"/>
    <w:rsid w:val="15212070"/>
    <w:rsid w:val="152433AA"/>
    <w:rsid w:val="1528122B"/>
    <w:rsid w:val="152B1E54"/>
    <w:rsid w:val="15347304"/>
    <w:rsid w:val="153B2D0D"/>
    <w:rsid w:val="15497022"/>
    <w:rsid w:val="15571070"/>
    <w:rsid w:val="156C2877"/>
    <w:rsid w:val="1572249E"/>
    <w:rsid w:val="157C12DA"/>
    <w:rsid w:val="1589690E"/>
    <w:rsid w:val="158B2AC9"/>
    <w:rsid w:val="158E72E0"/>
    <w:rsid w:val="15A50D06"/>
    <w:rsid w:val="15A8332E"/>
    <w:rsid w:val="15AA22AC"/>
    <w:rsid w:val="15AC3F92"/>
    <w:rsid w:val="15AF7257"/>
    <w:rsid w:val="15BA7068"/>
    <w:rsid w:val="15C62E95"/>
    <w:rsid w:val="15CB238D"/>
    <w:rsid w:val="15CC5805"/>
    <w:rsid w:val="15DB6451"/>
    <w:rsid w:val="15E16BD1"/>
    <w:rsid w:val="15E71AC2"/>
    <w:rsid w:val="15EF58A5"/>
    <w:rsid w:val="15F058C1"/>
    <w:rsid w:val="15F43A27"/>
    <w:rsid w:val="15FF3D3A"/>
    <w:rsid w:val="16017ED6"/>
    <w:rsid w:val="160B54FE"/>
    <w:rsid w:val="160F1F12"/>
    <w:rsid w:val="160F7CF5"/>
    <w:rsid w:val="16141A7F"/>
    <w:rsid w:val="161B0DDD"/>
    <w:rsid w:val="161E484D"/>
    <w:rsid w:val="16293794"/>
    <w:rsid w:val="162C63AB"/>
    <w:rsid w:val="162D2075"/>
    <w:rsid w:val="16302145"/>
    <w:rsid w:val="16497B24"/>
    <w:rsid w:val="165403D5"/>
    <w:rsid w:val="16584FC8"/>
    <w:rsid w:val="166273B2"/>
    <w:rsid w:val="166560CF"/>
    <w:rsid w:val="167E206D"/>
    <w:rsid w:val="16817506"/>
    <w:rsid w:val="168C1C47"/>
    <w:rsid w:val="16917AAF"/>
    <w:rsid w:val="16967CFA"/>
    <w:rsid w:val="16A03A65"/>
    <w:rsid w:val="16B17C2B"/>
    <w:rsid w:val="16BF5243"/>
    <w:rsid w:val="16CB5C81"/>
    <w:rsid w:val="16E27A7A"/>
    <w:rsid w:val="16E650F8"/>
    <w:rsid w:val="16E96798"/>
    <w:rsid w:val="16F21AF1"/>
    <w:rsid w:val="171B0EBC"/>
    <w:rsid w:val="171E4FDB"/>
    <w:rsid w:val="17237EFC"/>
    <w:rsid w:val="172A4DE7"/>
    <w:rsid w:val="173326A4"/>
    <w:rsid w:val="173726C6"/>
    <w:rsid w:val="173B5B21"/>
    <w:rsid w:val="1740089C"/>
    <w:rsid w:val="174F59D0"/>
    <w:rsid w:val="1752549D"/>
    <w:rsid w:val="175640DA"/>
    <w:rsid w:val="175B5483"/>
    <w:rsid w:val="175C7FA9"/>
    <w:rsid w:val="175E627F"/>
    <w:rsid w:val="1769588F"/>
    <w:rsid w:val="17740758"/>
    <w:rsid w:val="1774324B"/>
    <w:rsid w:val="17807ED6"/>
    <w:rsid w:val="178733FF"/>
    <w:rsid w:val="178E00D3"/>
    <w:rsid w:val="17991F6C"/>
    <w:rsid w:val="17994C66"/>
    <w:rsid w:val="179B456A"/>
    <w:rsid w:val="17A27073"/>
    <w:rsid w:val="17A427A0"/>
    <w:rsid w:val="17AC17A9"/>
    <w:rsid w:val="17B15508"/>
    <w:rsid w:val="17B54117"/>
    <w:rsid w:val="17BD1CCC"/>
    <w:rsid w:val="17C77413"/>
    <w:rsid w:val="17C870CC"/>
    <w:rsid w:val="17CF0CFE"/>
    <w:rsid w:val="17DB4A19"/>
    <w:rsid w:val="17DD4110"/>
    <w:rsid w:val="17DF230C"/>
    <w:rsid w:val="17E7717C"/>
    <w:rsid w:val="17EB10F1"/>
    <w:rsid w:val="17F1719E"/>
    <w:rsid w:val="17FA2556"/>
    <w:rsid w:val="17FE3BD9"/>
    <w:rsid w:val="1804344F"/>
    <w:rsid w:val="18322594"/>
    <w:rsid w:val="18334F9A"/>
    <w:rsid w:val="18443AFF"/>
    <w:rsid w:val="18550EF6"/>
    <w:rsid w:val="18624A54"/>
    <w:rsid w:val="18775286"/>
    <w:rsid w:val="187E2251"/>
    <w:rsid w:val="189A0770"/>
    <w:rsid w:val="18A345F6"/>
    <w:rsid w:val="18A77995"/>
    <w:rsid w:val="18AA0265"/>
    <w:rsid w:val="18AD7EA7"/>
    <w:rsid w:val="18AF3C6A"/>
    <w:rsid w:val="18D53478"/>
    <w:rsid w:val="18E84F59"/>
    <w:rsid w:val="18F70959"/>
    <w:rsid w:val="18FA5BF5"/>
    <w:rsid w:val="18FD47EE"/>
    <w:rsid w:val="19081209"/>
    <w:rsid w:val="190C750B"/>
    <w:rsid w:val="191B7751"/>
    <w:rsid w:val="19230795"/>
    <w:rsid w:val="1926420A"/>
    <w:rsid w:val="192A7A47"/>
    <w:rsid w:val="193C52A5"/>
    <w:rsid w:val="19422686"/>
    <w:rsid w:val="19456785"/>
    <w:rsid w:val="195978B8"/>
    <w:rsid w:val="195B4B79"/>
    <w:rsid w:val="195E5E0A"/>
    <w:rsid w:val="19726282"/>
    <w:rsid w:val="19787F5C"/>
    <w:rsid w:val="197F4070"/>
    <w:rsid w:val="198804EA"/>
    <w:rsid w:val="198A0064"/>
    <w:rsid w:val="198D1646"/>
    <w:rsid w:val="199131C9"/>
    <w:rsid w:val="1991739F"/>
    <w:rsid w:val="19960E59"/>
    <w:rsid w:val="1997072D"/>
    <w:rsid w:val="199B2E6B"/>
    <w:rsid w:val="199C763D"/>
    <w:rsid w:val="19A215AC"/>
    <w:rsid w:val="19A518A1"/>
    <w:rsid w:val="19A61C3A"/>
    <w:rsid w:val="19BF28B1"/>
    <w:rsid w:val="19D61F6F"/>
    <w:rsid w:val="19D91A40"/>
    <w:rsid w:val="19E21D1B"/>
    <w:rsid w:val="19E37036"/>
    <w:rsid w:val="19EA77A7"/>
    <w:rsid w:val="19EC14BF"/>
    <w:rsid w:val="19EC1A55"/>
    <w:rsid w:val="19EF4E5E"/>
    <w:rsid w:val="19F57A56"/>
    <w:rsid w:val="19F96B6F"/>
    <w:rsid w:val="19FD4AA7"/>
    <w:rsid w:val="19FE255B"/>
    <w:rsid w:val="1A061133"/>
    <w:rsid w:val="1A0A0B56"/>
    <w:rsid w:val="1A1009C1"/>
    <w:rsid w:val="1A14060E"/>
    <w:rsid w:val="1A1757FE"/>
    <w:rsid w:val="1A3113F9"/>
    <w:rsid w:val="1A3C5371"/>
    <w:rsid w:val="1A3E0F36"/>
    <w:rsid w:val="1A3E530F"/>
    <w:rsid w:val="1A400CBF"/>
    <w:rsid w:val="1A4B10D4"/>
    <w:rsid w:val="1A4E0334"/>
    <w:rsid w:val="1A4F51C4"/>
    <w:rsid w:val="1A5042B3"/>
    <w:rsid w:val="1A507BE5"/>
    <w:rsid w:val="1A507ECA"/>
    <w:rsid w:val="1A5B175B"/>
    <w:rsid w:val="1A606D71"/>
    <w:rsid w:val="1A612793"/>
    <w:rsid w:val="1A6168A3"/>
    <w:rsid w:val="1A640DA1"/>
    <w:rsid w:val="1A6E3285"/>
    <w:rsid w:val="1A7017D6"/>
    <w:rsid w:val="1A75051E"/>
    <w:rsid w:val="1A7D1882"/>
    <w:rsid w:val="1A7F47B4"/>
    <w:rsid w:val="1A8D758A"/>
    <w:rsid w:val="1A9200D8"/>
    <w:rsid w:val="1A9A77F6"/>
    <w:rsid w:val="1AA41955"/>
    <w:rsid w:val="1AA41C22"/>
    <w:rsid w:val="1AA90718"/>
    <w:rsid w:val="1AB1724B"/>
    <w:rsid w:val="1AB470D0"/>
    <w:rsid w:val="1AB7536C"/>
    <w:rsid w:val="1AC24F01"/>
    <w:rsid w:val="1AC25751"/>
    <w:rsid w:val="1ACC2FBE"/>
    <w:rsid w:val="1ACC4B81"/>
    <w:rsid w:val="1AD01D69"/>
    <w:rsid w:val="1ADA3B88"/>
    <w:rsid w:val="1AE259D8"/>
    <w:rsid w:val="1AE26AFE"/>
    <w:rsid w:val="1AFA3181"/>
    <w:rsid w:val="1AFB5BF5"/>
    <w:rsid w:val="1AFF46FF"/>
    <w:rsid w:val="1B062241"/>
    <w:rsid w:val="1B0D0CA7"/>
    <w:rsid w:val="1B1F09DB"/>
    <w:rsid w:val="1B283D33"/>
    <w:rsid w:val="1B290206"/>
    <w:rsid w:val="1B301C28"/>
    <w:rsid w:val="1B33116A"/>
    <w:rsid w:val="1B3E6445"/>
    <w:rsid w:val="1B4817B1"/>
    <w:rsid w:val="1B5B7DAB"/>
    <w:rsid w:val="1B5F68F2"/>
    <w:rsid w:val="1B6C078B"/>
    <w:rsid w:val="1B705779"/>
    <w:rsid w:val="1B73264D"/>
    <w:rsid w:val="1B7C5E2D"/>
    <w:rsid w:val="1B7F1479"/>
    <w:rsid w:val="1B8634DF"/>
    <w:rsid w:val="1B8A679C"/>
    <w:rsid w:val="1B8D63E4"/>
    <w:rsid w:val="1B8F4F20"/>
    <w:rsid w:val="1B924C3E"/>
    <w:rsid w:val="1B944E10"/>
    <w:rsid w:val="1B9A401A"/>
    <w:rsid w:val="1B9BD2A4"/>
    <w:rsid w:val="1B9E6641"/>
    <w:rsid w:val="1BA14F7B"/>
    <w:rsid w:val="1BA92F8F"/>
    <w:rsid w:val="1BB17CC9"/>
    <w:rsid w:val="1BB704FD"/>
    <w:rsid w:val="1BBA187F"/>
    <w:rsid w:val="1BBA5C5E"/>
    <w:rsid w:val="1BC01163"/>
    <w:rsid w:val="1BC41184"/>
    <w:rsid w:val="1BC70284"/>
    <w:rsid w:val="1BC9792C"/>
    <w:rsid w:val="1BCD4A2B"/>
    <w:rsid w:val="1BDE0DE4"/>
    <w:rsid w:val="1BDF5099"/>
    <w:rsid w:val="1BE230C1"/>
    <w:rsid w:val="1BF1114A"/>
    <w:rsid w:val="1BF168E9"/>
    <w:rsid w:val="1BF34DEC"/>
    <w:rsid w:val="1BF37289"/>
    <w:rsid w:val="1C0210C4"/>
    <w:rsid w:val="1C143BB2"/>
    <w:rsid w:val="1C16449D"/>
    <w:rsid w:val="1C1D03E7"/>
    <w:rsid w:val="1C21202A"/>
    <w:rsid w:val="1C24690F"/>
    <w:rsid w:val="1C2F4322"/>
    <w:rsid w:val="1C3778A2"/>
    <w:rsid w:val="1C3908DA"/>
    <w:rsid w:val="1C3A1F15"/>
    <w:rsid w:val="1C3B6687"/>
    <w:rsid w:val="1C3D6B27"/>
    <w:rsid w:val="1C486913"/>
    <w:rsid w:val="1C4F169E"/>
    <w:rsid w:val="1C5703A4"/>
    <w:rsid w:val="1C58699D"/>
    <w:rsid w:val="1C594F4C"/>
    <w:rsid w:val="1C5B21BC"/>
    <w:rsid w:val="1C5F4C98"/>
    <w:rsid w:val="1C64788E"/>
    <w:rsid w:val="1C692AE8"/>
    <w:rsid w:val="1C6E1E1A"/>
    <w:rsid w:val="1C7C4647"/>
    <w:rsid w:val="1C7F4C35"/>
    <w:rsid w:val="1C8A0940"/>
    <w:rsid w:val="1C9C1F88"/>
    <w:rsid w:val="1CA43482"/>
    <w:rsid w:val="1CB37426"/>
    <w:rsid w:val="1CB40DF8"/>
    <w:rsid w:val="1CB533A4"/>
    <w:rsid w:val="1CBD1019"/>
    <w:rsid w:val="1CC021CA"/>
    <w:rsid w:val="1CC8118D"/>
    <w:rsid w:val="1CCC583A"/>
    <w:rsid w:val="1CD21A8B"/>
    <w:rsid w:val="1CD83537"/>
    <w:rsid w:val="1CDD2E4A"/>
    <w:rsid w:val="1CEA0EAA"/>
    <w:rsid w:val="1CED2D5E"/>
    <w:rsid w:val="1CF21731"/>
    <w:rsid w:val="1CF71B53"/>
    <w:rsid w:val="1D036806"/>
    <w:rsid w:val="1D046798"/>
    <w:rsid w:val="1D077978"/>
    <w:rsid w:val="1D1854C2"/>
    <w:rsid w:val="1D1A4E12"/>
    <w:rsid w:val="1D1D0F4A"/>
    <w:rsid w:val="1D1D78A1"/>
    <w:rsid w:val="1D1E13F0"/>
    <w:rsid w:val="1D1E1B3A"/>
    <w:rsid w:val="1D1E554A"/>
    <w:rsid w:val="1D2D6983"/>
    <w:rsid w:val="1D39160F"/>
    <w:rsid w:val="1D3C547E"/>
    <w:rsid w:val="1D3E543D"/>
    <w:rsid w:val="1D3F2B75"/>
    <w:rsid w:val="1D454D83"/>
    <w:rsid w:val="1D4E4D5C"/>
    <w:rsid w:val="1D554B87"/>
    <w:rsid w:val="1D604517"/>
    <w:rsid w:val="1D6B5789"/>
    <w:rsid w:val="1D6C1968"/>
    <w:rsid w:val="1D736C89"/>
    <w:rsid w:val="1D7C7330"/>
    <w:rsid w:val="1D82503F"/>
    <w:rsid w:val="1D870F92"/>
    <w:rsid w:val="1D8C1C9C"/>
    <w:rsid w:val="1D8E0889"/>
    <w:rsid w:val="1D8F1DC9"/>
    <w:rsid w:val="1D920BF0"/>
    <w:rsid w:val="1D9A49A4"/>
    <w:rsid w:val="1DA44F13"/>
    <w:rsid w:val="1DA9498F"/>
    <w:rsid w:val="1DB87AD3"/>
    <w:rsid w:val="1DBB05FE"/>
    <w:rsid w:val="1DC36BA4"/>
    <w:rsid w:val="1DC93146"/>
    <w:rsid w:val="1DCB0075"/>
    <w:rsid w:val="1DCB431A"/>
    <w:rsid w:val="1DDA358E"/>
    <w:rsid w:val="1DDA7296"/>
    <w:rsid w:val="1DE3153D"/>
    <w:rsid w:val="1DF27FED"/>
    <w:rsid w:val="1DF75731"/>
    <w:rsid w:val="1E1A2612"/>
    <w:rsid w:val="1E1F2095"/>
    <w:rsid w:val="1E237600"/>
    <w:rsid w:val="1E2702D2"/>
    <w:rsid w:val="1E295F28"/>
    <w:rsid w:val="1E2A73B2"/>
    <w:rsid w:val="1E2D4F75"/>
    <w:rsid w:val="1E301B9F"/>
    <w:rsid w:val="1E335A32"/>
    <w:rsid w:val="1E343319"/>
    <w:rsid w:val="1E386143"/>
    <w:rsid w:val="1E3D15F1"/>
    <w:rsid w:val="1E3D2556"/>
    <w:rsid w:val="1E450EC6"/>
    <w:rsid w:val="1E455902"/>
    <w:rsid w:val="1E532A67"/>
    <w:rsid w:val="1E544743"/>
    <w:rsid w:val="1E62397F"/>
    <w:rsid w:val="1E68604E"/>
    <w:rsid w:val="1E6D7FFF"/>
    <w:rsid w:val="1E753BEC"/>
    <w:rsid w:val="1E7D3ED8"/>
    <w:rsid w:val="1E8453A5"/>
    <w:rsid w:val="1E895040"/>
    <w:rsid w:val="1E8D4989"/>
    <w:rsid w:val="1E8E0144"/>
    <w:rsid w:val="1E9242EB"/>
    <w:rsid w:val="1EA57347"/>
    <w:rsid w:val="1EA90432"/>
    <w:rsid w:val="1EAE0C12"/>
    <w:rsid w:val="1EB03145"/>
    <w:rsid w:val="1EB217AF"/>
    <w:rsid w:val="1EB36BBE"/>
    <w:rsid w:val="1EB6419A"/>
    <w:rsid w:val="1EB678A8"/>
    <w:rsid w:val="1EBA6CFB"/>
    <w:rsid w:val="1EC06B74"/>
    <w:rsid w:val="1EC92424"/>
    <w:rsid w:val="1ECA3C06"/>
    <w:rsid w:val="1ECA6EAF"/>
    <w:rsid w:val="1ECB1867"/>
    <w:rsid w:val="1ECC75D4"/>
    <w:rsid w:val="1ED23537"/>
    <w:rsid w:val="1EDA1380"/>
    <w:rsid w:val="1EF0755B"/>
    <w:rsid w:val="1EFA2840"/>
    <w:rsid w:val="1EFA5995"/>
    <w:rsid w:val="1F01473C"/>
    <w:rsid w:val="1F0339D5"/>
    <w:rsid w:val="1F070103"/>
    <w:rsid w:val="1F143446"/>
    <w:rsid w:val="1F240CB5"/>
    <w:rsid w:val="1F2740D9"/>
    <w:rsid w:val="1F29007A"/>
    <w:rsid w:val="1F29350C"/>
    <w:rsid w:val="1F2A2884"/>
    <w:rsid w:val="1F2C05EA"/>
    <w:rsid w:val="1F2D5FFE"/>
    <w:rsid w:val="1F2E4130"/>
    <w:rsid w:val="1F304704"/>
    <w:rsid w:val="1F317E77"/>
    <w:rsid w:val="1F413576"/>
    <w:rsid w:val="1F421728"/>
    <w:rsid w:val="1F426108"/>
    <w:rsid w:val="1F486752"/>
    <w:rsid w:val="1F4F3119"/>
    <w:rsid w:val="1F4F542F"/>
    <w:rsid w:val="1F5218AC"/>
    <w:rsid w:val="1F5E34D6"/>
    <w:rsid w:val="1F6249DA"/>
    <w:rsid w:val="1F6479BE"/>
    <w:rsid w:val="1F6E6572"/>
    <w:rsid w:val="1F6F0182"/>
    <w:rsid w:val="1F7669BF"/>
    <w:rsid w:val="1F7C5AF4"/>
    <w:rsid w:val="1F835F75"/>
    <w:rsid w:val="1F8E49C2"/>
    <w:rsid w:val="1F9262CB"/>
    <w:rsid w:val="1F926996"/>
    <w:rsid w:val="1F9355C7"/>
    <w:rsid w:val="1F9C084C"/>
    <w:rsid w:val="1FA3607E"/>
    <w:rsid w:val="1FA75123"/>
    <w:rsid w:val="1FA919E9"/>
    <w:rsid w:val="1FB61B89"/>
    <w:rsid w:val="1FC00C01"/>
    <w:rsid w:val="1FC93034"/>
    <w:rsid w:val="1FD53D5E"/>
    <w:rsid w:val="1FD62ED7"/>
    <w:rsid w:val="1FD77073"/>
    <w:rsid w:val="1FD83C07"/>
    <w:rsid w:val="1FDF4D38"/>
    <w:rsid w:val="1FEA7809"/>
    <w:rsid w:val="1FEE70DE"/>
    <w:rsid w:val="1FF022D8"/>
    <w:rsid w:val="1FF65E35"/>
    <w:rsid w:val="1FFB1C7F"/>
    <w:rsid w:val="1FFF56CB"/>
    <w:rsid w:val="20095871"/>
    <w:rsid w:val="200B7D5E"/>
    <w:rsid w:val="200E576D"/>
    <w:rsid w:val="20126E5F"/>
    <w:rsid w:val="20127D08"/>
    <w:rsid w:val="201725C8"/>
    <w:rsid w:val="2018131F"/>
    <w:rsid w:val="201A214F"/>
    <w:rsid w:val="201D17C2"/>
    <w:rsid w:val="201E1EB0"/>
    <w:rsid w:val="202333F6"/>
    <w:rsid w:val="20275CE4"/>
    <w:rsid w:val="20387251"/>
    <w:rsid w:val="203C6187"/>
    <w:rsid w:val="2040730C"/>
    <w:rsid w:val="20634C34"/>
    <w:rsid w:val="20665C82"/>
    <w:rsid w:val="20750064"/>
    <w:rsid w:val="208963FE"/>
    <w:rsid w:val="208A2D9A"/>
    <w:rsid w:val="208E0CF9"/>
    <w:rsid w:val="209016E9"/>
    <w:rsid w:val="2091720C"/>
    <w:rsid w:val="20A4013D"/>
    <w:rsid w:val="20A756FA"/>
    <w:rsid w:val="20AA223F"/>
    <w:rsid w:val="20AF62EA"/>
    <w:rsid w:val="20BE49EE"/>
    <w:rsid w:val="20C44D94"/>
    <w:rsid w:val="20D565DA"/>
    <w:rsid w:val="20DC480C"/>
    <w:rsid w:val="20E53012"/>
    <w:rsid w:val="20E73D48"/>
    <w:rsid w:val="20F425EE"/>
    <w:rsid w:val="20F74520"/>
    <w:rsid w:val="20FB5A46"/>
    <w:rsid w:val="210B318A"/>
    <w:rsid w:val="210C5792"/>
    <w:rsid w:val="210F4738"/>
    <w:rsid w:val="21173285"/>
    <w:rsid w:val="21182400"/>
    <w:rsid w:val="212C2604"/>
    <w:rsid w:val="212C37A1"/>
    <w:rsid w:val="21302C0C"/>
    <w:rsid w:val="213621C0"/>
    <w:rsid w:val="21386910"/>
    <w:rsid w:val="213B1801"/>
    <w:rsid w:val="213C22E6"/>
    <w:rsid w:val="213F3A2E"/>
    <w:rsid w:val="21442587"/>
    <w:rsid w:val="214C2AFA"/>
    <w:rsid w:val="215900A7"/>
    <w:rsid w:val="216117B7"/>
    <w:rsid w:val="21662C0D"/>
    <w:rsid w:val="21674E89"/>
    <w:rsid w:val="216B497A"/>
    <w:rsid w:val="216B51C8"/>
    <w:rsid w:val="21772314"/>
    <w:rsid w:val="217925AE"/>
    <w:rsid w:val="217A36BF"/>
    <w:rsid w:val="217D03AD"/>
    <w:rsid w:val="21820305"/>
    <w:rsid w:val="21870F85"/>
    <w:rsid w:val="218D3A38"/>
    <w:rsid w:val="218E4C0C"/>
    <w:rsid w:val="21920880"/>
    <w:rsid w:val="219261B3"/>
    <w:rsid w:val="219576F3"/>
    <w:rsid w:val="219A254B"/>
    <w:rsid w:val="21A75977"/>
    <w:rsid w:val="21BB68B1"/>
    <w:rsid w:val="21BD5BA9"/>
    <w:rsid w:val="21C63FE7"/>
    <w:rsid w:val="21D9452F"/>
    <w:rsid w:val="21DA75F6"/>
    <w:rsid w:val="21E20A7E"/>
    <w:rsid w:val="21F64E2C"/>
    <w:rsid w:val="21FA4332"/>
    <w:rsid w:val="21FC44C6"/>
    <w:rsid w:val="22002E22"/>
    <w:rsid w:val="22016088"/>
    <w:rsid w:val="220A23B6"/>
    <w:rsid w:val="222106A8"/>
    <w:rsid w:val="22243DC4"/>
    <w:rsid w:val="223D70E2"/>
    <w:rsid w:val="224103D0"/>
    <w:rsid w:val="22500702"/>
    <w:rsid w:val="2252030F"/>
    <w:rsid w:val="22586564"/>
    <w:rsid w:val="22621D67"/>
    <w:rsid w:val="22675A7D"/>
    <w:rsid w:val="226908C7"/>
    <w:rsid w:val="226B63C1"/>
    <w:rsid w:val="2278259E"/>
    <w:rsid w:val="227C63FE"/>
    <w:rsid w:val="227D14B2"/>
    <w:rsid w:val="228A4F19"/>
    <w:rsid w:val="228E4DC3"/>
    <w:rsid w:val="22965A26"/>
    <w:rsid w:val="22AB6054"/>
    <w:rsid w:val="22C06C83"/>
    <w:rsid w:val="22C16090"/>
    <w:rsid w:val="22CE3649"/>
    <w:rsid w:val="22D108D1"/>
    <w:rsid w:val="22D16A5E"/>
    <w:rsid w:val="22D27629"/>
    <w:rsid w:val="22D622C7"/>
    <w:rsid w:val="22EC7ABE"/>
    <w:rsid w:val="22FA538D"/>
    <w:rsid w:val="230A01C2"/>
    <w:rsid w:val="230A07A7"/>
    <w:rsid w:val="230A5AC7"/>
    <w:rsid w:val="23114BD0"/>
    <w:rsid w:val="23116C30"/>
    <w:rsid w:val="2312270F"/>
    <w:rsid w:val="23127ED4"/>
    <w:rsid w:val="231716B2"/>
    <w:rsid w:val="23250703"/>
    <w:rsid w:val="232A749D"/>
    <w:rsid w:val="232D5249"/>
    <w:rsid w:val="234828C2"/>
    <w:rsid w:val="234B6811"/>
    <w:rsid w:val="235003A2"/>
    <w:rsid w:val="2355768F"/>
    <w:rsid w:val="235D394E"/>
    <w:rsid w:val="23685B40"/>
    <w:rsid w:val="239A1EDF"/>
    <w:rsid w:val="23B90C12"/>
    <w:rsid w:val="23BE1BC1"/>
    <w:rsid w:val="23D07624"/>
    <w:rsid w:val="23D26F32"/>
    <w:rsid w:val="23D9056F"/>
    <w:rsid w:val="23E23A68"/>
    <w:rsid w:val="23E968FF"/>
    <w:rsid w:val="23F55DE2"/>
    <w:rsid w:val="23FB46C8"/>
    <w:rsid w:val="23FE7256"/>
    <w:rsid w:val="240802E7"/>
    <w:rsid w:val="240928D8"/>
    <w:rsid w:val="24115C3A"/>
    <w:rsid w:val="241B595C"/>
    <w:rsid w:val="241D5EF0"/>
    <w:rsid w:val="24204989"/>
    <w:rsid w:val="242D7E03"/>
    <w:rsid w:val="24301F90"/>
    <w:rsid w:val="24366672"/>
    <w:rsid w:val="243E3D1D"/>
    <w:rsid w:val="2442169F"/>
    <w:rsid w:val="24463920"/>
    <w:rsid w:val="24497E69"/>
    <w:rsid w:val="244D5A21"/>
    <w:rsid w:val="24701A48"/>
    <w:rsid w:val="2478646F"/>
    <w:rsid w:val="247A388C"/>
    <w:rsid w:val="24852EE6"/>
    <w:rsid w:val="2498280C"/>
    <w:rsid w:val="249A0359"/>
    <w:rsid w:val="249D5ACA"/>
    <w:rsid w:val="249E1381"/>
    <w:rsid w:val="249F21B8"/>
    <w:rsid w:val="24A203BA"/>
    <w:rsid w:val="24AB249E"/>
    <w:rsid w:val="24C51B07"/>
    <w:rsid w:val="24C83E91"/>
    <w:rsid w:val="24C8677C"/>
    <w:rsid w:val="24D44AA0"/>
    <w:rsid w:val="24D677F1"/>
    <w:rsid w:val="24DB6519"/>
    <w:rsid w:val="24DF2AD2"/>
    <w:rsid w:val="24F26AD5"/>
    <w:rsid w:val="24F33DD2"/>
    <w:rsid w:val="24FA2FE8"/>
    <w:rsid w:val="24FE495D"/>
    <w:rsid w:val="250657EB"/>
    <w:rsid w:val="250D560D"/>
    <w:rsid w:val="25111C9D"/>
    <w:rsid w:val="25150A49"/>
    <w:rsid w:val="252D7B95"/>
    <w:rsid w:val="25360422"/>
    <w:rsid w:val="253679A9"/>
    <w:rsid w:val="25376063"/>
    <w:rsid w:val="25487995"/>
    <w:rsid w:val="254B76B8"/>
    <w:rsid w:val="255461AE"/>
    <w:rsid w:val="25552FAC"/>
    <w:rsid w:val="25584704"/>
    <w:rsid w:val="25593F1D"/>
    <w:rsid w:val="256E5CEC"/>
    <w:rsid w:val="25753601"/>
    <w:rsid w:val="257A093C"/>
    <w:rsid w:val="257E7FAA"/>
    <w:rsid w:val="25826736"/>
    <w:rsid w:val="258374D5"/>
    <w:rsid w:val="258B75EB"/>
    <w:rsid w:val="25A075BE"/>
    <w:rsid w:val="25A530AD"/>
    <w:rsid w:val="25B63E9F"/>
    <w:rsid w:val="25C94365"/>
    <w:rsid w:val="25DB0959"/>
    <w:rsid w:val="25DB44DD"/>
    <w:rsid w:val="25E04C55"/>
    <w:rsid w:val="25E22F4C"/>
    <w:rsid w:val="25E467E9"/>
    <w:rsid w:val="25E46AA9"/>
    <w:rsid w:val="25F924A7"/>
    <w:rsid w:val="25FC13BE"/>
    <w:rsid w:val="26045C7C"/>
    <w:rsid w:val="26081F64"/>
    <w:rsid w:val="26222F88"/>
    <w:rsid w:val="262330C4"/>
    <w:rsid w:val="263B0CA0"/>
    <w:rsid w:val="263C5083"/>
    <w:rsid w:val="263F60ED"/>
    <w:rsid w:val="26414073"/>
    <w:rsid w:val="264B6B6A"/>
    <w:rsid w:val="264B7076"/>
    <w:rsid w:val="264F6E45"/>
    <w:rsid w:val="265C72DF"/>
    <w:rsid w:val="266248EF"/>
    <w:rsid w:val="266A2811"/>
    <w:rsid w:val="266F5F9B"/>
    <w:rsid w:val="2678331D"/>
    <w:rsid w:val="26840088"/>
    <w:rsid w:val="26973157"/>
    <w:rsid w:val="26A62052"/>
    <w:rsid w:val="26AD77E2"/>
    <w:rsid w:val="26BE18A9"/>
    <w:rsid w:val="26C559D5"/>
    <w:rsid w:val="26CF5711"/>
    <w:rsid w:val="26DC6142"/>
    <w:rsid w:val="26E10197"/>
    <w:rsid w:val="26FB0C38"/>
    <w:rsid w:val="27016AAD"/>
    <w:rsid w:val="270A6D48"/>
    <w:rsid w:val="270B08D2"/>
    <w:rsid w:val="270B11E1"/>
    <w:rsid w:val="2716614F"/>
    <w:rsid w:val="27230B12"/>
    <w:rsid w:val="27235EB3"/>
    <w:rsid w:val="27252803"/>
    <w:rsid w:val="273806BB"/>
    <w:rsid w:val="27465173"/>
    <w:rsid w:val="27466F3A"/>
    <w:rsid w:val="274A3283"/>
    <w:rsid w:val="274B6DD8"/>
    <w:rsid w:val="274F5EBE"/>
    <w:rsid w:val="275E239E"/>
    <w:rsid w:val="27700C06"/>
    <w:rsid w:val="277249D9"/>
    <w:rsid w:val="278B7FF6"/>
    <w:rsid w:val="27A879A3"/>
    <w:rsid w:val="27AD628E"/>
    <w:rsid w:val="27B429A6"/>
    <w:rsid w:val="27B60B6C"/>
    <w:rsid w:val="27B973DA"/>
    <w:rsid w:val="27C27177"/>
    <w:rsid w:val="27D370A8"/>
    <w:rsid w:val="27DF19ED"/>
    <w:rsid w:val="27DF6C4E"/>
    <w:rsid w:val="27E15408"/>
    <w:rsid w:val="27E4200F"/>
    <w:rsid w:val="27EC58B9"/>
    <w:rsid w:val="27F47974"/>
    <w:rsid w:val="27F740BB"/>
    <w:rsid w:val="280107B4"/>
    <w:rsid w:val="280E47AC"/>
    <w:rsid w:val="28126D74"/>
    <w:rsid w:val="28161378"/>
    <w:rsid w:val="281777E2"/>
    <w:rsid w:val="28293799"/>
    <w:rsid w:val="282D43C0"/>
    <w:rsid w:val="28322BB4"/>
    <w:rsid w:val="28407873"/>
    <w:rsid w:val="28496488"/>
    <w:rsid w:val="284F43E5"/>
    <w:rsid w:val="285E0230"/>
    <w:rsid w:val="287869E8"/>
    <w:rsid w:val="287C2855"/>
    <w:rsid w:val="287C2D87"/>
    <w:rsid w:val="28801FE8"/>
    <w:rsid w:val="2882318F"/>
    <w:rsid w:val="288D310B"/>
    <w:rsid w:val="289478CD"/>
    <w:rsid w:val="28975D96"/>
    <w:rsid w:val="289A0F19"/>
    <w:rsid w:val="289C1BD5"/>
    <w:rsid w:val="28A5751D"/>
    <w:rsid w:val="28AE43FF"/>
    <w:rsid w:val="28B41D2B"/>
    <w:rsid w:val="28C037FD"/>
    <w:rsid w:val="28C07BBC"/>
    <w:rsid w:val="28C64B8B"/>
    <w:rsid w:val="28D05A43"/>
    <w:rsid w:val="28D576ED"/>
    <w:rsid w:val="28D831ED"/>
    <w:rsid w:val="28DC43AF"/>
    <w:rsid w:val="28DE3A90"/>
    <w:rsid w:val="28E25926"/>
    <w:rsid w:val="28E26B52"/>
    <w:rsid w:val="28E34092"/>
    <w:rsid w:val="28E5781C"/>
    <w:rsid w:val="28EA6C55"/>
    <w:rsid w:val="28F3548C"/>
    <w:rsid w:val="28F87CBE"/>
    <w:rsid w:val="28FC232E"/>
    <w:rsid w:val="28FF6059"/>
    <w:rsid w:val="29051F39"/>
    <w:rsid w:val="290C363F"/>
    <w:rsid w:val="29106795"/>
    <w:rsid w:val="293470A9"/>
    <w:rsid w:val="293D14B6"/>
    <w:rsid w:val="294A57BC"/>
    <w:rsid w:val="294D4722"/>
    <w:rsid w:val="2958695E"/>
    <w:rsid w:val="296311E7"/>
    <w:rsid w:val="29631412"/>
    <w:rsid w:val="29662FCE"/>
    <w:rsid w:val="296B02A8"/>
    <w:rsid w:val="296B1AC8"/>
    <w:rsid w:val="296E2AAB"/>
    <w:rsid w:val="296F27BB"/>
    <w:rsid w:val="297C159B"/>
    <w:rsid w:val="29815F1F"/>
    <w:rsid w:val="298401F3"/>
    <w:rsid w:val="29864044"/>
    <w:rsid w:val="298F2C92"/>
    <w:rsid w:val="299762DC"/>
    <w:rsid w:val="2999320B"/>
    <w:rsid w:val="299C1562"/>
    <w:rsid w:val="29A06E83"/>
    <w:rsid w:val="29A23E18"/>
    <w:rsid w:val="29A429D1"/>
    <w:rsid w:val="29A51B95"/>
    <w:rsid w:val="29AD6A44"/>
    <w:rsid w:val="29B01EC3"/>
    <w:rsid w:val="29B1402A"/>
    <w:rsid w:val="29B63E38"/>
    <w:rsid w:val="29C44EA5"/>
    <w:rsid w:val="29CE4957"/>
    <w:rsid w:val="29DD03DE"/>
    <w:rsid w:val="29E16921"/>
    <w:rsid w:val="29FA6C0E"/>
    <w:rsid w:val="29FD042B"/>
    <w:rsid w:val="29FF6315"/>
    <w:rsid w:val="2A0375CF"/>
    <w:rsid w:val="2A0475B6"/>
    <w:rsid w:val="2A0D1FB6"/>
    <w:rsid w:val="2A112C91"/>
    <w:rsid w:val="2A135BAE"/>
    <w:rsid w:val="2A18267C"/>
    <w:rsid w:val="2A214769"/>
    <w:rsid w:val="2A26122C"/>
    <w:rsid w:val="2A2F0ABD"/>
    <w:rsid w:val="2A3449E1"/>
    <w:rsid w:val="2A422793"/>
    <w:rsid w:val="2A473337"/>
    <w:rsid w:val="2A4E5826"/>
    <w:rsid w:val="2A503127"/>
    <w:rsid w:val="2A55350A"/>
    <w:rsid w:val="2A564061"/>
    <w:rsid w:val="2A566EB2"/>
    <w:rsid w:val="2A5D507B"/>
    <w:rsid w:val="2A5D6CB9"/>
    <w:rsid w:val="2A5E39BE"/>
    <w:rsid w:val="2A5F6C2B"/>
    <w:rsid w:val="2A6671C6"/>
    <w:rsid w:val="2A720FDA"/>
    <w:rsid w:val="2A761A1E"/>
    <w:rsid w:val="2A7A5C2D"/>
    <w:rsid w:val="2A8940C2"/>
    <w:rsid w:val="2A973528"/>
    <w:rsid w:val="2A9917B2"/>
    <w:rsid w:val="2AA05BEE"/>
    <w:rsid w:val="2AA80CAF"/>
    <w:rsid w:val="2AAD3775"/>
    <w:rsid w:val="2AB363EE"/>
    <w:rsid w:val="2ABE5B1A"/>
    <w:rsid w:val="2ABF62BC"/>
    <w:rsid w:val="2AC64D84"/>
    <w:rsid w:val="2AD707F7"/>
    <w:rsid w:val="2AD808B5"/>
    <w:rsid w:val="2AD85991"/>
    <w:rsid w:val="2AEA73E4"/>
    <w:rsid w:val="2AEB5161"/>
    <w:rsid w:val="2AF4113A"/>
    <w:rsid w:val="2AF54300"/>
    <w:rsid w:val="2B0B0923"/>
    <w:rsid w:val="2B164D8C"/>
    <w:rsid w:val="2B193B25"/>
    <w:rsid w:val="2B262A59"/>
    <w:rsid w:val="2B325C1C"/>
    <w:rsid w:val="2B3804EE"/>
    <w:rsid w:val="2B396172"/>
    <w:rsid w:val="2B3D7387"/>
    <w:rsid w:val="2B44429C"/>
    <w:rsid w:val="2B490E81"/>
    <w:rsid w:val="2B513870"/>
    <w:rsid w:val="2B514AE3"/>
    <w:rsid w:val="2B5C47AE"/>
    <w:rsid w:val="2B5F3D1D"/>
    <w:rsid w:val="2B607CC3"/>
    <w:rsid w:val="2B68125F"/>
    <w:rsid w:val="2B6F7F5F"/>
    <w:rsid w:val="2B7B1B60"/>
    <w:rsid w:val="2B7F13F3"/>
    <w:rsid w:val="2B7F799F"/>
    <w:rsid w:val="2B862E35"/>
    <w:rsid w:val="2B8A7B53"/>
    <w:rsid w:val="2B904D81"/>
    <w:rsid w:val="2B9417BE"/>
    <w:rsid w:val="2B9461B9"/>
    <w:rsid w:val="2BA35F51"/>
    <w:rsid w:val="2BA75CE6"/>
    <w:rsid w:val="2BB42266"/>
    <w:rsid w:val="2BB90326"/>
    <w:rsid w:val="2BCB5516"/>
    <w:rsid w:val="2BCD4DC0"/>
    <w:rsid w:val="2BCE0DAB"/>
    <w:rsid w:val="2BD80E5D"/>
    <w:rsid w:val="2BD9277E"/>
    <w:rsid w:val="2BE401D2"/>
    <w:rsid w:val="2BEE5E5F"/>
    <w:rsid w:val="2BF33EE9"/>
    <w:rsid w:val="2BF57C61"/>
    <w:rsid w:val="2BF95151"/>
    <w:rsid w:val="2BFA3059"/>
    <w:rsid w:val="2BFC2DEE"/>
    <w:rsid w:val="2BFD6B16"/>
    <w:rsid w:val="2C0E7F04"/>
    <w:rsid w:val="2C1672E6"/>
    <w:rsid w:val="2C2004C0"/>
    <w:rsid w:val="2C22032B"/>
    <w:rsid w:val="2C244AC5"/>
    <w:rsid w:val="2C253215"/>
    <w:rsid w:val="2C271DEC"/>
    <w:rsid w:val="2C2A4AA2"/>
    <w:rsid w:val="2C2A633C"/>
    <w:rsid w:val="2C2E7758"/>
    <w:rsid w:val="2C335F5A"/>
    <w:rsid w:val="2C3B0526"/>
    <w:rsid w:val="2C3D4446"/>
    <w:rsid w:val="2C440DDF"/>
    <w:rsid w:val="2C46406A"/>
    <w:rsid w:val="2C504CF6"/>
    <w:rsid w:val="2C504E98"/>
    <w:rsid w:val="2C506C46"/>
    <w:rsid w:val="2C526E62"/>
    <w:rsid w:val="2C5369C9"/>
    <w:rsid w:val="2C5404D6"/>
    <w:rsid w:val="2C662F74"/>
    <w:rsid w:val="2C677440"/>
    <w:rsid w:val="2C6F5B04"/>
    <w:rsid w:val="2C722DCB"/>
    <w:rsid w:val="2C75146C"/>
    <w:rsid w:val="2C785A0E"/>
    <w:rsid w:val="2C7D46F1"/>
    <w:rsid w:val="2C8057F2"/>
    <w:rsid w:val="2C8132A3"/>
    <w:rsid w:val="2C883041"/>
    <w:rsid w:val="2C8870CB"/>
    <w:rsid w:val="2C9533F1"/>
    <w:rsid w:val="2C9A366D"/>
    <w:rsid w:val="2C9C632F"/>
    <w:rsid w:val="2CA86A82"/>
    <w:rsid w:val="2CAA0D3B"/>
    <w:rsid w:val="2CAB3B72"/>
    <w:rsid w:val="2CC06F3C"/>
    <w:rsid w:val="2CC5008C"/>
    <w:rsid w:val="2CDF7FCA"/>
    <w:rsid w:val="2CE039A0"/>
    <w:rsid w:val="2CE675AA"/>
    <w:rsid w:val="2CE9008B"/>
    <w:rsid w:val="2CEF2903"/>
    <w:rsid w:val="2CFE063D"/>
    <w:rsid w:val="2CFE095C"/>
    <w:rsid w:val="2CFE3816"/>
    <w:rsid w:val="2CFE4050"/>
    <w:rsid w:val="2D014667"/>
    <w:rsid w:val="2D12438C"/>
    <w:rsid w:val="2D157E8F"/>
    <w:rsid w:val="2D1F6CCF"/>
    <w:rsid w:val="2D1F6EE7"/>
    <w:rsid w:val="2D267C5A"/>
    <w:rsid w:val="2D272A27"/>
    <w:rsid w:val="2D2E3032"/>
    <w:rsid w:val="2D4621B2"/>
    <w:rsid w:val="2D4F2927"/>
    <w:rsid w:val="2D5D419A"/>
    <w:rsid w:val="2D5E1ABB"/>
    <w:rsid w:val="2D5E1FDE"/>
    <w:rsid w:val="2D5E7C02"/>
    <w:rsid w:val="2D644488"/>
    <w:rsid w:val="2D661D22"/>
    <w:rsid w:val="2D6824BE"/>
    <w:rsid w:val="2D6863B1"/>
    <w:rsid w:val="2D735A67"/>
    <w:rsid w:val="2D7B215C"/>
    <w:rsid w:val="2D7E4062"/>
    <w:rsid w:val="2D802311"/>
    <w:rsid w:val="2D843B07"/>
    <w:rsid w:val="2D875B1B"/>
    <w:rsid w:val="2D8A362C"/>
    <w:rsid w:val="2D8E56A9"/>
    <w:rsid w:val="2D9042F7"/>
    <w:rsid w:val="2D9E2246"/>
    <w:rsid w:val="2DA766C5"/>
    <w:rsid w:val="2DBB7F4B"/>
    <w:rsid w:val="2DBF78D6"/>
    <w:rsid w:val="2DC064D4"/>
    <w:rsid w:val="2DCF519B"/>
    <w:rsid w:val="2DD571A6"/>
    <w:rsid w:val="2DE52846"/>
    <w:rsid w:val="2DE83C2D"/>
    <w:rsid w:val="2DE84F1D"/>
    <w:rsid w:val="2DEE6374"/>
    <w:rsid w:val="2DEF17DF"/>
    <w:rsid w:val="2DF755CD"/>
    <w:rsid w:val="2DFB3240"/>
    <w:rsid w:val="2E084BB4"/>
    <w:rsid w:val="2E0A1F40"/>
    <w:rsid w:val="2E131827"/>
    <w:rsid w:val="2E133EE3"/>
    <w:rsid w:val="2E152297"/>
    <w:rsid w:val="2E22364F"/>
    <w:rsid w:val="2E250FB0"/>
    <w:rsid w:val="2E343585"/>
    <w:rsid w:val="2E463B8C"/>
    <w:rsid w:val="2E4A45AC"/>
    <w:rsid w:val="2E4C702B"/>
    <w:rsid w:val="2E701DDE"/>
    <w:rsid w:val="2E712748"/>
    <w:rsid w:val="2E717C3A"/>
    <w:rsid w:val="2E725F46"/>
    <w:rsid w:val="2E7A498D"/>
    <w:rsid w:val="2E7C6418"/>
    <w:rsid w:val="2E8A2416"/>
    <w:rsid w:val="2E947C3C"/>
    <w:rsid w:val="2E960CA5"/>
    <w:rsid w:val="2EA03D9F"/>
    <w:rsid w:val="2EBA208D"/>
    <w:rsid w:val="2ED84D84"/>
    <w:rsid w:val="2EDF2FB7"/>
    <w:rsid w:val="2EE46F90"/>
    <w:rsid w:val="2EE662AC"/>
    <w:rsid w:val="2EE66D52"/>
    <w:rsid w:val="2EEF4398"/>
    <w:rsid w:val="2EF775CB"/>
    <w:rsid w:val="2EF83533"/>
    <w:rsid w:val="2F0A5D02"/>
    <w:rsid w:val="2F20134C"/>
    <w:rsid w:val="2F22326E"/>
    <w:rsid w:val="2F2A0BF2"/>
    <w:rsid w:val="2F2B3718"/>
    <w:rsid w:val="2F2C47EF"/>
    <w:rsid w:val="2F34052E"/>
    <w:rsid w:val="2F3D2DA1"/>
    <w:rsid w:val="2F3E65B0"/>
    <w:rsid w:val="2F457F0A"/>
    <w:rsid w:val="2F583316"/>
    <w:rsid w:val="2F5A3C3F"/>
    <w:rsid w:val="2F6D7D7A"/>
    <w:rsid w:val="2F762E67"/>
    <w:rsid w:val="2F7D0420"/>
    <w:rsid w:val="2F836688"/>
    <w:rsid w:val="2F880DEC"/>
    <w:rsid w:val="2F951C1D"/>
    <w:rsid w:val="2F96600E"/>
    <w:rsid w:val="2F973DCC"/>
    <w:rsid w:val="2FAD7A6F"/>
    <w:rsid w:val="2FB90CB6"/>
    <w:rsid w:val="2FD93936"/>
    <w:rsid w:val="2FDA7141"/>
    <w:rsid w:val="2FE814DF"/>
    <w:rsid w:val="2FEF76C9"/>
    <w:rsid w:val="2FFC3664"/>
    <w:rsid w:val="30054C8E"/>
    <w:rsid w:val="3007380B"/>
    <w:rsid w:val="300E7F0A"/>
    <w:rsid w:val="30221C48"/>
    <w:rsid w:val="302F3FC2"/>
    <w:rsid w:val="30311CBE"/>
    <w:rsid w:val="303F71A5"/>
    <w:rsid w:val="304D174B"/>
    <w:rsid w:val="306166A8"/>
    <w:rsid w:val="306E6BCA"/>
    <w:rsid w:val="306F0CAE"/>
    <w:rsid w:val="30715015"/>
    <w:rsid w:val="307901AB"/>
    <w:rsid w:val="30820213"/>
    <w:rsid w:val="308D68F9"/>
    <w:rsid w:val="30991461"/>
    <w:rsid w:val="309C1E01"/>
    <w:rsid w:val="309E0886"/>
    <w:rsid w:val="30A10FB0"/>
    <w:rsid w:val="30B60B6B"/>
    <w:rsid w:val="30BC51E1"/>
    <w:rsid w:val="30D047F9"/>
    <w:rsid w:val="30D80C12"/>
    <w:rsid w:val="30D97831"/>
    <w:rsid w:val="30EB5D35"/>
    <w:rsid w:val="30ED3E75"/>
    <w:rsid w:val="30EE2B0D"/>
    <w:rsid w:val="30F213EB"/>
    <w:rsid w:val="30F643D0"/>
    <w:rsid w:val="30FD3114"/>
    <w:rsid w:val="311A3CC6"/>
    <w:rsid w:val="311D294A"/>
    <w:rsid w:val="312A7DC4"/>
    <w:rsid w:val="312C039A"/>
    <w:rsid w:val="312D3C8B"/>
    <w:rsid w:val="31334611"/>
    <w:rsid w:val="3139239E"/>
    <w:rsid w:val="313E6147"/>
    <w:rsid w:val="31442AF1"/>
    <w:rsid w:val="31491356"/>
    <w:rsid w:val="314F5391"/>
    <w:rsid w:val="31554306"/>
    <w:rsid w:val="31627E2E"/>
    <w:rsid w:val="31633C5C"/>
    <w:rsid w:val="31655A89"/>
    <w:rsid w:val="31662A68"/>
    <w:rsid w:val="316D58FE"/>
    <w:rsid w:val="316F7958"/>
    <w:rsid w:val="317A7054"/>
    <w:rsid w:val="317B750B"/>
    <w:rsid w:val="317C521A"/>
    <w:rsid w:val="318122B7"/>
    <w:rsid w:val="3186327E"/>
    <w:rsid w:val="319110D7"/>
    <w:rsid w:val="31920E87"/>
    <w:rsid w:val="31986738"/>
    <w:rsid w:val="319B6BB5"/>
    <w:rsid w:val="319E7DD2"/>
    <w:rsid w:val="319F479A"/>
    <w:rsid w:val="31AD6E5D"/>
    <w:rsid w:val="31B02507"/>
    <w:rsid w:val="31B50564"/>
    <w:rsid w:val="31B91150"/>
    <w:rsid w:val="31BE0B2A"/>
    <w:rsid w:val="31C25E79"/>
    <w:rsid w:val="31CA6116"/>
    <w:rsid w:val="31D252B9"/>
    <w:rsid w:val="31D420C7"/>
    <w:rsid w:val="31D85915"/>
    <w:rsid w:val="31DF1007"/>
    <w:rsid w:val="31E8016E"/>
    <w:rsid w:val="31F573AC"/>
    <w:rsid w:val="31FB29FF"/>
    <w:rsid w:val="31FB558B"/>
    <w:rsid w:val="31FD1CEB"/>
    <w:rsid w:val="31FF3E29"/>
    <w:rsid w:val="32051A15"/>
    <w:rsid w:val="32075D1F"/>
    <w:rsid w:val="320B1E74"/>
    <w:rsid w:val="320D035A"/>
    <w:rsid w:val="320F4EAD"/>
    <w:rsid w:val="320F68F0"/>
    <w:rsid w:val="32146967"/>
    <w:rsid w:val="321A6E8F"/>
    <w:rsid w:val="321B0ADD"/>
    <w:rsid w:val="321F5357"/>
    <w:rsid w:val="32273FDA"/>
    <w:rsid w:val="322C0915"/>
    <w:rsid w:val="323344DD"/>
    <w:rsid w:val="323A19FC"/>
    <w:rsid w:val="3243161E"/>
    <w:rsid w:val="32551DC5"/>
    <w:rsid w:val="326003EF"/>
    <w:rsid w:val="32684074"/>
    <w:rsid w:val="32735B9B"/>
    <w:rsid w:val="32794A1C"/>
    <w:rsid w:val="327F07E8"/>
    <w:rsid w:val="32827D41"/>
    <w:rsid w:val="32847D6D"/>
    <w:rsid w:val="32957AA8"/>
    <w:rsid w:val="329F4B49"/>
    <w:rsid w:val="32A70FAC"/>
    <w:rsid w:val="32AA5162"/>
    <w:rsid w:val="32B20B24"/>
    <w:rsid w:val="32C345D0"/>
    <w:rsid w:val="32C739DA"/>
    <w:rsid w:val="32CA1F3A"/>
    <w:rsid w:val="32CD1197"/>
    <w:rsid w:val="32E263B0"/>
    <w:rsid w:val="32E351C9"/>
    <w:rsid w:val="32E82782"/>
    <w:rsid w:val="32F95B0C"/>
    <w:rsid w:val="32FF7F0C"/>
    <w:rsid w:val="3307663B"/>
    <w:rsid w:val="330864CC"/>
    <w:rsid w:val="330A1E3B"/>
    <w:rsid w:val="330B3A22"/>
    <w:rsid w:val="330E67C6"/>
    <w:rsid w:val="33135ADD"/>
    <w:rsid w:val="33136133"/>
    <w:rsid w:val="331B597E"/>
    <w:rsid w:val="33234769"/>
    <w:rsid w:val="3332513C"/>
    <w:rsid w:val="33327F79"/>
    <w:rsid w:val="333472C1"/>
    <w:rsid w:val="333A55FB"/>
    <w:rsid w:val="33435756"/>
    <w:rsid w:val="33445203"/>
    <w:rsid w:val="33446DD8"/>
    <w:rsid w:val="3345263C"/>
    <w:rsid w:val="33587748"/>
    <w:rsid w:val="335B7C68"/>
    <w:rsid w:val="335F11F3"/>
    <w:rsid w:val="33631057"/>
    <w:rsid w:val="33642679"/>
    <w:rsid w:val="336C3DBF"/>
    <w:rsid w:val="336D6A5F"/>
    <w:rsid w:val="33775400"/>
    <w:rsid w:val="33783474"/>
    <w:rsid w:val="338178EA"/>
    <w:rsid w:val="339F26EC"/>
    <w:rsid w:val="33A21B61"/>
    <w:rsid w:val="33A84B8F"/>
    <w:rsid w:val="33B45159"/>
    <w:rsid w:val="33B72E15"/>
    <w:rsid w:val="33C82909"/>
    <w:rsid w:val="33CD17BC"/>
    <w:rsid w:val="33E2248A"/>
    <w:rsid w:val="33E2419A"/>
    <w:rsid w:val="33E660E2"/>
    <w:rsid w:val="33EB7403"/>
    <w:rsid w:val="33ED0F49"/>
    <w:rsid w:val="33F6776A"/>
    <w:rsid w:val="33FA2CBA"/>
    <w:rsid w:val="340C3F4E"/>
    <w:rsid w:val="3410342A"/>
    <w:rsid w:val="34160BCB"/>
    <w:rsid w:val="34170A91"/>
    <w:rsid w:val="341A24B9"/>
    <w:rsid w:val="342B057B"/>
    <w:rsid w:val="34362BC5"/>
    <w:rsid w:val="34381D9C"/>
    <w:rsid w:val="34384B8F"/>
    <w:rsid w:val="343A0322"/>
    <w:rsid w:val="343C2B20"/>
    <w:rsid w:val="343D422E"/>
    <w:rsid w:val="343E0F03"/>
    <w:rsid w:val="344C12D4"/>
    <w:rsid w:val="34537AA4"/>
    <w:rsid w:val="34557097"/>
    <w:rsid w:val="345A08AC"/>
    <w:rsid w:val="3465636F"/>
    <w:rsid w:val="347800D3"/>
    <w:rsid w:val="347A4D60"/>
    <w:rsid w:val="348002E4"/>
    <w:rsid w:val="34874CDD"/>
    <w:rsid w:val="348A4CBF"/>
    <w:rsid w:val="348E0A74"/>
    <w:rsid w:val="348F7151"/>
    <w:rsid w:val="349050A7"/>
    <w:rsid w:val="34A642E1"/>
    <w:rsid w:val="34AC4C0C"/>
    <w:rsid w:val="34AF66A1"/>
    <w:rsid w:val="34B03252"/>
    <w:rsid w:val="34B566A3"/>
    <w:rsid w:val="34B7610F"/>
    <w:rsid w:val="34C06223"/>
    <w:rsid w:val="34D16F34"/>
    <w:rsid w:val="34D4418C"/>
    <w:rsid w:val="34D92C74"/>
    <w:rsid w:val="34F77046"/>
    <w:rsid w:val="34FF307F"/>
    <w:rsid w:val="3508721B"/>
    <w:rsid w:val="350A4E5B"/>
    <w:rsid w:val="351102EA"/>
    <w:rsid w:val="3520237C"/>
    <w:rsid w:val="35205B1B"/>
    <w:rsid w:val="352952FF"/>
    <w:rsid w:val="352B1C95"/>
    <w:rsid w:val="353C753B"/>
    <w:rsid w:val="353D36AE"/>
    <w:rsid w:val="353E4ABB"/>
    <w:rsid w:val="35582029"/>
    <w:rsid w:val="35583148"/>
    <w:rsid w:val="355E6DAE"/>
    <w:rsid w:val="356F3194"/>
    <w:rsid w:val="3570514C"/>
    <w:rsid w:val="3575201B"/>
    <w:rsid w:val="35773495"/>
    <w:rsid w:val="357A278A"/>
    <w:rsid w:val="357D09F3"/>
    <w:rsid w:val="359B7493"/>
    <w:rsid w:val="35A10E52"/>
    <w:rsid w:val="35A20415"/>
    <w:rsid w:val="35AB1C78"/>
    <w:rsid w:val="35B01AF3"/>
    <w:rsid w:val="35B45165"/>
    <w:rsid w:val="35B50130"/>
    <w:rsid w:val="35B9536A"/>
    <w:rsid w:val="35D02BA5"/>
    <w:rsid w:val="35D75C5D"/>
    <w:rsid w:val="35D77282"/>
    <w:rsid w:val="35DB75CF"/>
    <w:rsid w:val="35DE2A22"/>
    <w:rsid w:val="35E058EF"/>
    <w:rsid w:val="35E07F32"/>
    <w:rsid w:val="35E12B4D"/>
    <w:rsid w:val="35E7778E"/>
    <w:rsid w:val="35E9424C"/>
    <w:rsid w:val="35EA2B6D"/>
    <w:rsid w:val="35EC5629"/>
    <w:rsid w:val="35F150F9"/>
    <w:rsid w:val="35F20BF4"/>
    <w:rsid w:val="35F411BD"/>
    <w:rsid w:val="35FF7C70"/>
    <w:rsid w:val="36026B41"/>
    <w:rsid w:val="360D50AD"/>
    <w:rsid w:val="361168C1"/>
    <w:rsid w:val="36166034"/>
    <w:rsid w:val="36184957"/>
    <w:rsid w:val="361D1277"/>
    <w:rsid w:val="36254D16"/>
    <w:rsid w:val="363731B7"/>
    <w:rsid w:val="363C7287"/>
    <w:rsid w:val="3640723F"/>
    <w:rsid w:val="36407E87"/>
    <w:rsid w:val="36415851"/>
    <w:rsid w:val="3643623A"/>
    <w:rsid w:val="36484FD9"/>
    <w:rsid w:val="364D19F5"/>
    <w:rsid w:val="3656694D"/>
    <w:rsid w:val="36594775"/>
    <w:rsid w:val="365E501B"/>
    <w:rsid w:val="36676C40"/>
    <w:rsid w:val="36764463"/>
    <w:rsid w:val="368B456A"/>
    <w:rsid w:val="369301AA"/>
    <w:rsid w:val="369A6921"/>
    <w:rsid w:val="369D47FA"/>
    <w:rsid w:val="369E53CE"/>
    <w:rsid w:val="36A5033B"/>
    <w:rsid w:val="36A76D1F"/>
    <w:rsid w:val="36AD31C9"/>
    <w:rsid w:val="36B01525"/>
    <w:rsid w:val="36B24F71"/>
    <w:rsid w:val="36B92B27"/>
    <w:rsid w:val="36BD725D"/>
    <w:rsid w:val="36BF4DBE"/>
    <w:rsid w:val="36C4061F"/>
    <w:rsid w:val="36D508AA"/>
    <w:rsid w:val="36EA0917"/>
    <w:rsid w:val="36FA2211"/>
    <w:rsid w:val="36FA4DFD"/>
    <w:rsid w:val="36FB1EA4"/>
    <w:rsid w:val="36FE4A8E"/>
    <w:rsid w:val="370853CF"/>
    <w:rsid w:val="37104F56"/>
    <w:rsid w:val="371E5B56"/>
    <w:rsid w:val="3722680F"/>
    <w:rsid w:val="37247134"/>
    <w:rsid w:val="3747342D"/>
    <w:rsid w:val="37572AA1"/>
    <w:rsid w:val="376902A0"/>
    <w:rsid w:val="37693740"/>
    <w:rsid w:val="37712166"/>
    <w:rsid w:val="37723FF0"/>
    <w:rsid w:val="377415C5"/>
    <w:rsid w:val="377918FD"/>
    <w:rsid w:val="377A4CE6"/>
    <w:rsid w:val="377B7F1F"/>
    <w:rsid w:val="377E7978"/>
    <w:rsid w:val="378D228F"/>
    <w:rsid w:val="378D51F2"/>
    <w:rsid w:val="379142C8"/>
    <w:rsid w:val="37930FD4"/>
    <w:rsid w:val="379E11AD"/>
    <w:rsid w:val="37A24A9D"/>
    <w:rsid w:val="37A378D7"/>
    <w:rsid w:val="37B155FA"/>
    <w:rsid w:val="37B16AFE"/>
    <w:rsid w:val="37C97392"/>
    <w:rsid w:val="37CC0DC4"/>
    <w:rsid w:val="37DE77FC"/>
    <w:rsid w:val="37EB2D52"/>
    <w:rsid w:val="37F02B25"/>
    <w:rsid w:val="38074E65"/>
    <w:rsid w:val="380E020E"/>
    <w:rsid w:val="3815359B"/>
    <w:rsid w:val="38157BC2"/>
    <w:rsid w:val="38201083"/>
    <w:rsid w:val="38390ED6"/>
    <w:rsid w:val="38443C47"/>
    <w:rsid w:val="38481119"/>
    <w:rsid w:val="38517D50"/>
    <w:rsid w:val="38576AC2"/>
    <w:rsid w:val="385826FD"/>
    <w:rsid w:val="385E6B8E"/>
    <w:rsid w:val="38623EC9"/>
    <w:rsid w:val="3864302A"/>
    <w:rsid w:val="387E2B20"/>
    <w:rsid w:val="387F35D3"/>
    <w:rsid w:val="3883302E"/>
    <w:rsid w:val="388C01E2"/>
    <w:rsid w:val="388C32DB"/>
    <w:rsid w:val="389C079F"/>
    <w:rsid w:val="389D5A10"/>
    <w:rsid w:val="38A6346D"/>
    <w:rsid w:val="38AA1308"/>
    <w:rsid w:val="38B61CC9"/>
    <w:rsid w:val="38C43A45"/>
    <w:rsid w:val="38C86689"/>
    <w:rsid w:val="38CD0342"/>
    <w:rsid w:val="38DE059D"/>
    <w:rsid w:val="38E0409A"/>
    <w:rsid w:val="38E36885"/>
    <w:rsid w:val="38E47094"/>
    <w:rsid w:val="38E87B09"/>
    <w:rsid w:val="38EC2011"/>
    <w:rsid w:val="38EF283D"/>
    <w:rsid w:val="38F022F8"/>
    <w:rsid w:val="38F247F4"/>
    <w:rsid w:val="38F52C52"/>
    <w:rsid w:val="38F60B75"/>
    <w:rsid w:val="38F94FF7"/>
    <w:rsid w:val="390B084A"/>
    <w:rsid w:val="390F04EB"/>
    <w:rsid w:val="391F4756"/>
    <w:rsid w:val="39202096"/>
    <w:rsid w:val="39236C23"/>
    <w:rsid w:val="39286F71"/>
    <w:rsid w:val="393C7FA7"/>
    <w:rsid w:val="393E0C6B"/>
    <w:rsid w:val="3942581C"/>
    <w:rsid w:val="394803E2"/>
    <w:rsid w:val="39564831"/>
    <w:rsid w:val="395E5205"/>
    <w:rsid w:val="39634D9B"/>
    <w:rsid w:val="39643FFB"/>
    <w:rsid w:val="396E2FC4"/>
    <w:rsid w:val="39754E22"/>
    <w:rsid w:val="39840FC7"/>
    <w:rsid w:val="398D3C38"/>
    <w:rsid w:val="39902C76"/>
    <w:rsid w:val="39916AF0"/>
    <w:rsid w:val="39940E11"/>
    <w:rsid w:val="399B1740"/>
    <w:rsid w:val="39A01298"/>
    <w:rsid w:val="39A460BE"/>
    <w:rsid w:val="39B07817"/>
    <w:rsid w:val="39CA2927"/>
    <w:rsid w:val="39CE4183"/>
    <w:rsid w:val="39D41706"/>
    <w:rsid w:val="39D959C1"/>
    <w:rsid w:val="39DC7087"/>
    <w:rsid w:val="39DF5AAD"/>
    <w:rsid w:val="39E10989"/>
    <w:rsid w:val="39E20391"/>
    <w:rsid w:val="39E55B53"/>
    <w:rsid w:val="39FA6668"/>
    <w:rsid w:val="39FE23D7"/>
    <w:rsid w:val="3A10210A"/>
    <w:rsid w:val="3A1137B9"/>
    <w:rsid w:val="3A173499"/>
    <w:rsid w:val="3A1B68E8"/>
    <w:rsid w:val="3A1F2C1F"/>
    <w:rsid w:val="3A212A38"/>
    <w:rsid w:val="3A221A8C"/>
    <w:rsid w:val="3A376F09"/>
    <w:rsid w:val="3A39186D"/>
    <w:rsid w:val="3A410516"/>
    <w:rsid w:val="3A494DDB"/>
    <w:rsid w:val="3A4D6EBA"/>
    <w:rsid w:val="3A5222C0"/>
    <w:rsid w:val="3A540C14"/>
    <w:rsid w:val="3A5E2566"/>
    <w:rsid w:val="3A671DF2"/>
    <w:rsid w:val="3A6A45E1"/>
    <w:rsid w:val="3A6A6601"/>
    <w:rsid w:val="3A6E22BA"/>
    <w:rsid w:val="3A7B193B"/>
    <w:rsid w:val="3A7E04AD"/>
    <w:rsid w:val="3A8957E5"/>
    <w:rsid w:val="3A98650C"/>
    <w:rsid w:val="3AA036DD"/>
    <w:rsid w:val="3AA510D7"/>
    <w:rsid w:val="3AA52853"/>
    <w:rsid w:val="3AB66996"/>
    <w:rsid w:val="3AB7613E"/>
    <w:rsid w:val="3AC151B3"/>
    <w:rsid w:val="3AC5185E"/>
    <w:rsid w:val="3AC6394A"/>
    <w:rsid w:val="3AD757D8"/>
    <w:rsid w:val="3ADA7245"/>
    <w:rsid w:val="3ADC48A4"/>
    <w:rsid w:val="3ADD4106"/>
    <w:rsid w:val="3AE72E6B"/>
    <w:rsid w:val="3AF856F4"/>
    <w:rsid w:val="3AF94EFA"/>
    <w:rsid w:val="3AFB0BB8"/>
    <w:rsid w:val="3AFB6916"/>
    <w:rsid w:val="3B274F4E"/>
    <w:rsid w:val="3B2836F7"/>
    <w:rsid w:val="3B321BB4"/>
    <w:rsid w:val="3B53711E"/>
    <w:rsid w:val="3B5E05B5"/>
    <w:rsid w:val="3B5F13A3"/>
    <w:rsid w:val="3B615F60"/>
    <w:rsid w:val="3B803E9F"/>
    <w:rsid w:val="3B8A1A7E"/>
    <w:rsid w:val="3B8F5F88"/>
    <w:rsid w:val="3BA44FD2"/>
    <w:rsid w:val="3BA50F6A"/>
    <w:rsid w:val="3BB87797"/>
    <w:rsid w:val="3BBE420D"/>
    <w:rsid w:val="3BC355EF"/>
    <w:rsid w:val="3BC54EBC"/>
    <w:rsid w:val="3BDB4042"/>
    <w:rsid w:val="3BDF6B03"/>
    <w:rsid w:val="3BE36892"/>
    <w:rsid w:val="3C013C18"/>
    <w:rsid w:val="3C02701B"/>
    <w:rsid w:val="3C072031"/>
    <w:rsid w:val="3C0A665B"/>
    <w:rsid w:val="3C117A74"/>
    <w:rsid w:val="3C1B66FB"/>
    <w:rsid w:val="3C261771"/>
    <w:rsid w:val="3C276A75"/>
    <w:rsid w:val="3C2A122F"/>
    <w:rsid w:val="3C331374"/>
    <w:rsid w:val="3C341E6D"/>
    <w:rsid w:val="3C350811"/>
    <w:rsid w:val="3C37497F"/>
    <w:rsid w:val="3C3C020C"/>
    <w:rsid w:val="3C3C5FDA"/>
    <w:rsid w:val="3C3F7138"/>
    <w:rsid w:val="3C40376A"/>
    <w:rsid w:val="3C4261CB"/>
    <w:rsid w:val="3C44399C"/>
    <w:rsid w:val="3C456F86"/>
    <w:rsid w:val="3C481D90"/>
    <w:rsid w:val="3C4F2807"/>
    <w:rsid w:val="3C5036CE"/>
    <w:rsid w:val="3C584B40"/>
    <w:rsid w:val="3C5B1E1F"/>
    <w:rsid w:val="3C5B3302"/>
    <w:rsid w:val="3C5B5EF1"/>
    <w:rsid w:val="3C6601EC"/>
    <w:rsid w:val="3C691CF2"/>
    <w:rsid w:val="3C693D69"/>
    <w:rsid w:val="3C6B7ACC"/>
    <w:rsid w:val="3C6C7F61"/>
    <w:rsid w:val="3C705DD4"/>
    <w:rsid w:val="3C713583"/>
    <w:rsid w:val="3C7B5CC9"/>
    <w:rsid w:val="3C7D12B7"/>
    <w:rsid w:val="3C827D4C"/>
    <w:rsid w:val="3C8B3CCA"/>
    <w:rsid w:val="3C8C5977"/>
    <w:rsid w:val="3C9005AF"/>
    <w:rsid w:val="3C913C39"/>
    <w:rsid w:val="3CA32DC2"/>
    <w:rsid w:val="3CAA23A2"/>
    <w:rsid w:val="3CAF3A1F"/>
    <w:rsid w:val="3CBC1920"/>
    <w:rsid w:val="3CC247B3"/>
    <w:rsid w:val="3CC7638F"/>
    <w:rsid w:val="3CCA0C6F"/>
    <w:rsid w:val="3CCA7887"/>
    <w:rsid w:val="3CCB1079"/>
    <w:rsid w:val="3CE04016"/>
    <w:rsid w:val="3CE04E26"/>
    <w:rsid w:val="3CE36D0B"/>
    <w:rsid w:val="3CEB2E52"/>
    <w:rsid w:val="3CF26926"/>
    <w:rsid w:val="3CF50BEE"/>
    <w:rsid w:val="3D105B06"/>
    <w:rsid w:val="3D151064"/>
    <w:rsid w:val="3D1A3A9D"/>
    <w:rsid w:val="3D2A00B5"/>
    <w:rsid w:val="3D33303C"/>
    <w:rsid w:val="3D346230"/>
    <w:rsid w:val="3D3F549B"/>
    <w:rsid w:val="3D42016A"/>
    <w:rsid w:val="3D4B5297"/>
    <w:rsid w:val="3D5733A7"/>
    <w:rsid w:val="3D59750C"/>
    <w:rsid w:val="3D656303"/>
    <w:rsid w:val="3D6778FC"/>
    <w:rsid w:val="3D797B7C"/>
    <w:rsid w:val="3D7B789B"/>
    <w:rsid w:val="3D80723D"/>
    <w:rsid w:val="3D8449A1"/>
    <w:rsid w:val="3D8A7657"/>
    <w:rsid w:val="3D9315AC"/>
    <w:rsid w:val="3D954B0C"/>
    <w:rsid w:val="3D9A0278"/>
    <w:rsid w:val="3D9C7770"/>
    <w:rsid w:val="3DA30EB4"/>
    <w:rsid w:val="3DA55583"/>
    <w:rsid w:val="3DAD209B"/>
    <w:rsid w:val="3DB5522E"/>
    <w:rsid w:val="3DC1244D"/>
    <w:rsid w:val="3DD2158F"/>
    <w:rsid w:val="3DEC453A"/>
    <w:rsid w:val="3DEE2762"/>
    <w:rsid w:val="3DEF2490"/>
    <w:rsid w:val="3DF4749C"/>
    <w:rsid w:val="3DFE255B"/>
    <w:rsid w:val="3E0025C1"/>
    <w:rsid w:val="3E0B6E71"/>
    <w:rsid w:val="3E0D4D59"/>
    <w:rsid w:val="3E131E5F"/>
    <w:rsid w:val="3E1A2A67"/>
    <w:rsid w:val="3E285C74"/>
    <w:rsid w:val="3E2C62E0"/>
    <w:rsid w:val="3E356663"/>
    <w:rsid w:val="3E374E7B"/>
    <w:rsid w:val="3E4668D1"/>
    <w:rsid w:val="3E536304"/>
    <w:rsid w:val="3E606D9B"/>
    <w:rsid w:val="3E6801E4"/>
    <w:rsid w:val="3E6C7B94"/>
    <w:rsid w:val="3E704B71"/>
    <w:rsid w:val="3E706473"/>
    <w:rsid w:val="3E7163AA"/>
    <w:rsid w:val="3E78400C"/>
    <w:rsid w:val="3E8679F3"/>
    <w:rsid w:val="3E893283"/>
    <w:rsid w:val="3E8A19A0"/>
    <w:rsid w:val="3E8D4267"/>
    <w:rsid w:val="3E9E5F37"/>
    <w:rsid w:val="3E9F35FB"/>
    <w:rsid w:val="3EB72B54"/>
    <w:rsid w:val="3EBB0897"/>
    <w:rsid w:val="3EBE098D"/>
    <w:rsid w:val="3EC0577F"/>
    <w:rsid w:val="3EC15EEF"/>
    <w:rsid w:val="3EC52B0E"/>
    <w:rsid w:val="3ECA49EF"/>
    <w:rsid w:val="3EDE6422"/>
    <w:rsid w:val="3EEE6364"/>
    <w:rsid w:val="3EF13154"/>
    <w:rsid w:val="3EF81E75"/>
    <w:rsid w:val="3EFC4D46"/>
    <w:rsid w:val="3EFC4F05"/>
    <w:rsid w:val="3F012A8A"/>
    <w:rsid w:val="3F1D3484"/>
    <w:rsid w:val="3F274026"/>
    <w:rsid w:val="3F2B7977"/>
    <w:rsid w:val="3F3501F2"/>
    <w:rsid w:val="3F3E355F"/>
    <w:rsid w:val="3F3E5881"/>
    <w:rsid w:val="3F443CAD"/>
    <w:rsid w:val="3F4E2026"/>
    <w:rsid w:val="3F527F80"/>
    <w:rsid w:val="3F576D32"/>
    <w:rsid w:val="3F695F33"/>
    <w:rsid w:val="3F7A3821"/>
    <w:rsid w:val="3F812560"/>
    <w:rsid w:val="3F8A03E9"/>
    <w:rsid w:val="3F8F65A3"/>
    <w:rsid w:val="3F922299"/>
    <w:rsid w:val="3F976AF4"/>
    <w:rsid w:val="3F9D12C9"/>
    <w:rsid w:val="3FAE1D1A"/>
    <w:rsid w:val="3FB4123F"/>
    <w:rsid w:val="3FBD04BE"/>
    <w:rsid w:val="3FC11176"/>
    <w:rsid w:val="3FC21321"/>
    <w:rsid w:val="3FC24332"/>
    <w:rsid w:val="3FD442B7"/>
    <w:rsid w:val="3FD55988"/>
    <w:rsid w:val="3FDB607F"/>
    <w:rsid w:val="3FE76E61"/>
    <w:rsid w:val="3FEA2C6C"/>
    <w:rsid w:val="3FEE2075"/>
    <w:rsid w:val="3FF62482"/>
    <w:rsid w:val="3FF641C4"/>
    <w:rsid w:val="3FF71FE3"/>
    <w:rsid w:val="3FF73B50"/>
    <w:rsid w:val="400745C8"/>
    <w:rsid w:val="40146254"/>
    <w:rsid w:val="40196E68"/>
    <w:rsid w:val="402132B0"/>
    <w:rsid w:val="402D2248"/>
    <w:rsid w:val="402E2195"/>
    <w:rsid w:val="40315503"/>
    <w:rsid w:val="4038733E"/>
    <w:rsid w:val="40490A4D"/>
    <w:rsid w:val="404A4866"/>
    <w:rsid w:val="40501DF6"/>
    <w:rsid w:val="4059774E"/>
    <w:rsid w:val="405F459F"/>
    <w:rsid w:val="406121DF"/>
    <w:rsid w:val="407A4929"/>
    <w:rsid w:val="407B7706"/>
    <w:rsid w:val="4085506A"/>
    <w:rsid w:val="40896772"/>
    <w:rsid w:val="409519F4"/>
    <w:rsid w:val="4099417E"/>
    <w:rsid w:val="409F00B7"/>
    <w:rsid w:val="409F2634"/>
    <w:rsid w:val="40A029F2"/>
    <w:rsid w:val="40A92EFF"/>
    <w:rsid w:val="40CD687E"/>
    <w:rsid w:val="40D74424"/>
    <w:rsid w:val="40D74D36"/>
    <w:rsid w:val="40E92A81"/>
    <w:rsid w:val="40EC27D7"/>
    <w:rsid w:val="40F94DDB"/>
    <w:rsid w:val="40FA0F56"/>
    <w:rsid w:val="40FD3303"/>
    <w:rsid w:val="410A3B53"/>
    <w:rsid w:val="410C100C"/>
    <w:rsid w:val="41161DE5"/>
    <w:rsid w:val="413B24C3"/>
    <w:rsid w:val="413E3E57"/>
    <w:rsid w:val="41415130"/>
    <w:rsid w:val="414C6B92"/>
    <w:rsid w:val="41522888"/>
    <w:rsid w:val="415E0E56"/>
    <w:rsid w:val="418008EA"/>
    <w:rsid w:val="41815A8A"/>
    <w:rsid w:val="418235ED"/>
    <w:rsid w:val="4188228F"/>
    <w:rsid w:val="418D753D"/>
    <w:rsid w:val="418F40C2"/>
    <w:rsid w:val="41911BBA"/>
    <w:rsid w:val="41A37780"/>
    <w:rsid w:val="41A75102"/>
    <w:rsid w:val="41AA69A0"/>
    <w:rsid w:val="41AC0338"/>
    <w:rsid w:val="41B2141F"/>
    <w:rsid w:val="41B410E0"/>
    <w:rsid w:val="41BA07A6"/>
    <w:rsid w:val="41BE725F"/>
    <w:rsid w:val="41C23983"/>
    <w:rsid w:val="41C9151C"/>
    <w:rsid w:val="41CC2AD3"/>
    <w:rsid w:val="41D87336"/>
    <w:rsid w:val="41DA5CD4"/>
    <w:rsid w:val="41DB356B"/>
    <w:rsid w:val="41E66793"/>
    <w:rsid w:val="41EE0C01"/>
    <w:rsid w:val="41EF6534"/>
    <w:rsid w:val="42087304"/>
    <w:rsid w:val="420903DC"/>
    <w:rsid w:val="420D3ED3"/>
    <w:rsid w:val="420D79AC"/>
    <w:rsid w:val="42164B6C"/>
    <w:rsid w:val="421B598B"/>
    <w:rsid w:val="421E09E8"/>
    <w:rsid w:val="422070BA"/>
    <w:rsid w:val="423654AA"/>
    <w:rsid w:val="42451E1E"/>
    <w:rsid w:val="424F6347"/>
    <w:rsid w:val="4252658C"/>
    <w:rsid w:val="425B380D"/>
    <w:rsid w:val="426F3B88"/>
    <w:rsid w:val="42771DCB"/>
    <w:rsid w:val="42773149"/>
    <w:rsid w:val="427A6AE1"/>
    <w:rsid w:val="427E5C95"/>
    <w:rsid w:val="428302BC"/>
    <w:rsid w:val="428864E3"/>
    <w:rsid w:val="428B4190"/>
    <w:rsid w:val="428F1263"/>
    <w:rsid w:val="429C26DF"/>
    <w:rsid w:val="429E522E"/>
    <w:rsid w:val="42A365CE"/>
    <w:rsid w:val="42AE24C0"/>
    <w:rsid w:val="42B0629C"/>
    <w:rsid w:val="42B6199F"/>
    <w:rsid w:val="42B73049"/>
    <w:rsid w:val="42B96B9E"/>
    <w:rsid w:val="42BA33D2"/>
    <w:rsid w:val="42BE5F67"/>
    <w:rsid w:val="42CE7FA4"/>
    <w:rsid w:val="42D842B8"/>
    <w:rsid w:val="42DF5FFD"/>
    <w:rsid w:val="42E00DB1"/>
    <w:rsid w:val="42EA71CC"/>
    <w:rsid w:val="42EE4ACA"/>
    <w:rsid w:val="42EF6C09"/>
    <w:rsid w:val="43092A49"/>
    <w:rsid w:val="430B16C1"/>
    <w:rsid w:val="432842DB"/>
    <w:rsid w:val="432A78DE"/>
    <w:rsid w:val="43303E58"/>
    <w:rsid w:val="433105D0"/>
    <w:rsid w:val="43326FC9"/>
    <w:rsid w:val="4336792A"/>
    <w:rsid w:val="4340116F"/>
    <w:rsid w:val="43414815"/>
    <w:rsid w:val="43484940"/>
    <w:rsid w:val="435645CA"/>
    <w:rsid w:val="43593652"/>
    <w:rsid w:val="435C20A1"/>
    <w:rsid w:val="435C32CD"/>
    <w:rsid w:val="43694DA3"/>
    <w:rsid w:val="436A6FC3"/>
    <w:rsid w:val="43755D7B"/>
    <w:rsid w:val="437A55ED"/>
    <w:rsid w:val="437E1A0F"/>
    <w:rsid w:val="43811C6D"/>
    <w:rsid w:val="4384396B"/>
    <w:rsid w:val="439776D4"/>
    <w:rsid w:val="439F61E6"/>
    <w:rsid w:val="43A601DC"/>
    <w:rsid w:val="43A6357C"/>
    <w:rsid w:val="43A63F5C"/>
    <w:rsid w:val="43D13158"/>
    <w:rsid w:val="43DF0FF5"/>
    <w:rsid w:val="43EF45A6"/>
    <w:rsid w:val="43F14635"/>
    <w:rsid w:val="43F252CB"/>
    <w:rsid w:val="43F403A7"/>
    <w:rsid w:val="43F641B2"/>
    <w:rsid w:val="44165967"/>
    <w:rsid w:val="44167C39"/>
    <w:rsid w:val="442A4ACB"/>
    <w:rsid w:val="442B3432"/>
    <w:rsid w:val="44341679"/>
    <w:rsid w:val="443469F5"/>
    <w:rsid w:val="44375106"/>
    <w:rsid w:val="443B646A"/>
    <w:rsid w:val="444C02D9"/>
    <w:rsid w:val="444F3386"/>
    <w:rsid w:val="44515B93"/>
    <w:rsid w:val="446660EA"/>
    <w:rsid w:val="446B4C2F"/>
    <w:rsid w:val="44840958"/>
    <w:rsid w:val="44843D36"/>
    <w:rsid w:val="44844807"/>
    <w:rsid w:val="448B7972"/>
    <w:rsid w:val="448E4451"/>
    <w:rsid w:val="44974D76"/>
    <w:rsid w:val="44980BB2"/>
    <w:rsid w:val="449B1C15"/>
    <w:rsid w:val="449B1E09"/>
    <w:rsid w:val="449F1C1A"/>
    <w:rsid w:val="44B253E8"/>
    <w:rsid w:val="44B85283"/>
    <w:rsid w:val="44B91756"/>
    <w:rsid w:val="44B93FF0"/>
    <w:rsid w:val="44C16CA9"/>
    <w:rsid w:val="44C76911"/>
    <w:rsid w:val="44CB7CED"/>
    <w:rsid w:val="44DD3458"/>
    <w:rsid w:val="44E0053D"/>
    <w:rsid w:val="44EB058F"/>
    <w:rsid w:val="44F04994"/>
    <w:rsid w:val="451264BF"/>
    <w:rsid w:val="451C6362"/>
    <w:rsid w:val="45203E33"/>
    <w:rsid w:val="45232EC1"/>
    <w:rsid w:val="45235A92"/>
    <w:rsid w:val="45267BDF"/>
    <w:rsid w:val="45293E3A"/>
    <w:rsid w:val="452947CB"/>
    <w:rsid w:val="45321083"/>
    <w:rsid w:val="453855A8"/>
    <w:rsid w:val="45410E41"/>
    <w:rsid w:val="45450480"/>
    <w:rsid w:val="454D2739"/>
    <w:rsid w:val="45606086"/>
    <w:rsid w:val="45633716"/>
    <w:rsid w:val="456D3B81"/>
    <w:rsid w:val="45713619"/>
    <w:rsid w:val="4575533A"/>
    <w:rsid w:val="457C2402"/>
    <w:rsid w:val="459050D4"/>
    <w:rsid w:val="45A858ED"/>
    <w:rsid w:val="45B71582"/>
    <w:rsid w:val="45C92AF9"/>
    <w:rsid w:val="45D122F7"/>
    <w:rsid w:val="45DF4868"/>
    <w:rsid w:val="45E90212"/>
    <w:rsid w:val="46055385"/>
    <w:rsid w:val="460A1A5B"/>
    <w:rsid w:val="461508D0"/>
    <w:rsid w:val="46175DCC"/>
    <w:rsid w:val="461A0EF6"/>
    <w:rsid w:val="461A5196"/>
    <w:rsid w:val="461D2A13"/>
    <w:rsid w:val="462907DC"/>
    <w:rsid w:val="462976F5"/>
    <w:rsid w:val="46412B93"/>
    <w:rsid w:val="46425E24"/>
    <w:rsid w:val="4646746E"/>
    <w:rsid w:val="464A415B"/>
    <w:rsid w:val="464C70F8"/>
    <w:rsid w:val="464D5801"/>
    <w:rsid w:val="466849A1"/>
    <w:rsid w:val="466A5972"/>
    <w:rsid w:val="466E6E96"/>
    <w:rsid w:val="4670640B"/>
    <w:rsid w:val="467E6D51"/>
    <w:rsid w:val="46845473"/>
    <w:rsid w:val="4688209B"/>
    <w:rsid w:val="46894F20"/>
    <w:rsid w:val="468F17E3"/>
    <w:rsid w:val="46932911"/>
    <w:rsid w:val="469345CE"/>
    <w:rsid w:val="469519CD"/>
    <w:rsid w:val="46A174E4"/>
    <w:rsid w:val="46AF08CC"/>
    <w:rsid w:val="46B12F9B"/>
    <w:rsid w:val="46BB0C05"/>
    <w:rsid w:val="46BB772D"/>
    <w:rsid w:val="46C40504"/>
    <w:rsid w:val="46D94DAD"/>
    <w:rsid w:val="46DD26B1"/>
    <w:rsid w:val="46E81166"/>
    <w:rsid w:val="46E9122C"/>
    <w:rsid w:val="46EE4C22"/>
    <w:rsid w:val="46F07114"/>
    <w:rsid w:val="46F95BB0"/>
    <w:rsid w:val="47080135"/>
    <w:rsid w:val="47085B5F"/>
    <w:rsid w:val="47090AC3"/>
    <w:rsid w:val="470E6B58"/>
    <w:rsid w:val="47120CDC"/>
    <w:rsid w:val="471D2778"/>
    <w:rsid w:val="472114B3"/>
    <w:rsid w:val="472540D1"/>
    <w:rsid w:val="472A1CF6"/>
    <w:rsid w:val="47486CB4"/>
    <w:rsid w:val="474C46B8"/>
    <w:rsid w:val="475F6CDE"/>
    <w:rsid w:val="476870E2"/>
    <w:rsid w:val="47731FAC"/>
    <w:rsid w:val="478F3FCD"/>
    <w:rsid w:val="4795397A"/>
    <w:rsid w:val="47A46A2B"/>
    <w:rsid w:val="47CA48BE"/>
    <w:rsid w:val="47D01E78"/>
    <w:rsid w:val="47DD009E"/>
    <w:rsid w:val="47E92B45"/>
    <w:rsid w:val="47EA03B1"/>
    <w:rsid w:val="47ED5865"/>
    <w:rsid w:val="47EF72F5"/>
    <w:rsid w:val="47F73DD2"/>
    <w:rsid w:val="47FF2FC0"/>
    <w:rsid w:val="48036E0A"/>
    <w:rsid w:val="48084EB1"/>
    <w:rsid w:val="481772BC"/>
    <w:rsid w:val="481E21BE"/>
    <w:rsid w:val="482257EC"/>
    <w:rsid w:val="482F5DC6"/>
    <w:rsid w:val="482F7BFF"/>
    <w:rsid w:val="4834605B"/>
    <w:rsid w:val="484D0B72"/>
    <w:rsid w:val="484E4529"/>
    <w:rsid w:val="48582728"/>
    <w:rsid w:val="485C5ADD"/>
    <w:rsid w:val="486906F0"/>
    <w:rsid w:val="488C519E"/>
    <w:rsid w:val="48914047"/>
    <w:rsid w:val="48942AD3"/>
    <w:rsid w:val="48AA6EBE"/>
    <w:rsid w:val="48AC33AA"/>
    <w:rsid w:val="48AD79E8"/>
    <w:rsid w:val="48CC6A09"/>
    <w:rsid w:val="48D55A8B"/>
    <w:rsid w:val="48D57CBB"/>
    <w:rsid w:val="48F43B85"/>
    <w:rsid w:val="48F75676"/>
    <w:rsid w:val="48FB26C0"/>
    <w:rsid w:val="48FD11CE"/>
    <w:rsid w:val="48FD4286"/>
    <w:rsid w:val="49061130"/>
    <w:rsid w:val="4908586F"/>
    <w:rsid w:val="491017DF"/>
    <w:rsid w:val="4917126A"/>
    <w:rsid w:val="49202D1C"/>
    <w:rsid w:val="49267CBF"/>
    <w:rsid w:val="49290739"/>
    <w:rsid w:val="492E634C"/>
    <w:rsid w:val="49416FAD"/>
    <w:rsid w:val="494B4A90"/>
    <w:rsid w:val="494B6C13"/>
    <w:rsid w:val="49596704"/>
    <w:rsid w:val="495A6762"/>
    <w:rsid w:val="495A683D"/>
    <w:rsid w:val="495E0722"/>
    <w:rsid w:val="49630FF2"/>
    <w:rsid w:val="49651547"/>
    <w:rsid w:val="4966219E"/>
    <w:rsid w:val="4968786D"/>
    <w:rsid w:val="497370DC"/>
    <w:rsid w:val="497A1A04"/>
    <w:rsid w:val="497D0540"/>
    <w:rsid w:val="497E1502"/>
    <w:rsid w:val="497F4802"/>
    <w:rsid w:val="49831FB1"/>
    <w:rsid w:val="49843F7B"/>
    <w:rsid w:val="498D72D3"/>
    <w:rsid w:val="49936196"/>
    <w:rsid w:val="49A24FBC"/>
    <w:rsid w:val="49B20AE8"/>
    <w:rsid w:val="49B5161F"/>
    <w:rsid w:val="49BC0C66"/>
    <w:rsid w:val="49C32CF5"/>
    <w:rsid w:val="49CC2000"/>
    <w:rsid w:val="49CC622B"/>
    <w:rsid w:val="49D87DE7"/>
    <w:rsid w:val="49DD6553"/>
    <w:rsid w:val="49E464F2"/>
    <w:rsid w:val="49ED4347"/>
    <w:rsid w:val="49EE0ABB"/>
    <w:rsid w:val="49F3500B"/>
    <w:rsid w:val="49F40D42"/>
    <w:rsid w:val="49F462B8"/>
    <w:rsid w:val="49F66ADA"/>
    <w:rsid w:val="49F85AF6"/>
    <w:rsid w:val="4A01294F"/>
    <w:rsid w:val="4A044A63"/>
    <w:rsid w:val="4A064990"/>
    <w:rsid w:val="4A0954C5"/>
    <w:rsid w:val="4A1239E3"/>
    <w:rsid w:val="4A132CCB"/>
    <w:rsid w:val="4A1509F8"/>
    <w:rsid w:val="4A2347C7"/>
    <w:rsid w:val="4A2875F0"/>
    <w:rsid w:val="4A311065"/>
    <w:rsid w:val="4A313D76"/>
    <w:rsid w:val="4A31769B"/>
    <w:rsid w:val="4A3638DB"/>
    <w:rsid w:val="4A4B5F0B"/>
    <w:rsid w:val="4A571E0A"/>
    <w:rsid w:val="4A5C3834"/>
    <w:rsid w:val="4A5D655A"/>
    <w:rsid w:val="4A6873F9"/>
    <w:rsid w:val="4A7B0D39"/>
    <w:rsid w:val="4A911B41"/>
    <w:rsid w:val="4A9E65FC"/>
    <w:rsid w:val="4A9E7FA2"/>
    <w:rsid w:val="4A9F5C76"/>
    <w:rsid w:val="4AA5422C"/>
    <w:rsid w:val="4AB443E7"/>
    <w:rsid w:val="4AC22FAD"/>
    <w:rsid w:val="4AC277AC"/>
    <w:rsid w:val="4AC3700E"/>
    <w:rsid w:val="4AC67473"/>
    <w:rsid w:val="4AD519F8"/>
    <w:rsid w:val="4AE1516E"/>
    <w:rsid w:val="4AEF31CD"/>
    <w:rsid w:val="4AF57367"/>
    <w:rsid w:val="4AFC31B1"/>
    <w:rsid w:val="4AFD1366"/>
    <w:rsid w:val="4AFE68F0"/>
    <w:rsid w:val="4B031698"/>
    <w:rsid w:val="4B08477A"/>
    <w:rsid w:val="4B15132F"/>
    <w:rsid w:val="4B1B446B"/>
    <w:rsid w:val="4B1C58A2"/>
    <w:rsid w:val="4B1F1297"/>
    <w:rsid w:val="4B2F29EE"/>
    <w:rsid w:val="4B386DCB"/>
    <w:rsid w:val="4B397B99"/>
    <w:rsid w:val="4B3D30E4"/>
    <w:rsid w:val="4B406D17"/>
    <w:rsid w:val="4B4C0AC8"/>
    <w:rsid w:val="4B4E33F9"/>
    <w:rsid w:val="4B4F39D9"/>
    <w:rsid w:val="4B561D7D"/>
    <w:rsid w:val="4B6116CC"/>
    <w:rsid w:val="4B65394D"/>
    <w:rsid w:val="4B6E56B4"/>
    <w:rsid w:val="4B7D71DF"/>
    <w:rsid w:val="4B834E9F"/>
    <w:rsid w:val="4B956A9B"/>
    <w:rsid w:val="4B995B21"/>
    <w:rsid w:val="4B9E44C5"/>
    <w:rsid w:val="4BB317B3"/>
    <w:rsid w:val="4BB56326"/>
    <w:rsid w:val="4BB77BC0"/>
    <w:rsid w:val="4BC4701F"/>
    <w:rsid w:val="4BCB5E91"/>
    <w:rsid w:val="4BDE02E1"/>
    <w:rsid w:val="4BEB7E9C"/>
    <w:rsid w:val="4BF65DD1"/>
    <w:rsid w:val="4BF835B5"/>
    <w:rsid w:val="4BFF1072"/>
    <w:rsid w:val="4C0A6342"/>
    <w:rsid w:val="4C0E37EA"/>
    <w:rsid w:val="4C124D74"/>
    <w:rsid w:val="4C125927"/>
    <w:rsid w:val="4C285E4C"/>
    <w:rsid w:val="4C2C29A9"/>
    <w:rsid w:val="4C4232DB"/>
    <w:rsid w:val="4C4E5041"/>
    <w:rsid w:val="4C57043D"/>
    <w:rsid w:val="4C5E739F"/>
    <w:rsid w:val="4C6914B3"/>
    <w:rsid w:val="4C6A38FC"/>
    <w:rsid w:val="4C6D727B"/>
    <w:rsid w:val="4C7C6B6F"/>
    <w:rsid w:val="4C7E148B"/>
    <w:rsid w:val="4C7F0AFE"/>
    <w:rsid w:val="4C845250"/>
    <w:rsid w:val="4C8F1862"/>
    <w:rsid w:val="4CA50490"/>
    <w:rsid w:val="4CA70EFA"/>
    <w:rsid w:val="4CB76F46"/>
    <w:rsid w:val="4CBD1DD3"/>
    <w:rsid w:val="4CC36B68"/>
    <w:rsid w:val="4CC84470"/>
    <w:rsid w:val="4CCC7B18"/>
    <w:rsid w:val="4CD43AE5"/>
    <w:rsid w:val="4CD61793"/>
    <w:rsid w:val="4CDE12C3"/>
    <w:rsid w:val="4CDE19E0"/>
    <w:rsid w:val="4CEA6032"/>
    <w:rsid w:val="4D0737D2"/>
    <w:rsid w:val="4D075C93"/>
    <w:rsid w:val="4D0E0101"/>
    <w:rsid w:val="4D0E11E9"/>
    <w:rsid w:val="4D1151A5"/>
    <w:rsid w:val="4D133459"/>
    <w:rsid w:val="4D14153B"/>
    <w:rsid w:val="4D2E321B"/>
    <w:rsid w:val="4D31509E"/>
    <w:rsid w:val="4D377742"/>
    <w:rsid w:val="4D3D383E"/>
    <w:rsid w:val="4D42778C"/>
    <w:rsid w:val="4D46516E"/>
    <w:rsid w:val="4D493467"/>
    <w:rsid w:val="4D4A2A90"/>
    <w:rsid w:val="4D533AE7"/>
    <w:rsid w:val="4D5B716F"/>
    <w:rsid w:val="4D613BE0"/>
    <w:rsid w:val="4D615E94"/>
    <w:rsid w:val="4D6420F9"/>
    <w:rsid w:val="4D657EA8"/>
    <w:rsid w:val="4D6761CB"/>
    <w:rsid w:val="4D7238A0"/>
    <w:rsid w:val="4D7C686E"/>
    <w:rsid w:val="4D8068E7"/>
    <w:rsid w:val="4D864422"/>
    <w:rsid w:val="4D893963"/>
    <w:rsid w:val="4D907392"/>
    <w:rsid w:val="4D947EF8"/>
    <w:rsid w:val="4D9A0BDC"/>
    <w:rsid w:val="4D9C31CA"/>
    <w:rsid w:val="4DA47C29"/>
    <w:rsid w:val="4DA86482"/>
    <w:rsid w:val="4DAF0A37"/>
    <w:rsid w:val="4DAF3AF6"/>
    <w:rsid w:val="4DAF745E"/>
    <w:rsid w:val="4DB707C8"/>
    <w:rsid w:val="4DC95567"/>
    <w:rsid w:val="4DCE39AF"/>
    <w:rsid w:val="4DCF289E"/>
    <w:rsid w:val="4DD630ED"/>
    <w:rsid w:val="4DEC69EA"/>
    <w:rsid w:val="4DF05031"/>
    <w:rsid w:val="4DF572C0"/>
    <w:rsid w:val="4DFC07CB"/>
    <w:rsid w:val="4E002015"/>
    <w:rsid w:val="4E037B64"/>
    <w:rsid w:val="4E0C67C3"/>
    <w:rsid w:val="4E132B8F"/>
    <w:rsid w:val="4E137DBE"/>
    <w:rsid w:val="4E28658D"/>
    <w:rsid w:val="4E2B4904"/>
    <w:rsid w:val="4E310776"/>
    <w:rsid w:val="4E312787"/>
    <w:rsid w:val="4E3217E5"/>
    <w:rsid w:val="4E3730C8"/>
    <w:rsid w:val="4E376597"/>
    <w:rsid w:val="4E3C3076"/>
    <w:rsid w:val="4E3C459E"/>
    <w:rsid w:val="4E3E294A"/>
    <w:rsid w:val="4E436946"/>
    <w:rsid w:val="4E443716"/>
    <w:rsid w:val="4E4E519D"/>
    <w:rsid w:val="4E50633A"/>
    <w:rsid w:val="4E541E88"/>
    <w:rsid w:val="4E5A441A"/>
    <w:rsid w:val="4E656129"/>
    <w:rsid w:val="4E6D33B1"/>
    <w:rsid w:val="4E7E3C61"/>
    <w:rsid w:val="4E82597D"/>
    <w:rsid w:val="4E8F60E8"/>
    <w:rsid w:val="4E9F13AD"/>
    <w:rsid w:val="4EA01594"/>
    <w:rsid w:val="4EA04FDF"/>
    <w:rsid w:val="4EA1066C"/>
    <w:rsid w:val="4EA2737D"/>
    <w:rsid w:val="4EA31857"/>
    <w:rsid w:val="4EB84EC8"/>
    <w:rsid w:val="4EB92BAF"/>
    <w:rsid w:val="4EBF7D14"/>
    <w:rsid w:val="4EC540BA"/>
    <w:rsid w:val="4EC62359"/>
    <w:rsid w:val="4EC633F6"/>
    <w:rsid w:val="4EC853B5"/>
    <w:rsid w:val="4ECE0172"/>
    <w:rsid w:val="4ECE6429"/>
    <w:rsid w:val="4ECE67F9"/>
    <w:rsid w:val="4EDC13AF"/>
    <w:rsid w:val="4EDE3C15"/>
    <w:rsid w:val="4EDE793C"/>
    <w:rsid w:val="4EE23451"/>
    <w:rsid w:val="4EE32113"/>
    <w:rsid w:val="4EE32724"/>
    <w:rsid w:val="4EE64A74"/>
    <w:rsid w:val="4EEB2D38"/>
    <w:rsid w:val="4EF30670"/>
    <w:rsid w:val="4EF66C51"/>
    <w:rsid w:val="4EF94AC3"/>
    <w:rsid w:val="4EFB083B"/>
    <w:rsid w:val="4EFB7AF7"/>
    <w:rsid w:val="4EFE13F1"/>
    <w:rsid w:val="4F0976F6"/>
    <w:rsid w:val="4F0D2B0A"/>
    <w:rsid w:val="4F10342B"/>
    <w:rsid w:val="4F104C9E"/>
    <w:rsid w:val="4F106C1F"/>
    <w:rsid w:val="4F2D0C7B"/>
    <w:rsid w:val="4F3862AD"/>
    <w:rsid w:val="4F417907"/>
    <w:rsid w:val="4F44008C"/>
    <w:rsid w:val="4F504DE9"/>
    <w:rsid w:val="4F513C47"/>
    <w:rsid w:val="4F545A5D"/>
    <w:rsid w:val="4F5B1872"/>
    <w:rsid w:val="4F671A4F"/>
    <w:rsid w:val="4F7039C5"/>
    <w:rsid w:val="4F7513E5"/>
    <w:rsid w:val="4F7933B3"/>
    <w:rsid w:val="4F8A0116"/>
    <w:rsid w:val="4F936743"/>
    <w:rsid w:val="4F96674D"/>
    <w:rsid w:val="4FA13668"/>
    <w:rsid w:val="4FA90A4D"/>
    <w:rsid w:val="4FBC53FA"/>
    <w:rsid w:val="4FBD62B0"/>
    <w:rsid w:val="4FCF0774"/>
    <w:rsid w:val="4FD56485"/>
    <w:rsid w:val="4FD657E9"/>
    <w:rsid w:val="4FD9E574"/>
    <w:rsid w:val="4FDC70C5"/>
    <w:rsid w:val="4FDD60D9"/>
    <w:rsid w:val="4FE50355"/>
    <w:rsid w:val="4FEE0C0B"/>
    <w:rsid w:val="4FF53B2A"/>
    <w:rsid w:val="4FFD021E"/>
    <w:rsid w:val="4FFE377A"/>
    <w:rsid w:val="5001582D"/>
    <w:rsid w:val="50064C02"/>
    <w:rsid w:val="500E158E"/>
    <w:rsid w:val="501F6CE9"/>
    <w:rsid w:val="502617E8"/>
    <w:rsid w:val="50285D0A"/>
    <w:rsid w:val="502F1821"/>
    <w:rsid w:val="503C269F"/>
    <w:rsid w:val="503F0658"/>
    <w:rsid w:val="504A4CD4"/>
    <w:rsid w:val="504C2670"/>
    <w:rsid w:val="504C784F"/>
    <w:rsid w:val="505B05DA"/>
    <w:rsid w:val="50717BB5"/>
    <w:rsid w:val="50792F00"/>
    <w:rsid w:val="5088525D"/>
    <w:rsid w:val="5092459F"/>
    <w:rsid w:val="50A716B1"/>
    <w:rsid w:val="50B5195A"/>
    <w:rsid w:val="50B82D80"/>
    <w:rsid w:val="50B863D3"/>
    <w:rsid w:val="50BE0265"/>
    <w:rsid w:val="50BF780C"/>
    <w:rsid w:val="50C04FF1"/>
    <w:rsid w:val="50CF3D2E"/>
    <w:rsid w:val="50D45DF0"/>
    <w:rsid w:val="50D547D5"/>
    <w:rsid w:val="50F14839"/>
    <w:rsid w:val="50F16BA9"/>
    <w:rsid w:val="50F17593"/>
    <w:rsid w:val="50F90CE6"/>
    <w:rsid w:val="51046380"/>
    <w:rsid w:val="51072AF5"/>
    <w:rsid w:val="51082D63"/>
    <w:rsid w:val="510E413E"/>
    <w:rsid w:val="511A2884"/>
    <w:rsid w:val="511C2DB0"/>
    <w:rsid w:val="5125777A"/>
    <w:rsid w:val="512904A7"/>
    <w:rsid w:val="512A5AF6"/>
    <w:rsid w:val="512C73D1"/>
    <w:rsid w:val="513F4BC7"/>
    <w:rsid w:val="516B0F6F"/>
    <w:rsid w:val="516D160A"/>
    <w:rsid w:val="51785955"/>
    <w:rsid w:val="51814634"/>
    <w:rsid w:val="51875457"/>
    <w:rsid w:val="51877C67"/>
    <w:rsid w:val="5195630B"/>
    <w:rsid w:val="519C7278"/>
    <w:rsid w:val="51B03B5F"/>
    <w:rsid w:val="51B15B7D"/>
    <w:rsid w:val="51B32158"/>
    <w:rsid w:val="51B6560A"/>
    <w:rsid w:val="51BD27F3"/>
    <w:rsid w:val="51C15189"/>
    <w:rsid w:val="51C63D98"/>
    <w:rsid w:val="51C80EF5"/>
    <w:rsid w:val="51D11D27"/>
    <w:rsid w:val="51D32C9A"/>
    <w:rsid w:val="51D56FEF"/>
    <w:rsid w:val="51E15B4B"/>
    <w:rsid w:val="51E611C2"/>
    <w:rsid w:val="51EE08B1"/>
    <w:rsid w:val="51EF279F"/>
    <w:rsid w:val="51FB2496"/>
    <w:rsid w:val="51FC58FE"/>
    <w:rsid w:val="51FD2FF7"/>
    <w:rsid w:val="520619D1"/>
    <w:rsid w:val="520B44AD"/>
    <w:rsid w:val="520C7E9B"/>
    <w:rsid w:val="520D7F76"/>
    <w:rsid w:val="520F7F10"/>
    <w:rsid w:val="52112198"/>
    <w:rsid w:val="52140A2F"/>
    <w:rsid w:val="52163F05"/>
    <w:rsid w:val="521E26D7"/>
    <w:rsid w:val="52224F02"/>
    <w:rsid w:val="523023DC"/>
    <w:rsid w:val="52336506"/>
    <w:rsid w:val="52352ED8"/>
    <w:rsid w:val="523D0C8A"/>
    <w:rsid w:val="523F01AC"/>
    <w:rsid w:val="524052AA"/>
    <w:rsid w:val="52483679"/>
    <w:rsid w:val="524D667B"/>
    <w:rsid w:val="5253273C"/>
    <w:rsid w:val="52592449"/>
    <w:rsid w:val="525C5866"/>
    <w:rsid w:val="52632790"/>
    <w:rsid w:val="52783526"/>
    <w:rsid w:val="5279570C"/>
    <w:rsid w:val="52802336"/>
    <w:rsid w:val="52836CB4"/>
    <w:rsid w:val="52852059"/>
    <w:rsid w:val="528720B0"/>
    <w:rsid w:val="52875AAB"/>
    <w:rsid w:val="528A25AA"/>
    <w:rsid w:val="528C6509"/>
    <w:rsid w:val="52987F44"/>
    <w:rsid w:val="529974E2"/>
    <w:rsid w:val="529D6898"/>
    <w:rsid w:val="529E3869"/>
    <w:rsid w:val="52A8752F"/>
    <w:rsid w:val="52B275F3"/>
    <w:rsid w:val="52B34596"/>
    <w:rsid w:val="52C660E4"/>
    <w:rsid w:val="52CD0328"/>
    <w:rsid w:val="52CD6993"/>
    <w:rsid w:val="52CE344A"/>
    <w:rsid w:val="52CF14A7"/>
    <w:rsid w:val="52DB3DB2"/>
    <w:rsid w:val="52E61D37"/>
    <w:rsid w:val="53027F03"/>
    <w:rsid w:val="531454AA"/>
    <w:rsid w:val="532517C4"/>
    <w:rsid w:val="53260066"/>
    <w:rsid w:val="53261175"/>
    <w:rsid w:val="5327355F"/>
    <w:rsid w:val="532950DD"/>
    <w:rsid w:val="532A577E"/>
    <w:rsid w:val="533B38FC"/>
    <w:rsid w:val="53472EF8"/>
    <w:rsid w:val="534E25FD"/>
    <w:rsid w:val="534E4F4C"/>
    <w:rsid w:val="53501A62"/>
    <w:rsid w:val="53593625"/>
    <w:rsid w:val="535D3AEA"/>
    <w:rsid w:val="536B2E30"/>
    <w:rsid w:val="536D3B65"/>
    <w:rsid w:val="536F35A6"/>
    <w:rsid w:val="53727E93"/>
    <w:rsid w:val="537D357C"/>
    <w:rsid w:val="53834143"/>
    <w:rsid w:val="53862CA7"/>
    <w:rsid w:val="53876B42"/>
    <w:rsid w:val="53983BB7"/>
    <w:rsid w:val="539976AA"/>
    <w:rsid w:val="53A12167"/>
    <w:rsid w:val="53A12EAA"/>
    <w:rsid w:val="53B2555E"/>
    <w:rsid w:val="53BC2C8F"/>
    <w:rsid w:val="53C21688"/>
    <w:rsid w:val="53CA2913"/>
    <w:rsid w:val="53D06701"/>
    <w:rsid w:val="53D70378"/>
    <w:rsid w:val="53E4700B"/>
    <w:rsid w:val="53E47AF0"/>
    <w:rsid w:val="53E5138B"/>
    <w:rsid w:val="53F12868"/>
    <w:rsid w:val="53F22302"/>
    <w:rsid w:val="53F341D7"/>
    <w:rsid w:val="53F438E8"/>
    <w:rsid w:val="53F730E5"/>
    <w:rsid w:val="540F2871"/>
    <w:rsid w:val="541A7C28"/>
    <w:rsid w:val="541E4272"/>
    <w:rsid w:val="54203C5D"/>
    <w:rsid w:val="54222253"/>
    <w:rsid w:val="54241D02"/>
    <w:rsid w:val="542543B4"/>
    <w:rsid w:val="5450705D"/>
    <w:rsid w:val="54590C9D"/>
    <w:rsid w:val="545C2CA3"/>
    <w:rsid w:val="546926EB"/>
    <w:rsid w:val="54710850"/>
    <w:rsid w:val="54752C11"/>
    <w:rsid w:val="547C72D9"/>
    <w:rsid w:val="547F05B2"/>
    <w:rsid w:val="54863133"/>
    <w:rsid w:val="549632A6"/>
    <w:rsid w:val="549900F3"/>
    <w:rsid w:val="549E4400"/>
    <w:rsid w:val="54A13488"/>
    <w:rsid w:val="54A576B4"/>
    <w:rsid w:val="54AC0F5F"/>
    <w:rsid w:val="54C341E7"/>
    <w:rsid w:val="54C6778A"/>
    <w:rsid w:val="54D61001"/>
    <w:rsid w:val="54E43EF3"/>
    <w:rsid w:val="54E6589F"/>
    <w:rsid w:val="54ED1C81"/>
    <w:rsid w:val="54F11786"/>
    <w:rsid w:val="54FA460D"/>
    <w:rsid w:val="54FA4BAF"/>
    <w:rsid w:val="55182941"/>
    <w:rsid w:val="551A3CA4"/>
    <w:rsid w:val="55216B22"/>
    <w:rsid w:val="552403B4"/>
    <w:rsid w:val="553665AF"/>
    <w:rsid w:val="55372352"/>
    <w:rsid w:val="55415E75"/>
    <w:rsid w:val="55442ECC"/>
    <w:rsid w:val="5545096C"/>
    <w:rsid w:val="554A249C"/>
    <w:rsid w:val="554C1516"/>
    <w:rsid w:val="5550110B"/>
    <w:rsid w:val="555812A4"/>
    <w:rsid w:val="55667986"/>
    <w:rsid w:val="55671131"/>
    <w:rsid w:val="55686538"/>
    <w:rsid w:val="556C2493"/>
    <w:rsid w:val="556F67B0"/>
    <w:rsid w:val="55944A4D"/>
    <w:rsid w:val="55A04F79"/>
    <w:rsid w:val="55A25EB5"/>
    <w:rsid w:val="55AC7BBD"/>
    <w:rsid w:val="55AD5A26"/>
    <w:rsid w:val="55B00C6D"/>
    <w:rsid w:val="55BD0ED3"/>
    <w:rsid w:val="55C87347"/>
    <w:rsid w:val="55CE4C5A"/>
    <w:rsid w:val="55CF7C7E"/>
    <w:rsid w:val="55D70D0F"/>
    <w:rsid w:val="55DC16AB"/>
    <w:rsid w:val="55DC4FC1"/>
    <w:rsid w:val="55E87CA7"/>
    <w:rsid w:val="55F06B02"/>
    <w:rsid w:val="55F1022A"/>
    <w:rsid w:val="55F1661A"/>
    <w:rsid w:val="55F535A2"/>
    <w:rsid w:val="55F73C2C"/>
    <w:rsid w:val="55FD6D0F"/>
    <w:rsid w:val="560D11D7"/>
    <w:rsid w:val="560E119A"/>
    <w:rsid w:val="561A1DBD"/>
    <w:rsid w:val="56290D0E"/>
    <w:rsid w:val="5629637C"/>
    <w:rsid w:val="56297121"/>
    <w:rsid w:val="563D0C70"/>
    <w:rsid w:val="56471F62"/>
    <w:rsid w:val="56474B7C"/>
    <w:rsid w:val="564A2986"/>
    <w:rsid w:val="564F31A3"/>
    <w:rsid w:val="5651371E"/>
    <w:rsid w:val="56576811"/>
    <w:rsid w:val="56584572"/>
    <w:rsid w:val="56605E37"/>
    <w:rsid w:val="5664033F"/>
    <w:rsid w:val="56640C1A"/>
    <w:rsid w:val="567348DE"/>
    <w:rsid w:val="56804719"/>
    <w:rsid w:val="56815ACA"/>
    <w:rsid w:val="56935B78"/>
    <w:rsid w:val="569A430A"/>
    <w:rsid w:val="56A33C92"/>
    <w:rsid w:val="56AA4274"/>
    <w:rsid w:val="56BD3365"/>
    <w:rsid w:val="56BE22BA"/>
    <w:rsid w:val="56C80169"/>
    <w:rsid w:val="56CD6F61"/>
    <w:rsid w:val="56D3714A"/>
    <w:rsid w:val="56DE6E10"/>
    <w:rsid w:val="56DF2BD0"/>
    <w:rsid w:val="56E2474B"/>
    <w:rsid w:val="56EE13DA"/>
    <w:rsid w:val="56F30EB4"/>
    <w:rsid w:val="56FA15A9"/>
    <w:rsid w:val="56FB4C3C"/>
    <w:rsid w:val="56FD2E0F"/>
    <w:rsid w:val="57062473"/>
    <w:rsid w:val="570777E1"/>
    <w:rsid w:val="57103816"/>
    <w:rsid w:val="572E48C1"/>
    <w:rsid w:val="572F211D"/>
    <w:rsid w:val="57323A70"/>
    <w:rsid w:val="57340768"/>
    <w:rsid w:val="57393687"/>
    <w:rsid w:val="573945F7"/>
    <w:rsid w:val="57396483"/>
    <w:rsid w:val="573E7C5A"/>
    <w:rsid w:val="574865E8"/>
    <w:rsid w:val="574D7CBE"/>
    <w:rsid w:val="5757315A"/>
    <w:rsid w:val="5757690C"/>
    <w:rsid w:val="575C4C99"/>
    <w:rsid w:val="57681298"/>
    <w:rsid w:val="577054DB"/>
    <w:rsid w:val="57731325"/>
    <w:rsid w:val="577C3E9C"/>
    <w:rsid w:val="577D4F75"/>
    <w:rsid w:val="578C0BCA"/>
    <w:rsid w:val="57913B24"/>
    <w:rsid w:val="579E7B7C"/>
    <w:rsid w:val="57A17B6E"/>
    <w:rsid w:val="57A47541"/>
    <w:rsid w:val="57A708EF"/>
    <w:rsid w:val="57B37623"/>
    <w:rsid w:val="57BE4623"/>
    <w:rsid w:val="57C03029"/>
    <w:rsid w:val="57C71CB3"/>
    <w:rsid w:val="57CA16F3"/>
    <w:rsid w:val="57CD0ED1"/>
    <w:rsid w:val="57CF5EF2"/>
    <w:rsid w:val="57DA7A76"/>
    <w:rsid w:val="57EB4D9C"/>
    <w:rsid w:val="57F00529"/>
    <w:rsid w:val="57F14ED1"/>
    <w:rsid w:val="57F624E8"/>
    <w:rsid w:val="58022C3B"/>
    <w:rsid w:val="580C10BB"/>
    <w:rsid w:val="58111A45"/>
    <w:rsid w:val="58116042"/>
    <w:rsid w:val="581450C2"/>
    <w:rsid w:val="581A396B"/>
    <w:rsid w:val="581C3185"/>
    <w:rsid w:val="581D0164"/>
    <w:rsid w:val="581D403C"/>
    <w:rsid w:val="581E27FC"/>
    <w:rsid w:val="581F71F8"/>
    <w:rsid w:val="58262DCD"/>
    <w:rsid w:val="5829466B"/>
    <w:rsid w:val="584170F0"/>
    <w:rsid w:val="584B1BC3"/>
    <w:rsid w:val="58564524"/>
    <w:rsid w:val="585D48F7"/>
    <w:rsid w:val="586B4C84"/>
    <w:rsid w:val="586B76C2"/>
    <w:rsid w:val="586C457F"/>
    <w:rsid w:val="586F3CAF"/>
    <w:rsid w:val="58747986"/>
    <w:rsid w:val="58783724"/>
    <w:rsid w:val="588467AA"/>
    <w:rsid w:val="58897FB4"/>
    <w:rsid w:val="58910F35"/>
    <w:rsid w:val="58954160"/>
    <w:rsid w:val="589D44FB"/>
    <w:rsid w:val="58A24F33"/>
    <w:rsid w:val="58AA02FB"/>
    <w:rsid w:val="58AF4BAA"/>
    <w:rsid w:val="58B60A94"/>
    <w:rsid w:val="58C03462"/>
    <w:rsid w:val="58CC4DB4"/>
    <w:rsid w:val="58D41CCC"/>
    <w:rsid w:val="58D7235B"/>
    <w:rsid w:val="58D925D6"/>
    <w:rsid w:val="58DF5C1C"/>
    <w:rsid w:val="58EB7B73"/>
    <w:rsid w:val="58EE7542"/>
    <w:rsid w:val="58F632BA"/>
    <w:rsid w:val="58F81F04"/>
    <w:rsid w:val="5904726D"/>
    <w:rsid w:val="59084760"/>
    <w:rsid w:val="590E673D"/>
    <w:rsid w:val="59121F0A"/>
    <w:rsid w:val="591D2A1A"/>
    <w:rsid w:val="591E1CF6"/>
    <w:rsid w:val="592849EF"/>
    <w:rsid w:val="59301287"/>
    <w:rsid w:val="593663FF"/>
    <w:rsid w:val="59436B93"/>
    <w:rsid w:val="59517EC8"/>
    <w:rsid w:val="595612FE"/>
    <w:rsid w:val="59564B9D"/>
    <w:rsid w:val="59583222"/>
    <w:rsid w:val="595B5339"/>
    <w:rsid w:val="596863C7"/>
    <w:rsid w:val="596A10F1"/>
    <w:rsid w:val="59750590"/>
    <w:rsid w:val="597C37DF"/>
    <w:rsid w:val="59973856"/>
    <w:rsid w:val="599825F2"/>
    <w:rsid w:val="5998758A"/>
    <w:rsid w:val="59A10756"/>
    <w:rsid w:val="59A15050"/>
    <w:rsid w:val="59A246D5"/>
    <w:rsid w:val="59A4101C"/>
    <w:rsid w:val="59AA606D"/>
    <w:rsid w:val="59AB6D5E"/>
    <w:rsid w:val="59B844AF"/>
    <w:rsid w:val="59C366AB"/>
    <w:rsid w:val="59C56616"/>
    <w:rsid w:val="59C916D8"/>
    <w:rsid w:val="59CB7735"/>
    <w:rsid w:val="59CD6605"/>
    <w:rsid w:val="59DC0B27"/>
    <w:rsid w:val="59E00B45"/>
    <w:rsid w:val="59E64147"/>
    <w:rsid w:val="59EA4856"/>
    <w:rsid w:val="59EA607C"/>
    <w:rsid w:val="59EF3881"/>
    <w:rsid w:val="5A0626FA"/>
    <w:rsid w:val="5A095D83"/>
    <w:rsid w:val="5A0A4674"/>
    <w:rsid w:val="5A101477"/>
    <w:rsid w:val="5A2179B2"/>
    <w:rsid w:val="5A25523B"/>
    <w:rsid w:val="5A282B08"/>
    <w:rsid w:val="5A2F2997"/>
    <w:rsid w:val="5A305956"/>
    <w:rsid w:val="5A3D2537"/>
    <w:rsid w:val="5A425120"/>
    <w:rsid w:val="5A45288F"/>
    <w:rsid w:val="5A4B52E0"/>
    <w:rsid w:val="5A4D7590"/>
    <w:rsid w:val="5A564466"/>
    <w:rsid w:val="5A581FDF"/>
    <w:rsid w:val="5A5A0BD4"/>
    <w:rsid w:val="5A5B12B5"/>
    <w:rsid w:val="5A5E0DD9"/>
    <w:rsid w:val="5A65053A"/>
    <w:rsid w:val="5A6B3074"/>
    <w:rsid w:val="5A814365"/>
    <w:rsid w:val="5A846C42"/>
    <w:rsid w:val="5A8E7283"/>
    <w:rsid w:val="5A9009D2"/>
    <w:rsid w:val="5A9418C2"/>
    <w:rsid w:val="5A953FC7"/>
    <w:rsid w:val="5A990344"/>
    <w:rsid w:val="5A9C32F9"/>
    <w:rsid w:val="5AA04A12"/>
    <w:rsid w:val="5ABB05D6"/>
    <w:rsid w:val="5AC32B55"/>
    <w:rsid w:val="5AC93EE4"/>
    <w:rsid w:val="5ACD3DB4"/>
    <w:rsid w:val="5AD159B6"/>
    <w:rsid w:val="5AD430E1"/>
    <w:rsid w:val="5AE24EAB"/>
    <w:rsid w:val="5AE377A1"/>
    <w:rsid w:val="5AE90DB7"/>
    <w:rsid w:val="5AF24C7A"/>
    <w:rsid w:val="5AF64273"/>
    <w:rsid w:val="5AFA72D3"/>
    <w:rsid w:val="5AFC4F2C"/>
    <w:rsid w:val="5AFD12C7"/>
    <w:rsid w:val="5B067980"/>
    <w:rsid w:val="5B0A07D4"/>
    <w:rsid w:val="5B1C3BB4"/>
    <w:rsid w:val="5B2761ED"/>
    <w:rsid w:val="5B2F5DF8"/>
    <w:rsid w:val="5B3F307F"/>
    <w:rsid w:val="5B4672E2"/>
    <w:rsid w:val="5B4C5E0C"/>
    <w:rsid w:val="5B4D4243"/>
    <w:rsid w:val="5B520396"/>
    <w:rsid w:val="5B5B22EF"/>
    <w:rsid w:val="5B5E0D16"/>
    <w:rsid w:val="5B610160"/>
    <w:rsid w:val="5B6879A0"/>
    <w:rsid w:val="5B707812"/>
    <w:rsid w:val="5B7219CF"/>
    <w:rsid w:val="5B7254EA"/>
    <w:rsid w:val="5B7E226B"/>
    <w:rsid w:val="5B8422A3"/>
    <w:rsid w:val="5B910C26"/>
    <w:rsid w:val="5BA02E96"/>
    <w:rsid w:val="5BA2595D"/>
    <w:rsid w:val="5BA321E9"/>
    <w:rsid w:val="5BAC2472"/>
    <w:rsid w:val="5BAD7506"/>
    <w:rsid w:val="5BAF15BA"/>
    <w:rsid w:val="5BB34F5F"/>
    <w:rsid w:val="5BB360F0"/>
    <w:rsid w:val="5BBD6D60"/>
    <w:rsid w:val="5BBF1F0E"/>
    <w:rsid w:val="5BC31D7F"/>
    <w:rsid w:val="5BCF560E"/>
    <w:rsid w:val="5BDD63BE"/>
    <w:rsid w:val="5BEC00DD"/>
    <w:rsid w:val="5BF2783D"/>
    <w:rsid w:val="5C052CF9"/>
    <w:rsid w:val="5C16204D"/>
    <w:rsid w:val="5C1B7154"/>
    <w:rsid w:val="5C202B1A"/>
    <w:rsid w:val="5C211C93"/>
    <w:rsid w:val="5C241BB6"/>
    <w:rsid w:val="5C2A676F"/>
    <w:rsid w:val="5C2B3B58"/>
    <w:rsid w:val="5C361673"/>
    <w:rsid w:val="5C4A0C92"/>
    <w:rsid w:val="5C4D4754"/>
    <w:rsid w:val="5C533C1A"/>
    <w:rsid w:val="5C57704E"/>
    <w:rsid w:val="5C5A0930"/>
    <w:rsid w:val="5C5C2DB9"/>
    <w:rsid w:val="5C5C6574"/>
    <w:rsid w:val="5C611AA1"/>
    <w:rsid w:val="5C75660B"/>
    <w:rsid w:val="5C761E49"/>
    <w:rsid w:val="5C7912D6"/>
    <w:rsid w:val="5C7D20F2"/>
    <w:rsid w:val="5C7F0351"/>
    <w:rsid w:val="5C883068"/>
    <w:rsid w:val="5C8A09DF"/>
    <w:rsid w:val="5C8A1451"/>
    <w:rsid w:val="5C997E9B"/>
    <w:rsid w:val="5CA66373"/>
    <w:rsid w:val="5CA93AFD"/>
    <w:rsid w:val="5CB833B5"/>
    <w:rsid w:val="5CBA11CF"/>
    <w:rsid w:val="5CBD373D"/>
    <w:rsid w:val="5CC77A78"/>
    <w:rsid w:val="5CCA06F9"/>
    <w:rsid w:val="5CD47FD4"/>
    <w:rsid w:val="5CD8418D"/>
    <w:rsid w:val="5CDE7C1B"/>
    <w:rsid w:val="5CE30A02"/>
    <w:rsid w:val="5CE86B9C"/>
    <w:rsid w:val="5CF14EA7"/>
    <w:rsid w:val="5CFA34F3"/>
    <w:rsid w:val="5D136865"/>
    <w:rsid w:val="5D1963D4"/>
    <w:rsid w:val="5D1F4131"/>
    <w:rsid w:val="5D281140"/>
    <w:rsid w:val="5D346833"/>
    <w:rsid w:val="5D484711"/>
    <w:rsid w:val="5D4B01F2"/>
    <w:rsid w:val="5D4B2344"/>
    <w:rsid w:val="5D570FA6"/>
    <w:rsid w:val="5D5A5288"/>
    <w:rsid w:val="5D7658F7"/>
    <w:rsid w:val="5D776BCE"/>
    <w:rsid w:val="5D792897"/>
    <w:rsid w:val="5D7A22D8"/>
    <w:rsid w:val="5D7C348F"/>
    <w:rsid w:val="5D7C6505"/>
    <w:rsid w:val="5D8034F2"/>
    <w:rsid w:val="5D8C3996"/>
    <w:rsid w:val="5D942587"/>
    <w:rsid w:val="5D981D7D"/>
    <w:rsid w:val="5D9A3915"/>
    <w:rsid w:val="5D9B1B67"/>
    <w:rsid w:val="5DA74038"/>
    <w:rsid w:val="5DA84CDF"/>
    <w:rsid w:val="5DBB068D"/>
    <w:rsid w:val="5DC2416F"/>
    <w:rsid w:val="5DCD7847"/>
    <w:rsid w:val="5DD15589"/>
    <w:rsid w:val="5DD25560"/>
    <w:rsid w:val="5DD303AE"/>
    <w:rsid w:val="5DE15CFC"/>
    <w:rsid w:val="5DE4738C"/>
    <w:rsid w:val="5E1D3E3B"/>
    <w:rsid w:val="5E1E7E28"/>
    <w:rsid w:val="5E213E30"/>
    <w:rsid w:val="5E3B7E93"/>
    <w:rsid w:val="5E443E98"/>
    <w:rsid w:val="5E4775F9"/>
    <w:rsid w:val="5E4F03D8"/>
    <w:rsid w:val="5E552EA3"/>
    <w:rsid w:val="5E555CA7"/>
    <w:rsid w:val="5E5911AD"/>
    <w:rsid w:val="5E665113"/>
    <w:rsid w:val="5E693A13"/>
    <w:rsid w:val="5E8143EE"/>
    <w:rsid w:val="5E8A5D52"/>
    <w:rsid w:val="5E8A5EC2"/>
    <w:rsid w:val="5E8E293D"/>
    <w:rsid w:val="5E93575B"/>
    <w:rsid w:val="5E97121E"/>
    <w:rsid w:val="5E9C56B2"/>
    <w:rsid w:val="5E9D3BBE"/>
    <w:rsid w:val="5E9F2B7A"/>
    <w:rsid w:val="5EA42FEA"/>
    <w:rsid w:val="5EAE4A4C"/>
    <w:rsid w:val="5EAF6701"/>
    <w:rsid w:val="5EBA17A3"/>
    <w:rsid w:val="5EC228FE"/>
    <w:rsid w:val="5EC85D58"/>
    <w:rsid w:val="5EC86729"/>
    <w:rsid w:val="5ED370DF"/>
    <w:rsid w:val="5ED57321"/>
    <w:rsid w:val="5EDA28EE"/>
    <w:rsid w:val="5EDB4F71"/>
    <w:rsid w:val="5EE12D64"/>
    <w:rsid w:val="5EE41C6C"/>
    <w:rsid w:val="5EE7446E"/>
    <w:rsid w:val="5EE930EA"/>
    <w:rsid w:val="5EEE3D29"/>
    <w:rsid w:val="5EFD6541"/>
    <w:rsid w:val="5F022F6D"/>
    <w:rsid w:val="5F025C16"/>
    <w:rsid w:val="5F197E08"/>
    <w:rsid w:val="5F261D2A"/>
    <w:rsid w:val="5F265461"/>
    <w:rsid w:val="5F2A478A"/>
    <w:rsid w:val="5F2B3447"/>
    <w:rsid w:val="5F395AC0"/>
    <w:rsid w:val="5F4866C4"/>
    <w:rsid w:val="5F4A198B"/>
    <w:rsid w:val="5F4B3A50"/>
    <w:rsid w:val="5F5D7B38"/>
    <w:rsid w:val="5F5F1359"/>
    <w:rsid w:val="5F6139D4"/>
    <w:rsid w:val="5F645B3C"/>
    <w:rsid w:val="5F682498"/>
    <w:rsid w:val="5F74239E"/>
    <w:rsid w:val="5F7D7786"/>
    <w:rsid w:val="5F840D3E"/>
    <w:rsid w:val="5F85487D"/>
    <w:rsid w:val="5F8761DD"/>
    <w:rsid w:val="5F8C36F6"/>
    <w:rsid w:val="5F8D4351"/>
    <w:rsid w:val="5F8F0E4A"/>
    <w:rsid w:val="5F8F447E"/>
    <w:rsid w:val="5F9931F1"/>
    <w:rsid w:val="5FA17D60"/>
    <w:rsid w:val="5FA33AD0"/>
    <w:rsid w:val="5FA514E4"/>
    <w:rsid w:val="5FA64F63"/>
    <w:rsid w:val="5FA81B4A"/>
    <w:rsid w:val="5FAB440D"/>
    <w:rsid w:val="5FBC4864"/>
    <w:rsid w:val="5FC12161"/>
    <w:rsid w:val="5FC34395"/>
    <w:rsid w:val="5FC840E1"/>
    <w:rsid w:val="5FC8476A"/>
    <w:rsid w:val="5FCA37C0"/>
    <w:rsid w:val="5FCA661C"/>
    <w:rsid w:val="5FD25F5F"/>
    <w:rsid w:val="5FD917B2"/>
    <w:rsid w:val="5FD92450"/>
    <w:rsid w:val="5FF50F0F"/>
    <w:rsid w:val="5FFD0B0A"/>
    <w:rsid w:val="60130CD9"/>
    <w:rsid w:val="6017073D"/>
    <w:rsid w:val="602D2472"/>
    <w:rsid w:val="603649D8"/>
    <w:rsid w:val="60366AE9"/>
    <w:rsid w:val="604E3077"/>
    <w:rsid w:val="60500DB2"/>
    <w:rsid w:val="605E6E7C"/>
    <w:rsid w:val="60624BBE"/>
    <w:rsid w:val="60650E12"/>
    <w:rsid w:val="606E1F64"/>
    <w:rsid w:val="60850133"/>
    <w:rsid w:val="608E50F4"/>
    <w:rsid w:val="60964AAF"/>
    <w:rsid w:val="609D5D32"/>
    <w:rsid w:val="60A37535"/>
    <w:rsid w:val="60A61B01"/>
    <w:rsid w:val="60AA78C2"/>
    <w:rsid w:val="60AB1CCA"/>
    <w:rsid w:val="60B31C84"/>
    <w:rsid w:val="60B90AF4"/>
    <w:rsid w:val="60C20E00"/>
    <w:rsid w:val="60C677C2"/>
    <w:rsid w:val="60D12E57"/>
    <w:rsid w:val="60E06639"/>
    <w:rsid w:val="60E44DE9"/>
    <w:rsid w:val="60E66126"/>
    <w:rsid w:val="60E6759D"/>
    <w:rsid w:val="60ED7300"/>
    <w:rsid w:val="60F04F55"/>
    <w:rsid w:val="60F30E73"/>
    <w:rsid w:val="60F33A68"/>
    <w:rsid w:val="60F57A3F"/>
    <w:rsid w:val="60F80248"/>
    <w:rsid w:val="60FB1701"/>
    <w:rsid w:val="61066B3D"/>
    <w:rsid w:val="61185F8D"/>
    <w:rsid w:val="6119590D"/>
    <w:rsid w:val="611D37B0"/>
    <w:rsid w:val="612772E5"/>
    <w:rsid w:val="61295689"/>
    <w:rsid w:val="61362FAB"/>
    <w:rsid w:val="613A2DB2"/>
    <w:rsid w:val="613B33A9"/>
    <w:rsid w:val="6140327A"/>
    <w:rsid w:val="615B597D"/>
    <w:rsid w:val="615C55BD"/>
    <w:rsid w:val="616259BF"/>
    <w:rsid w:val="61651A9A"/>
    <w:rsid w:val="6171183B"/>
    <w:rsid w:val="61863FB8"/>
    <w:rsid w:val="618C3747"/>
    <w:rsid w:val="61973F8A"/>
    <w:rsid w:val="619A7E45"/>
    <w:rsid w:val="619F2B1F"/>
    <w:rsid w:val="61AC77CC"/>
    <w:rsid w:val="61B76B99"/>
    <w:rsid w:val="61BE6FCC"/>
    <w:rsid w:val="61C53DB7"/>
    <w:rsid w:val="61CA67F0"/>
    <w:rsid w:val="61CC7E57"/>
    <w:rsid w:val="61CD16DE"/>
    <w:rsid w:val="61D025B9"/>
    <w:rsid w:val="61D02727"/>
    <w:rsid w:val="61D10344"/>
    <w:rsid w:val="61DA0E0F"/>
    <w:rsid w:val="61DB2CBA"/>
    <w:rsid w:val="61DB5338"/>
    <w:rsid w:val="61DD2A6C"/>
    <w:rsid w:val="61DD385C"/>
    <w:rsid w:val="61E41A07"/>
    <w:rsid w:val="61E4459E"/>
    <w:rsid w:val="61E812BF"/>
    <w:rsid w:val="61EA2AE9"/>
    <w:rsid w:val="61ED0518"/>
    <w:rsid w:val="61F01D56"/>
    <w:rsid w:val="61F17317"/>
    <w:rsid w:val="61F25ACE"/>
    <w:rsid w:val="620169FF"/>
    <w:rsid w:val="62061461"/>
    <w:rsid w:val="621023F8"/>
    <w:rsid w:val="621B36F3"/>
    <w:rsid w:val="62273481"/>
    <w:rsid w:val="623379BA"/>
    <w:rsid w:val="623941D1"/>
    <w:rsid w:val="624B1D15"/>
    <w:rsid w:val="624C2281"/>
    <w:rsid w:val="624D3A13"/>
    <w:rsid w:val="62650021"/>
    <w:rsid w:val="626F35C2"/>
    <w:rsid w:val="62711091"/>
    <w:rsid w:val="627C6E69"/>
    <w:rsid w:val="628030DA"/>
    <w:rsid w:val="62887F97"/>
    <w:rsid w:val="628A55D7"/>
    <w:rsid w:val="628F5A13"/>
    <w:rsid w:val="62916E02"/>
    <w:rsid w:val="62A50D92"/>
    <w:rsid w:val="62A74B0A"/>
    <w:rsid w:val="62B463B4"/>
    <w:rsid w:val="62B55439"/>
    <w:rsid w:val="62B8474C"/>
    <w:rsid w:val="62CB14D4"/>
    <w:rsid w:val="62D003E9"/>
    <w:rsid w:val="62E07BF4"/>
    <w:rsid w:val="62E80CB6"/>
    <w:rsid w:val="62EC75FF"/>
    <w:rsid w:val="62FA20CA"/>
    <w:rsid w:val="62FA4866"/>
    <w:rsid w:val="62FB7D36"/>
    <w:rsid w:val="62FD4E57"/>
    <w:rsid w:val="630E4C10"/>
    <w:rsid w:val="631F62D0"/>
    <w:rsid w:val="632B2EB6"/>
    <w:rsid w:val="632D1F45"/>
    <w:rsid w:val="633152F0"/>
    <w:rsid w:val="63333847"/>
    <w:rsid w:val="633F11E7"/>
    <w:rsid w:val="634006CE"/>
    <w:rsid w:val="63436108"/>
    <w:rsid w:val="634B2E08"/>
    <w:rsid w:val="634C6D8F"/>
    <w:rsid w:val="63514D79"/>
    <w:rsid w:val="635505B7"/>
    <w:rsid w:val="63552959"/>
    <w:rsid w:val="635C3B47"/>
    <w:rsid w:val="63645CF6"/>
    <w:rsid w:val="63672613"/>
    <w:rsid w:val="636C18B0"/>
    <w:rsid w:val="636D3F94"/>
    <w:rsid w:val="63791F8B"/>
    <w:rsid w:val="63817D77"/>
    <w:rsid w:val="63890E96"/>
    <w:rsid w:val="638C44CF"/>
    <w:rsid w:val="638D634E"/>
    <w:rsid w:val="6394163F"/>
    <w:rsid w:val="639561D2"/>
    <w:rsid w:val="639A1555"/>
    <w:rsid w:val="63A164A7"/>
    <w:rsid w:val="63B32DFD"/>
    <w:rsid w:val="63B87C72"/>
    <w:rsid w:val="63B95053"/>
    <w:rsid w:val="63BB14BF"/>
    <w:rsid w:val="63C47A82"/>
    <w:rsid w:val="63D10E50"/>
    <w:rsid w:val="63DB3FA1"/>
    <w:rsid w:val="63E777BB"/>
    <w:rsid w:val="63EF4044"/>
    <w:rsid w:val="63F129DD"/>
    <w:rsid w:val="63F368C6"/>
    <w:rsid w:val="63F463A5"/>
    <w:rsid w:val="63FB4753"/>
    <w:rsid w:val="64144C5B"/>
    <w:rsid w:val="642443E6"/>
    <w:rsid w:val="643539DD"/>
    <w:rsid w:val="64357593"/>
    <w:rsid w:val="64360647"/>
    <w:rsid w:val="643F7FD2"/>
    <w:rsid w:val="645D04DF"/>
    <w:rsid w:val="646122F9"/>
    <w:rsid w:val="646D768E"/>
    <w:rsid w:val="64712302"/>
    <w:rsid w:val="6480021A"/>
    <w:rsid w:val="64983636"/>
    <w:rsid w:val="649A171A"/>
    <w:rsid w:val="649E33E5"/>
    <w:rsid w:val="649F0BF9"/>
    <w:rsid w:val="649F4E3F"/>
    <w:rsid w:val="64A038CF"/>
    <w:rsid w:val="64A05CB5"/>
    <w:rsid w:val="64A33CAA"/>
    <w:rsid w:val="64A54C6B"/>
    <w:rsid w:val="64A93D8A"/>
    <w:rsid w:val="64B1461A"/>
    <w:rsid w:val="64B7335B"/>
    <w:rsid w:val="64C03981"/>
    <w:rsid w:val="64C23EB4"/>
    <w:rsid w:val="64C652F6"/>
    <w:rsid w:val="64D23995"/>
    <w:rsid w:val="64D40772"/>
    <w:rsid w:val="64DA5BFB"/>
    <w:rsid w:val="64EA30F9"/>
    <w:rsid w:val="64EB57C1"/>
    <w:rsid w:val="64EE04B1"/>
    <w:rsid w:val="64F14BF5"/>
    <w:rsid w:val="64F20BC6"/>
    <w:rsid w:val="64F55033"/>
    <w:rsid w:val="65051FBC"/>
    <w:rsid w:val="651E528C"/>
    <w:rsid w:val="651F60C8"/>
    <w:rsid w:val="652523EB"/>
    <w:rsid w:val="652F0DDD"/>
    <w:rsid w:val="652F38F2"/>
    <w:rsid w:val="653834B2"/>
    <w:rsid w:val="653A2532"/>
    <w:rsid w:val="65445AB2"/>
    <w:rsid w:val="655417A5"/>
    <w:rsid w:val="655479FC"/>
    <w:rsid w:val="65556AA0"/>
    <w:rsid w:val="65565DB0"/>
    <w:rsid w:val="65576B89"/>
    <w:rsid w:val="655A374A"/>
    <w:rsid w:val="655B6D90"/>
    <w:rsid w:val="655C2B7E"/>
    <w:rsid w:val="65653DAA"/>
    <w:rsid w:val="65737541"/>
    <w:rsid w:val="65843DE6"/>
    <w:rsid w:val="658968F3"/>
    <w:rsid w:val="65982859"/>
    <w:rsid w:val="65A1330E"/>
    <w:rsid w:val="65A209DB"/>
    <w:rsid w:val="65AB4C2D"/>
    <w:rsid w:val="65B3569A"/>
    <w:rsid w:val="65B406D9"/>
    <w:rsid w:val="65B55F9D"/>
    <w:rsid w:val="65C01AB7"/>
    <w:rsid w:val="65C06580"/>
    <w:rsid w:val="65E30F23"/>
    <w:rsid w:val="65E57CB3"/>
    <w:rsid w:val="65E71C91"/>
    <w:rsid w:val="65EB27AD"/>
    <w:rsid w:val="65EB59F5"/>
    <w:rsid w:val="65EB6F95"/>
    <w:rsid w:val="65ED51C4"/>
    <w:rsid w:val="65ED747D"/>
    <w:rsid w:val="65EF0089"/>
    <w:rsid w:val="65F904A0"/>
    <w:rsid w:val="65F9451B"/>
    <w:rsid w:val="65FB2712"/>
    <w:rsid w:val="65FE2E14"/>
    <w:rsid w:val="65FF25D9"/>
    <w:rsid w:val="66011C98"/>
    <w:rsid w:val="660C5123"/>
    <w:rsid w:val="6611613F"/>
    <w:rsid w:val="6612680B"/>
    <w:rsid w:val="661C273B"/>
    <w:rsid w:val="662538BE"/>
    <w:rsid w:val="663342DD"/>
    <w:rsid w:val="66335F75"/>
    <w:rsid w:val="664254EC"/>
    <w:rsid w:val="664A36FF"/>
    <w:rsid w:val="664D7962"/>
    <w:rsid w:val="66541BAD"/>
    <w:rsid w:val="665A6FB9"/>
    <w:rsid w:val="665D778F"/>
    <w:rsid w:val="665E38B8"/>
    <w:rsid w:val="66620CC2"/>
    <w:rsid w:val="66623E0F"/>
    <w:rsid w:val="666351EC"/>
    <w:rsid w:val="66677064"/>
    <w:rsid w:val="66697D6E"/>
    <w:rsid w:val="666A5142"/>
    <w:rsid w:val="666B1D62"/>
    <w:rsid w:val="668C29E2"/>
    <w:rsid w:val="66902C42"/>
    <w:rsid w:val="66983F27"/>
    <w:rsid w:val="66A97E9F"/>
    <w:rsid w:val="66AA6710"/>
    <w:rsid w:val="66AD6EDD"/>
    <w:rsid w:val="66B500A4"/>
    <w:rsid w:val="66C27892"/>
    <w:rsid w:val="66E04642"/>
    <w:rsid w:val="66F37830"/>
    <w:rsid w:val="66F94494"/>
    <w:rsid w:val="66FA5B0F"/>
    <w:rsid w:val="67022C25"/>
    <w:rsid w:val="67023DC5"/>
    <w:rsid w:val="670B3BFF"/>
    <w:rsid w:val="670F382B"/>
    <w:rsid w:val="67143C2A"/>
    <w:rsid w:val="671A44F3"/>
    <w:rsid w:val="6720712D"/>
    <w:rsid w:val="67221860"/>
    <w:rsid w:val="67245A17"/>
    <w:rsid w:val="6732662B"/>
    <w:rsid w:val="67341DE3"/>
    <w:rsid w:val="67391180"/>
    <w:rsid w:val="673A0ABB"/>
    <w:rsid w:val="6750563C"/>
    <w:rsid w:val="675352E6"/>
    <w:rsid w:val="675C219F"/>
    <w:rsid w:val="675C41EF"/>
    <w:rsid w:val="676216F4"/>
    <w:rsid w:val="676416A1"/>
    <w:rsid w:val="67655221"/>
    <w:rsid w:val="67830751"/>
    <w:rsid w:val="678E0368"/>
    <w:rsid w:val="678E23FF"/>
    <w:rsid w:val="67913FD0"/>
    <w:rsid w:val="67955879"/>
    <w:rsid w:val="679C1F14"/>
    <w:rsid w:val="67A85FAD"/>
    <w:rsid w:val="67AB3858"/>
    <w:rsid w:val="67C43F40"/>
    <w:rsid w:val="67C50C16"/>
    <w:rsid w:val="67D143D7"/>
    <w:rsid w:val="67DA5DF4"/>
    <w:rsid w:val="67DC514C"/>
    <w:rsid w:val="67DC55A7"/>
    <w:rsid w:val="67EF3975"/>
    <w:rsid w:val="68002689"/>
    <w:rsid w:val="680A7ED0"/>
    <w:rsid w:val="681703D1"/>
    <w:rsid w:val="68192D10"/>
    <w:rsid w:val="682912C3"/>
    <w:rsid w:val="683E7DFB"/>
    <w:rsid w:val="683F2657"/>
    <w:rsid w:val="68411FA8"/>
    <w:rsid w:val="68424519"/>
    <w:rsid w:val="68457149"/>
    <w:rsid w:val="68460A4B"/>
    <w:rsid w:val="68465D84"/>
    <w:rsid w:val="685754EE"/>
    <w:rsid w:val="68654CAF"/>
    <w:rsid w:val="68673BA0"/>
    <w:rsid w:val="68833924"/>
    <w:rsid w:val="688356D2"/>
    <w:rsid w:val="688A7AA4"/>
    <w:rsid w:val="6897117D"/>
    <w:rsid w:val="68972F23"/>
    <w:rsid w:val="68983D2C"/>
    <w:rsid w:val="689946AF"/>
    <w:rsid w:val="68AD66E9"/>
    <w:rsid w:val="68BB02ED"/>
    <w:rsid w:val="68C538AD"/>
    <w:rsid w:val="68C55A0F"/>
    <w:rsid w:val="68DC4336"/>
    <w:rsid w:val="68ED52C5"/>
    <w:rsid w:val="68F757F5"/>
    <w:rsid w:val="68FD0597"/>
    <w:rsid w:val="68FE06A0"/>
    <w:rsid w:val="69220BB1"/>
    <w:rsid w:val="69235A13"/>
    <w:rsid w:val="692819EB"/>
    <w:rsid w:val="692B35B4"/>
    <w:rsid w:val="692C0756"/>
    <w:rsid w:val="69333775"/>
    <w:rsid w:val="69355F5B"/>
    <w:rsid w:val="693A0106"/>
    <w:rsid w:val="693C27ED"/>
    <w:rsid w:val="6948576C"/>
    <w:rsid w:val="69496146"/>
    <w:rsid w:val="694E2996"/>
    <w:rsid w:val="69531BEA"/>
    <w:rsid w:val="69536C37"/>
    <w:rsid w:val="696B073D"/>
    <w:rsid w:val="696E7318"/>
    <w:rsid w:val="697A333A"/>
    <w:rsid w:val="69851B9E"/>
    <w:rsid w:val="69860701"/>
    <w:rsid w:val="698C57EB"/>
    <w:rsid w:val="699A513A"/>
    <w:rsid w:val="699E5CA7"/>
    <w:rsid w:val="69A422AA"/>
    <w:rsid w:val="69AD252C"/>
    <w:rsid w:val="69B00DC6"/>
    <w:rsid w:val="69B716CB"/>
    <w:rsid w:val="69B813AB"/>
    <w:rsid w:val="69B93983"/>
    <w:rsid w:val="69C05B16"/>
    <w:rsid w:val="69C7095B"/>
    <w:rsid w:val="69DC5904"/>
    <w:rsid w:val="69DE2E64"/>
    <w:rsid w:val="69E00AF5"/>
    <w:rsid w:val="6A067888"/>
    <w:rsid w:val="6A0C7949"/>
    <w:rsid w:val="6A0D63E8"/>
    <w:rsid w:val="6A133DE3"/>
    <w:rsid w:val="6A1F3FAB"/>
    <w:rsid w:val="6A1F58CE"/>
    <w:rsid w:val="6A242249"/>
    <w:rsid w:val="6A244992"/>
    <w:rsid w:val="6A252895"/>
    <w:rsid w:val="6A27159E"/>
    <w:rsid w:val="6A283451"/>
    <w:rsid w:val="6A2E1811"/>
    <w:rsid w:val="6A573944"/>
    <w:rsid w:val="6A710772"/>
    <w:rsid w:val="6A72254D"/>
    <w:rsid w:val="6A774C8E"/>
    <w:rsid w:val="6A7A3BED"/>
    <w:rsid w:val="6A7D1AE2"/>
    <w:rsid w:val="6A7D6CAF"/>
    <w:rsid w:val="6A7D7E04"/>
    <w:rsid w:val="6A8B4D12"/>
    <w:rsid w:val="6A935974"/>
    <w:rsid w:val="6A957145"/>
    <w:rsid w:val="6A9816B4"/>
    <w:rsid w:val="6A9D16A1"/>
    <w:rsid w:val="6AA656A7"/>
    <w:rsid w:val="6AAB216B"/>
    <w:rsid w:val="6AAD3140"/>
    <w:rsid w:val="6AB15474"/>
    <w:rsid w:val="6AC0514F"/>
    <w:rsid w:val="6AD42215"/>
    <w:rsid w:val="6AD66790"/>
    <w:rsid w:val="6AD77F57"/>
    <w:rsid w:val="6ADB4C76"/>
    <w:rsid w:val="6AE0505D"/>
    <w:rsid w:val="6AE73083"/>
    <w:rsid w:val="6AED176D"/>
    <w:rsid w:val="6B0012DC"/>
    <w:rsid w:val="6B00324F"/>
    <w:rsid w:val="6B080110"/>
    <w:rsid w:val="6B19318B"/>
    <w:rsid w:val="6B1A1B85"/>
    <w:rsid w:val="6B1C160F"/>
    <w:rsid w:val="6B22492A"/>
    <w:rsid w:val="6B23319C"/>
    <w:rsid w:val="6B2A3DC6"/>
    <w:rsid w:val="6B2C204B"/>
    <w:rsid w:val="6B315A3D"/>
    <w:rsid w:val="6B431F9C"/>
    <w:rsid w:val="6B433C6D"/>
    <w:rsid w:val="6B630195"/>
    <w:rsid w:val="6B677C3B"/>
    <w:rsid w:val="6B6C24A5"/>
    <w:rsid w:val="6B6E0E38"/>
    <w:rsid w:val="6B6F736B"/>
    <w:rsid w:val="6B773FC3"/>
    <w:rsid w:val="6B7B3638"/>
    <w:rsid w:val="6B7D0AFE"/>
    <w:rsid w:val="6B8821E6"/>
    <w:rsid w:val="6B8862B0"/>
    <w:rsid w:val="6B8F438D"/>
    <w:rsid w:val="6B902245"/>
    <w:rsid w:val="6B970A44"/>
    <w:rsid w:val="6B975E2B"/>
    <w:rsid w:val="6B9C3AE5"/>
    <w:rsid w:val="6BA23DDC"/>
    <w:rsid w:val="6BA95EF8"/>
    <w:rsid w:val="6BAE6A07"/>
    <w:rsid w:val="6BB27FAE"/>
    <w:rsid w:val="6BBA4CE4"/>
    <w:rsid w:val="6BBF3CF7"/>
    <w:rsid w:val="6BC57439"/>
    <w:rsid w:val="6BC61B7F"/>
    <w:rsid w:val="6BC6585F"/>
    <w:rsid w:val="6BC71D79"/>
    <w:rsid w:val="6BD32CE5"/>
    <w:rsid w:val="6BD67703"/>
    <w:rsid w:val="6BD71083"/>
    <w:rsid w:val="6BD827A9"/>
    <w:rsid w:val="6BE071E8"/>
    <w:rsid w:val="6BE77863"/>
    <w:rsid w:val="6BED1BDD"/>
    <w:rsid w:val="6C005149"/>
    <w:rsid w:val="6C0A4B22"/>
    <w:rsid w:val="6C0F0FFD"/>
    <w:rsid w:val="6C1331CB"/>
    <w:rsid w:val="6C15328F"/>
    <w:rsid w:val="6C1B7DE7"/>
    <w:rsid w:val="6C20673D"/>
    <w:rsid w:val="6C290A1F"/>
    <w:rsid w:val="6C343BB2"/>
    <w:rsid w:val="6C35422E"/>
    <w:rsid w:val="6C3C2CA5"/>
    <w:rsid w:val="6C40122D"/>
    <w:rsid w:val="6C411B7B"/>
    <w:rsid w:val="6C4934F0"/>
    <w:rsid w:val="6C4B0997"/>
    <w:rsid w:val="6C577B08"/>
    <w:rsid w:val="6C5D7D0C"/>
    <w:rsid w:val="6C632793"/>
    <w:rsid w:val="6C6571AE"/>
    <w:rsid w:val="6C79122E"/>
    <w:rsid w:val="6C7A6DEC"/>
    <w:rsid w:val="6C802B9C"/>
    <w:rsid w:val="6C8628B2"/>
    <w:rsid w:val="6C887707"/>
    <w:rsid w:val="6C894ACE"/>
    <w:rsid w:val="6C8D354D"/>
    <w:rsid w:val="6C9756A3"/>
    <w:rsid w:val="6C993AF2"/>
    <w:rsid w:val="6C9C10BC"/>
    <w:rsid w:val="6C9D515B"/>
    <w:rsid w:val="6CA137B8"/>
    <w:rsid w:val="6CB2102C"/>
    <w:rsid w:val="6CC16625"/>
    <w:rsid w:val="6CC554F5"/>
    <w:rsid w:val="6CC85788"/>
    <w:rsid w:val="6CCE664C"/>
    <w:rsid w:val="6CD303DA"/>
    <w:rsid w:val="6CE47A2C"/>
    <w:rsid w:val="6CE70612"/>
    <w:rsid w:val="6CE95024"/>
    <w:rsid w:val="6CF21A9F"/>
    <w:rsid w:val="6CF647D5"/>
    <w:rsid w:val="6D082457"/>
    <w:rsid w:val="6D0979EE"/>
    <w:rsid w:val="6D175A33"/>
    <w:rsid w:val="6D2347DE"/>
    <w:rsid w:val="6D245093"/>
    <w:rsid w:val="6D2D5FF9"/>
    <w:rsid w:val="6D3B09D1"/>
    <w:rsid w:val="6D4D4F24"/>
    <w:rsid w:val="6D584BCC"/>
    <w:rsid w:val="6D5A77BC"/>
    <w:rsid w:val="6D5C0B1D"/>
    <w:rsid w:val="6D672EB2"/>
    <w:rsid w:val="6D673256"/>
    <w:rsid w:val="6D677987"/>
    <w:rsid w:val="6D6D1F81"/>
    <w:rsid w:val="6D6F40A8"/>
    <w:rsid w:val="6D724ECA"/>
    <w:rsid w:val="6D770BED"/>
    <w:rsid w:val="6D864955"/>
    <w:rsid w:val="6D882B4A"/>
    <w:rsid w:val="6D8C4A01"/>
    <w:rsid w:val="6D9A7681"/>
    <w:rsid w:val="6D9B24F8"/>
    <w:rsid w:val="6DA96185"/>
    <w:rsid w:val="6DB73289"/>
    <w:rsid w:val="6DBB4BE9"/>
    <w:rsid w:val="6DC02AF2"/>
    <w:rsid w:val="6DC31605"/>
    <w:rsid w:val="6DCA1DC3"/>
    <w:rsid w:val="6DCE5BFC"/>
    <w:rsid w:val="6DD16EDF"/>
    <w:rsid w:val="6DD467CE"/>
    <w:rsid w:val="6DD46EE1"/>
    <w:rsid w:val="6DDE095A"/>
    <w:rsid w:val="6DDE1062"/>
    <w:rsid w:val="6DE1717B"/>
    <w:rsid w:val="6DE45370"/>
    <w:rsid w:val="6DF44C6E"/>
    <w:rsid w:val="6DF4539A"/>
    <w:rsid w:val="6E0028EB"/>
    <w:rsid w:val="6E01724F"/>
    <w:rsid w:val="6E056B6D"/>
    <w:rsid w:val="6E08349F"/>
    <w:rsid w:val="6E103D71"/>
    <w:rsid w:val="6E1504D8"/>
    <w:rsid w:val="6E1717BE"/>
    <w:rsid w:val="6E18686B"/>
    <w:rsid w:val="6E1E5318"/>
    <w:rsid w:val="6E1F0090"/>
    <w:rsid w:val="6E1F5E6B"/>
    <w:rsid w:val="6E2371FE"/>
    <w:rsid w:val="6E24261A"/>
    <w:rsid w:val="6E2B75CB"/>
    <w:rsid w:val="6E3478A1"/>
    <w:rsid w:val="6E3C2375"/>
    <w:rsid w:val="6E413424"/>
    <w:rsid w:val="6E432518"/>
    <w:rsid w:val="6E4770F5"/>
    <w:rsid w:val="6E4825FC"/>
    <w:rsid w:val="6E4F0FC0"/>
    <w:rsid w:val="6E5378F4"/>
    <w:rsid w:val="6E562AC5"/>
    <w:rsid w:val="6E585FED"/>
    <w:rsid w:val="6E657BB6"/>
    <w:rsid w:val="6E700F68"/>
    <w:rsid w:val="6E7F5771"/>
    <w:rsid w:val="6E850170"/>
    <w:rsid w:val="6E8727B5"/>
    <w:rsid w:val="6E872DC2"/>
    <w:rsid w:val="6E906D9A"/>
    <w:rsid w:val="6E912234"/>
    <w:rsid w:val="6EA13DAF"/>
    <w:rsid w:val="6EA15191"/>
    <w:rsid w:val="6EA60A2A"/>
    <w:rsid w:val="6EA81E77"/>
    <w:rsid w:val="6EAD3AF4"/>
    <w:rsid w:val="6EAE7221"/>
    <w:rsid w:val="6EB011EB"/>
    <w:rsid w:val="6EBD1B0C"/>
    <w:rsid w:val="6ECA358A"/>
    <w:rsid w:val="6ED5706A"/>
    <w:rsid w:val="6EDF21C0"/>
    <w:rsid w:val="6EE2347A"/>
    <w:rsid w:val="6EE67218"/>
    <w:rsid w:val="6EEC6E1A"/>
    <w:rsid w:val="6EF25D05"/>
    <w:rsid w:val="6EF42B58"/>
    <w:rsid w:val="6EFD10F6"/>
    <w:rsid w:val="6EFF3093"/>
    <w:rsid w:val="6F095771"/>
    <w:rsid w:val="6F1352D6"/>
    <w:rsid w:val="6F147CF5"/>
    <w:rsid w:val="6F196BBF"/>
    <w:rsid w:val="6F1B634E"/>
    <w:rsid w:val="6F1B72A5"/>
    <w:rsid w:val="6F234128"/>
    <w:rsid w:val="6F2D2245"/>
    <w:rsid w:val="6F2E391A"/>
    <w:rsid w:val="6F372D76"/>
    <w:rsid w:val="6F4A519B"/>
    <w:rsid w:val="6F5079E2"/>
    <w:rsid w:val="6F51675A"/>
    <w:rsid w:val="6F58215E"/>
    <w:rsid w:val="6F6156BB"/>
    <w:rsid w:val="6F626780"/>
    <w:rsid w:val="6F6A4D73"/>
    <w:rsid w:val="6F7F19CA"/>
    <w:rsid w:val="6F801900"/>
    <w:rsid w:val="6F887A72"/>
    <w:rsid w:val="6F975238"/>
    <w:rsid w:val="6FA63E0E"/>
    <w:rsid w:val="6FAB52C3"/>
    <w:rsid w:val="6FB30B25"/>
    <w:rsid w:val="6FBA540B"/>
    <w:rsid w:val="6FD36875"/>
    <w:rsid w:val="6FE20C56"/>
    <w:rsid w:val="6FE44A4D"/>
    <w:rsid w:val="6FE93EA0"/>
    <w:rsid w:val="6FFB3228"/>
    <w:rsid w:val="6FFE49F0"/>
    <w:rsid w:val="70016E22"/>
    <w:rsid w:val="7002596F"/>
    <w:rsid w:val="700E13B2"/>
    <w:rsid w:val="701B2694"/>
    <w:rsid w:val="701F1F56"/>
    <w:rsid w:val="701F26A6"/>
    <w:rsid w:val="702552C0"/>
    <w:rsid w:val="7030769D"/>
    <w:rsid w:val="70412B49"/>
    <w:rsid w:val="70433998"/>
    <w:rsid w:val="704909F8"/>
    <w:rsid w:val="705213A3"/>
    <w:rsid w:val="705F7B90"/>
    <w:rsid w:val="707C42F2"/>
    <w:rsid w:val="708B5A6B"/>
    <w:rsid w:val="709C1F39"/>
    <w:rsid w:val="70BC1BA4"/>
    <w:rsid w:val="70C55F5C"/>
    <w:rsid w:val="70CF4496"/>
    <w:rsid w:val="70E47964"/>
    <w:rsid w:val="70F2143B"/>
    <w:rsid w:val="70F70F12"/>
    <w:rsid w:val="70FD05AD"/>
    <w:rsid w:val="70FF0564"/>
    <w:rsid w:val="710E3E31"/>
    <w:rsid w:val="710F3112"/>
    <w:rsid w:val="71112F38"/>
    <w:rsid w:val="71124DE8"/>
    <w:rsid w:val="711374BE"/>
    <w:rsid w:val="71236A2B"/>
    <w:rsid w:val="71242AF6"/>
    <w:rsid w:val="713A6780"/>
    <w:rsid w:val="714D675C"/>
    <w:rsid w:val="714F4CF1"/>
    <w:rsid w:val="71573188"/>
    <w:rsid w:val="715E1313"/>
    <w:rsid w:val="716429AB"/>
    <w:rsid w:val="716D3F24"/>
    <w:rsid w:val="71716B68"/>
    <w:rsid w:val="71737FA9"/>
    <w:rsid w:val="7174483D"/>
    <w:rsid w:val="71754692"/>
    <w:rsid w:val="71804EA4"/>
    <w:rsid w:val="71825154"/>
    <w:rsid w:val="718B2080"/>
    <w:rsid w:val="718E3AD4"/>
    <w:rsid w:val="7194620D"/>
    <w:rsid w:val="719637A5"/>
    <w:rsid w:val="71B40FF2"/>
    <w:rsid w:val="71BA40BB"/>
    <w:rsid w:val="71BB65F3"/>
    <w:rsid w:val="71C823A7"/>
    <w:rsid w:val="71CB1855"/>
    <w:rsid w:val="71CF5DF0"/>
    <w:rsid w:val="71D658E8"/>
    <w:rsid w:val="71DE43AB"/>
    <w:rsid w:val="71DE561A"/>
    <w:rsid w:val="71EB1615"/>
    <w:rsid w:val="71F91ED7"/>
    <w:rsid w:val="72003CD0"/>
    <w:rsid w:val="72106486"/>
    <w:rsid w:val="72125C50"/>
    <w:rsid w:val="721346BA"/>
    <w:rsid w:val="721A5EF7"/>
    <w:rsid w:val="721D3729"/>
    <w:rsid w:val="721E375F"/>
    <w:rsid w:val="721F5C52"/>
    <w:rsid w:val="722160CD"/>
    <w:rsid w:val="72275556"/>
    <w:rsid w:val="723C5C9D"/>
    <w:rsid w:val="723F5ECD"/>
    <w:rsid w:val="724131FA"/>
    <w:rsid w:val="72514C27"/>
    <w:rsid w:val="72545BED"/>
    <w:rsid w:val="725953EB"/>
    <w:rsid w:val="725B197F"/>
    <w:rsid w:val="726148AD"/>
    <w:rsid w:val="726739D4"/>
    <w:rsid w:val="7270319E"/>
    <w:rsid w:val="72847D77"/>
    <w:rsid w:val="72920E5C"/>
    <w:rsid w:val="72991273"/>
    <w:rsid w:val="72A14B8A"/>
    <w:rsid w:val="72A154A1"/>
    <w:rsid w:val="72A82988"/>
    <w:rsid w:val="72AB0116"/>
    <w:rsid w:val="72C83F3E"/>
    <w:rsid w:val="72CA00C1"/>
    <w:rsid w:val="72D201BB"/>
    <w:rsid w:val="72D234A9"/>
    <w:rsid w:val="72D36E98"/>
    <w:rsid w:val="72D378A9"/>
    <w:rsid w:val="72D94755"/>
    <w:rsid w:val="72DB2146"/>
    <w:rsid w:val="72EF705B"/>
    <w:rsid w:val="72F418EB"/>
    <w:rsid w:val="73116049"/>
    <w:rsid w:val="7315536A"/>
    <w:rsid w:val="731920D2"/>
    <w:rsid w:val="732C2D59"/>
    <w:rsid w:val="733A06B3"/>
    <w:rsid w:val="733A73B0"/>
    <w:rsid w:val="733C29B2"/>
    <w:rsid w:val="734B3290"/>
    <w:rsid w:val="735F08E9"/>
    <w:rsid w:val="737427E7"/>
    <w:rsid w:val="73751B65"/>
    <w:rsid w:val="73775FAE"/>
    <w:rsid w:val="7387100F"/>
    <w:rsid w:val="73880C19"/>
    <w:rsid w:val="738C468D"/>
    <w:rsid w:val="739645F6"/>
    <w:rsid w:val="73972979"/>
    <w:rsid w:val="73AC5BEA"/>
    <w:rsid w:val="73BB6D0B"/>
    <w:rsid w:val="73C30007"/>
    <w:rsid w:val="73C545CA"/>
    <w:rsid w:val="73C706F6"/>
    <w:rsid w:val="73CB4475"/>
    <w:rsid w:val="73D53B28"/>
    <w:rsid w:val="73D67069"/>
    <w:rsid w:val="73F05DF8"/>
    <w:rsid w:val="73F12089"/>
    <w:rsid w:val="73F207EA"/>
    <w:rsid w:val="73FB4CB6"/>
    <w:rsid w:val="73FB532A"/>
    <w:rsid w:val="73FC265C"/>
    <w:rsid w:val="73FF4D49"/>
    <w:rsid w:val="74022F14"/>
    <w:rsid w:val="74060BC4"/>
    <w:rsid w:val="7408760C"/>
    <w:rsid w:val="74094119"/>
    <w:rsid w:val="741072A0"/>
    <w:rsid w:val="741842CB"/>
    <w:rsid w:val="741C1503"/>
    <w:rsid w:val="7420078F"/>
    <w:rsid w:val="743970F8"/>
    <w:rsid w:val="744113EA"/>
    <w:rsid w:val="744422CE"/>
    <w:rsid w:val="74462340"/>
    <w:rsid w:val="74476004"/>
    <w:rsid w:val="745447AB"/>
    <w:rsid w:val="74694152"/>
    <w:rsid w:val="746F546C"/>
    <w:rsid w:val="747F3E5A"/>
    <w:rsid w:val="7482306A"/>
    <w:rsid w:val="74924CB5"/>
    <w:rsid w:val="74933140"/>
    <w:rsid w:val="74960053"/>
    <w:rsid w:val="749A211F"/>
    <w:rsid w:val="749B32D9"/>
    <w:rsid w:val="74A013B9"/>
    <w:rsid w:val="74AA750F"/>
    <w:rsid w:val="74AC1392"/>
    <w:rsid w:val="74AE47D4"/>
    <w:rsid w:val="74B20186"/>
    <w:rsid w:val="74BD1967"/>
    <w:rsid w:val="74C345E1"/>
    <w:rsid w:val="74C54324"/>
    <w:rsid w:val="74C854E1"/>
    <w:rsid w:val="74CB6B84"/>
    <w:rsid w:val="74D90069"/>
    <w:rsid w:val="74E41DA4"/>
    <w:rsid w:val="74F03333"/>
    <w:rsid w:val="75015564"/>
    <w:rsid w:val="750462DE"/>
    <w:rsid w:val="750B115D"/>
    <w:rsid w:val="750C5B8F"/>
    <w:rsid w:val="750D0DBD"/>
    <w:rsid w:val="750D185B"/>
    <w:rsid w:val="75132537"/>
    <w:rsid w:val="75154854"/>
    <w:rsid w:val="752068B7"/>
    <w:rsid w:val="75224785"/>
    <w:rsid w:val="752B0B75"/>
    <w:rsid w:val="752F1C88"/>
    <w:rsid w:val="75332290"/>
    <w:rsid w:val="753541F8"/>
    <w:rsid w:val="753D297C"/>
    <w:rsid w:val="75422471"/>
    <w:rsid w:val="7548419F"/>
    <w:rsid w:val="754E76F9"/>
    <w:rsid w:val="755000CD"/>
    <w:rsid w:val="755074D5"/>
    <w:rsid w:val="75561518"/>
    <w:rsid w:val="75615DCA"/>
    <w:rsid w:val="75657F46"/>
    <w:rsid w:val="757458B6"/>
    <w:rsid w:val="75755406"/>
    <w:rsid w:val="757740F3"/>
    <w:rsid w:val="757753B7"/>
    <w:rsid w:val="757B587D"/>
    <w:rsid w:val="757B5CFE"/>
    <w:rsid w:val="757C61B8"/>
    <w:rsid w:val="757E7546"/>
    <w:rsid w:val="75804591"/>
    <w:rsid w:val="75884C92"/>
    <w:rsid w:val="759732EC"/>
    <w:rsid w:val="759869DC"/>
    <w:rsid w:val="75B9759E"/>
    <w:rsid w:val="75BE0C1D"/>
    <w:rsid w:val="75C0032F"/>
    <w:rsid w:val="75C612F4"/>
    <w:rsid w:val="75CA7B83"/>
    <w:rsid w:val="75CE6AD4"/>
    <w:rsid w:val="75CF58BE"/>
    <w:rsid w:val="75D265FC"/>
    <w:rsid w:val="75D80998"/>
    <w:rsid w:val="75DA74BA"/>
    <w:rsid w:val="75DC13BD"/>
    <w:rsid w:val="75DD0525"/>
    <w:rsid w:val="75DD3A5C"/>
    <w:rsid w:val="75E17B13"/>
    <w:rsid w:val="75E32189"/>
    <w:rsid w:val="75E56910"/>
    <w:rsid w:val="75ED7121"/>
    <w:rsid w:val="75F507DF"/>
    <w:rsid w:val="75F900AA"/>
    <w:rsid w:val="75F94007"/>
    <w:rsid w:val="75FC4D15"/>
    <w:rsid w:val="76004806"/>
    <w:rsid w:val="760A2CE2"/>
    <w:rsid w:val="760B51CE"/>
    <w:rsid w:val="76160D42"/>
    <w:rsid w:val="76183FF4"/>
    <w:rsid w:val="761D3769"/>
    <w:rsid w:val="762C7732"/>
    <w:rsid w:val="763149BF"/>
    <w:rsid w:val="764F56A3"/>
    <w:rsid w:val="76555C83"/>
    <w:rsid w:val="765738D7"/>
    <w:rsid w:val="765F46DB"/>
    <w:rsid w:val="766821EA"/>
    <w:rsid w:val="76742AFE"/>
    <w:rsid w:val="769538EB"/>
    <w:rsid w:val="76A807C5"/>
    <w:rsid w:val="76AA69A8"/>
    <w:rsid w:val="76AE5667"/>
    <w:rsid w:val="76B06CC5"/>
    <w:rsid w:val="76B85B26"/>
    <w:rsid w:val="76B87F41"/>
    <w:rsid w:val="76B94051"/>
    <w:rsid w:val="76BA5753"/>
    <w:rsid w:val="76C81399"/>
    <w:rsid w:val="76D65D43"/>
    <w:rsid w:val="76D75C31"/>
    <w:rsid w:val="76EC6D79"/>
    <w:rsid w:val="771208E5"/>
    <w:rsid w:val="77162363"/>
    <w:rsid w:val="771960EB"/>
    <w:rsid w:val="77233E99"/>
    <w:rsid w:val="77255BA4"/>
    <w:rsid w:val="77262D3E"/>
    <w:rsid w:val="77264907"/>
    <w:rsid w:val="772B1108"/>
    <w:rsid w:val="77365E6C"/>
    <w:rsid w:val="77471FC0"/>
    <w:rsid w:val="774F18C5"/>
    <w:rsid w:val="77536735"/>
    <w:rsid w:val="775760AE"/>
    <w:rsid w:val="776E1A86"/>
    <w:rsid w:val="776F081F"/>
    <w:rsid w:val="776F3D64"/>
    <w:rsid w:val="77707769"/>
    <w:rsid w:val="777210A4"/>
    <w:rsid w:val="7774670A"/>
    <w:rsid w:val="777971DA"/>
    <w:rsid w:val="77821C3D"/>
    <w:rsid w:val="778576B9"/>
    <w:rsid w:val="778A2F0E"/>
    <w:rsid w:val="77963076"/>
    <w:rsid w:val="779C230C"/>
    <w:rsid w:val="77A411C1"/>
    <w:rsid w:val="77A97F45"/>
    <w:rsid w:val="77AE2784"/>
    <w:rsid w:val="77AE4470"/>
    <w:rsid w:val="77B77146"/>
    <w:rsid w:val="77BB3179"/>
    <w:rsid w:val="77BB5CCC"/>
    <w:rsid w:val="77C30FBD"/>
    <w:rsid w:val="77C503E6"/>
    <w:rsid w:val="77DA1382"/>
    <w:rsid w:val="77DB2B64"/>
    <w:rsid w:val="77DC1CC2"/>
    <w:rsid w:val="77DC6D54"/>
    <w:rsid w:val="77ED0DBA"/>
    <w:rsid w:val="77F268C7"/>
    <w:rsid w:val="77F7770A"/>
    <w:rsid w:val="77FE2742"/>
    <w:rsid w:val="780037B9"/>
    <w:rsid w:val="781814EC"/>
    <w:rsid w:val="78213E73"/>
    <w:rsid w:val="78362FAE"/>
    <w:rsid w:val="783E7867"/>
    <w:rsid w:val="784679C1"/>
    <w:rsid w:val="78503C32"/>
    <w:rsid w:val="78515B58"/>
    <w:rsid w:val="78551105"/>
    <w:rsid w:val="78581447"/>
    <w:rsid w:val="785B3E6A"/>
    <w:rsid w:val="78612068"/>
    <w:rsid w:val="7864130B"/>
    <w:rsid w:val="78663A6E"/>
    <w:rsid w:val="786809B0"/>
    <w:rsid w:val="78702856"/>
    <w:rsid w:val="788B039C"/>
    <w:rsid w:val="78913571"/>
    <w:rsid w:val="789B0DC7"/>
    <w:rsid w:val="789D7171"/>
    <w:rsid w:val="789D73B9"/>
    <w:rsid w:val="789F7896"/>
    <w:rsid w:val="78A43FAC"/>
    <w:rsid w:val="78A6284A"/>
    <w:rsid w:val="78A63F31"/>
    <w:rsid w:val="78A95D1D"/>
    <w:rsid w:val="78B21161"/>
    <w:rsid w:val="78C26E30"/>
    <w:rsid w:val="78C34A86"/>
    <w:rsid w:val="78CE3C59"/>
    <w:rsid w:val="78D50209"/>
    <w:rsid w:val="78D775CA"/>
    <w:rsid w:val="78F1280E"/>
    <w:rsid w:val="79023258"/>
    <w:rsid w:val="79047A31"/>
    <w:rsid w:val="79187E91"/>
    <w:rsid w:val="791931F1"/>
    <w:rsid w:val="79207B63"/>
    <w:rsid w:val="79225570"/>
    <w:rsid w:val="793F7FB7"/>
    <w:rsid w:val="79446300"/>
    <w:rsid w:val="794E3ADA"/>
    <w:rsid w:val="79522427"/>
    <w:rsid w:val="795409C4"/>
    <w:rsid w:val="7956003C"/>
    <w:rsid w:val="79620698"/>
    <w:rsid w:val="796C17E5"/>
    <w:rsid w:val="796F5BBB"/>
    <w:rsid w:val="799531C7"/>
    <w:rsid w:val="799B65F3"/>
    <w:rsid w:val="79A26B80"/>
    <w:rsid w:val="79AD295D"/>
    <w:rsid w:val="79B41C03"/>
    <w:rsid w:val="79C11AFD"/>
    <w:rsid w:val="79CA791A"/>
    <w:rsid w:val="79D05BE1"/>
    <w:rsid w:val="79D878BD"/>
    <w:rsid w:val="79F006ED"/>
    <w:rsid w:val="79F109E5"/>
    <w:rsid w:val="79F75F20"/>
    <w:rsid w:val="79FA2F18"/>
    <w:rsid w:val="7A105498"/>
    <w:rsid w:val="7A1D57EB"/>
    <w:rsid w:val="7A205476"/>
    <w:rsid w:val="7A2D1AA7"/>
    <w:rsid w:val="7A2E4722"/>
    <w:rsid w:val="7A3A4247"/>
    <w:rsid w:val="7A41044C"/>
    <w:rsid w:val="7A41363F"/>
    <w:rsid w:val="7A4312EF"/>
    <w:rsid w:val="7A4B7718"/>
    <w:rsid w:val="7A4C283D"/>
    <w:rsid w:val="7A4E7F02"/>
    <w:rsid w:val="7A51129D"/>
    <w:rsid w:val="7A596B5B"/>
    <w:rsid w:val="7A610A46"/>
    <w:rsid w:val="7A9506F0"/>
    <w:rsid w:val="7A996396"/>
    <w:rsid w:val="7AA86A74"/>
    <w:rsid w:val="7AAE1E69"/>
    <w:rsid w:val="7AB931D5"/>
    <w:rsid w:val="7ABA3AA8"/>
    <w:rsid w:val="7ABA4357"/>
    <w:rsid w:val="7ABC56D7"/>
    <w:rsid w:val="7ABF16ED"/>
    <w:rsid w:val="7ABF20B4"/>
    <w:rsid w:val="7AC0234E"/>
    <w:rsid w:val="7AC02767"/>
    <w:rsid w:val="7ACA40C1"/>
    <w:rsid w:val="7AD153DC"/>
    <w:rsid w:val="7AEA3480"/>
    <w:rsid w:val="7AF23F80"/>
    <w:rsid w:val="7AFC4E70"/>
    <w:rsid w:val="7B012F3A"/>
    <w:rsid w:val="7B04452A"/>
    <w:rsid w:val="7B076C86"/>
    <w:rsid w:val="7B134E72"/>
    <w:rsid w:val="7B173687"/>
    <w:rsid w:val="7B183FF5"/>
    <w:rsid w:val="7B1B3CC2"/>
    <w:rsid w:val="7B1C58A7"/>
    <w:rsid w:val="7B1D3764"/>
    <w:rsid w:val="7B301278"/>
    <w:rsid w:val="7B33065A"/>
    <w:rsid w:val="7B3934B5"/>
    <w:rsid w:val="7B3E503F"/>
    <w:rsid w:val="7B462A21"/>
    <w:rsid w:val="7B4B6A3E"/>
    <w:rsid w:val="7B4E1B6F"/>
    <w:rsid w:val="7B592613"/>
    <w:rsid w:val="7B5C4B31"/>
    <w:rsid w:val="7B5F203B"/>
    <w:rsid w:val="7B621F0C"/>
    <w:rsid w:val="7B65594C"/>
    <w:rsid w:val="7B6C59DB"/>
    <w:rsid w:val="7B7E37E5"/>
    <w:rsid w:val="7B7F5923"/>
    <w:rsid w:val="7B804396"/>
    <w:rsid w:val="7B88456D"/>
    <w:rsid w:val="7B892E2D"/>
    <w:rsid w:val="7B8A4C7B"/>
    <w:rsid w:val="7B9800C8"/>
    <w:rsid w:val="7B9C382C"/>
    <w:rsid w:val="7BC61286"/>
    <w:rsid w:val="7BC938EC"/>
    <w:rsid w:val="7BCB04BC"/>
    <w:rsid w:val="7BCF76DB"/>
    <w:rsid w:val="7BD61B65"/>
    <w:rsid w:val="7BDA1669"/>
    <w:rsid w:val="7BE1429B"/>
    <w:rsid w:val="7BE5167F"/>
    <w:rsid w:val="7BED45A7"/>
    <w:rsid w:val="7BF257E7"/>
    <w:rsid w:val="7BF51FED"/>
    <w:rsid w:val="7BFE3849"/>
    <w:rsid w:val="7C0866BC"/>
    <w:rsid w:val="7C09425B"/>
    <w:rsid w:val="7C0F3A6F"/>
    <w:rsid w:val="7C1B1D78"/>
    <w:rsid w:val="7C223E16"/>
    <w:rsid w:val="7C320365"/>
    <w:rsid w:val="7C410411"/>
    <w:rsid w:val="7C4A0423"/>
    <w:rsid w:val="7C596F8A"/>
    <w:rsid w:val="7C63164A"/>
    <w:rsid w:val="7C6C22D2"/>
    <w:rsid w:val="7C6C58C7"/>
    <w:rsid w:val="7C6F05E1"/>
    <w:rsid w:val="7C715F25"/>
    <w:rsid w:val="7C7D1716"/>
    <w:rsid w:val="7C8868DF"/>
    <w:rsid w:val="7C8B143E"/>
    <w:rsid w:val="7C8C0A68"/>
    <w:rsid w:val="7C8D3CBE"/>
    <w:rsid w:val="7C8E6B61"/>
    <w:rsid w:val="7CAD6A46"/>
    <w:rsid w:val="7CAE7A46"/>
    <w:rsid w:val="7CB6602C"/>
    <w:rsid w:val="7CB77BE8"/>
    <w:rsid w:val="7CBB5779"/>
    <w:rsid w:val="7CBF57FB"/>
    <w:rsid w:val="7CCC7213"/>
    <w:rsid w:val="7CCF0A8E"/>
    <w:rsid w:val="7CD56FDA"/>
    <w:rsid w:val="7CE64A6C"/>
    <w:rsid w:val="7CF572ED"/>
    <w:rsid w:val="7CFD39FE"/>
    <w:rsid w:val="7D05228F"/>
    <w:rsid w:val="7D074470"/>
    <w:rsid w:val="7D0D453A"/>
    <w:rsid w:val="7D0E18A6"/>
    <w:rsid w:val="7D112277"/>
    <w:rsid w:val="7D1172F8"/>
    <w:rsid w:val="7D16107E"/>
    <w:rsid w:val="7D1C2CBE"/>
    <w:rsid w:val="7D227FB0"/>
    <w:rsid w:val="7D2D5EA5"/>
    <w:rsid w:val="7D2F59D0"/>
    <w:rsid w:val="7D353D64"/>
    <w:rsid w:val="7D3B31A4"/>
    <w:rsid w:val="7D3B60B7"/>
    <w:rsid w:val="7D3D3DAA"/>
    <w:rsid w:val="7D5C7281"/>
    <w:rsid w:val="7D676DC7"/>
    <w:rsid w:val="7D6C09D3"/>
    <w:rsid w:val="7D715FE9"/>
    <w:rsid w:val="7D7E5698"/>
    <w:rsid w:val="7D7F00D7"/>
    <w:rsid w:val="7D810CD7"/>
    <w:rsid w:val="7D9A7047"/>
    <w:rsid w:val="7DA22646"/>
    <w:rsid w:val="7DB810CB"/>
    <w:rsid w:val="7DC205F3"/>
    <w:rsid w:val="7DC66A6D"/>
    <w:rsid w:val="7DCE725B"/>
    <w:rsid w:val="7DCF205B"/>
    <w:rsid w:val="7DD448A0"/>
    <w:rsid w:val="7DD670D0"/>
    <w:rsid w:val="7DDD780D"/>
    <w:rsid w:val="7DE37C06"/>
    <w:rsid w:val="7DEA25F4"/>
    <w:rsid w:val="7E0A4BB6"/>
    <w:rsid w:val="7E156974"/>
    <w:rsid w:val="7E2B2E42"/>
    <w:rsid w:val="7E2B43EA"/>
    <w:rsid w:val="7E2D3611"/>
    <w:rsid w:val="7E310F9A"/>
    <w:rsid w:val="7E3625AC"/>
    <w:rsid w:val="7E391026"/>
    <w:rsid w:val="7E3E5A94"/>
    <w:rsid w:val="7E457227"/>
    <w:rsid w:val="7E466B30"/>
    <w:rsid w:val="7E4A226B"/>
    <w:rsid w:val="7E4A766C"/>
    <w:rsid w:val="7E4B3119"/>
    <w:rsid w:val="7E4C4A4B"/>
    <w:rsid w:val="7E6142ED"/>
    <w:rsid w:val="7E663D7F"/>
    <w:rsid w:val="7E667BD9"/>
    <w:rsid w:val="7E6A1338"/>
    <w:rsid w:val="7E6F7310"/>
    <w:rsid w:val="7E721377"/>
    <w:rsid w:val="7E744810"/>
    <w:rsid w:val="7E79716C"/>
    <w:rsid w:val="7E80159A"/>
    <w:rsid w:val="7E8459AD"/>
    <w:rsid w:val="7E87281A"/>
    <w:rsid w:val="7E9D30B0"/>
    <w:rsid w:val="7EA6679A"/>
    <w:rsid w:val="7EBC3294"/>
    <w:rsid w:val="7EBE0A8D"/>
    <w:rsid w:val="7EC12EB6"/>
    <w:rsid w:val="7EC86E6B"/>
    <w:rsid w:val="7ECA59B1"/>
    <w:rsid w:val="7ED24865"/>
    <w:rsid w:val="7ED311A8"/>
    <w:rsid w:val="7ED378C2"/>
    <w:rsid w:val="7ED61D2C"/>
    <w:rsid w:val="7ED835C2"/>
    <w:rsid w:val="7ED8612B"/>
    <w:rsid w:val="7EE132AF"/>
    <w:rsid w:val="7EEE7822"/>
    <w:rsid w:val="7EEF6BA4"/>
    <w:rsid w:val="7EFE6F57"/>
    <w:rsid w:val="7F037723"/>
    <w:rsid w:val="7F0C5FC9"/>
    <w:rsid w:val="7F134088"/>
    <w:rsid w:val="7F181875"/>
    <w:rsid w:val="7F1B1B92"/>
    <w:rsid w:val="7F1E0580"/>
    <w:rsid w:val="7F2F0CF5"/>
    <w:rsid w:val="7F3B537A"/>
    <w:rsid w:val="7F4C1080"/>
    <w:rsid w:val="7F552205"/>
    <w:rsid w:val="7F5B7BFC"/>
    <w:rsid w:val="7F610FB3"/>
    <w:rsid w:val="7F652553"/>
    <w:rsid w:val="7F6C4C41"/>
    <w:rsid w:val="7F6C58CF"/>
    <w:rsid w:val="7F72303A"/>
    <w:rsid w:val="7F7573B4"/>
    <w:rsid w:val="7F791185"/>
    <w:rsid w:val="7F7C0A01"/>
    <w:rsid w:val="7F7D3606"/>
    <w:rsid w:val="7F7D7714"/>
    <w:rsid w:val="7F833DB1"/>
    <w:rsid w:val="7F9D6BEE"/>
    <w:rsid w:val="7F9E7405"/>
    <w:rsid w:val="7FA56AEC"/>
    <w:rsid w:val="7FC85B26"/>
    <w:rsid w:val="7FC93EBA"/>
    <w:rsid w:val="7FC94613"/>
    <w:rsid w:val="7FCA030F"/>
    <w:rsid w:val="7FCF14C3"/>
    <w:rsid w:val="7FD12B85"/>
    <w:rsid w:val="7FE07B6B"/>
    <w:rsid w:val="7FE15B06"/>
    <w:rsid w:val="7FE34822"/>
    <w:rsid w:val="7FE641F4"/>
    <w:rsid w:val="7FEF4BF0"/>
    <w:rsid w:val="7FF8667B"/>
    <w:rsid w:val="7FFB2CB9"/>
    <w:rsid w:val="7FFF5D85"/>
    <w:rsid w:val="D15FBD5E"/>
    <w:rsid w:val="F7F739B6"/>
    <w:rsid w:val="FDFFBD3B"/>
    <w:rsid w:val="FF6D1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iPriority="0" w:semiHidden="0" w:name="Body Text Indent 3"/>
    <w:lsdException w:qFormat="1"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60" w:lineRule="auto"/>
      <w:ind w:firstLine="480" w:firstLineChars="200"/>
      <w:jc w:val="both"/>
    </w:pPr>
    <w:rPr>
      <w:rFonts w:ascii="Times New Roman" w:hAnsi="Times New Roman" w:eastAsia="宋体" w:cstheme="minorBidi"/>
      <w:kern w:val="2"/>
      <w:sz w:val="24"/>
      <w:szCs w:val="24"/>
      <w:lang w:val="en-US" w:eastAsia="zh-CN" w:bidi="ar-SA"/>
    </w:rPr>
  </w:style>
  <w:style w:type="paragraph" w:styleId="4">
    <w:name w:val="heading 2"/>
    <w:basedOn w:val="1"/>
    <w:next w:val="1"/>
    <w:qFormat/>
    <w:uiPriority w:val="0"/>
    <w:pPr>
      <w:keepNext w:val="0"/>
      <w:keepLines w:val="0"/>
      <w:pageBreakBefore w:val="0"/>
      <w:numPr>
        <w:ilvl w:val="1"/>
        <w:numId w:val="1"/>
      </w:numPr>
      <w:tabs>
        <w:tab w:val="left" w:pos="1070"/>
      </w:tabs>
      <w:snapToGrid w:val="0"/>
      <w:spacing w:before="156" w:beforeLines="50" w:after="0"/>
      <w:jc w:val="left"/>
      <w:outlineLvl w:val="1"/>
    </w:pPr>
    <w:rPr>
      <w:sz w:val="32"/>
    </w:rPr>
  </w:style>
  <w:style w:type="paragraph" w:styleId="5">
    <w:name w:val="heading 3"/>
    <w:basedOn w:val="1"/>
    <w:next w:val="1"/>
    <w:qFormat/>
    <w:uiPriority w:val="0"/>
    <w:pPr>
      <w:keepNext/>
      <w:keepLines/>
      <w:spacing w:before="260" w:after="260" w:line="415" w:lineRule="auto"/>
      <w:outlineLvl w:val="2"/>
    </w:pPr>
    <w:rPr>
      <w:b/>
      <w:bCs/>
      <w:sz w:val="32"/>
      <w:szCs w:val="32"/>
    </w:rPr>
  </w:style>
  <w:style w:type="paragraph" w:styleId="6">
    <w:name w:val="heading 4"/>
    <w:basedOn w:val="1"/>
    <w:next w:val="1"/>
    <w:qFormat/>
    <w:uiPriority w:val="9"/>
    <w:pPr>
      <w:keepNext/>
      <w:keepLines/>
      <w:numPr>
        <w:ilvl w:val="3"/>
        <w:numId w:val="2"/>
      </w:numPr>
      <w:tabs>
        <w:tab w:val="left" w:pos="864"/>
      </w:tabs>
      <w:adjustRightInd w:val="0"/>
      <w:spacing w:line="360" w:lineRule="auto"/>
      <w:textAlignment w:val="baseline"/>
      <w:outlineLvl w:val="3"/>
    </w:pPr>
    <w:rPr>
      <w:rFonts w:cs="Times New Roman"/>
      <w:b/>
      <w:kern w:val="2"/>
      <w:szCs w:val="20"/>
    </w:rPr>
  </w:style>
  <w:style w:type="character" w:default="1" w:styleId="29">
    <w:name w:val="Default Paragraph Font"/>
    <w:autoRedefine/>
    <w:semiHidden/>
    <w:qFormat/>
    <w:uiPriority w:val="0"/>
  </w:style>
  <w:style w:type="table" w:default="1" w:styleId="27">
    <w:name w:val="Normal Table"/>
    <w:autoRedefine/>
    <w:semiHidden/>
    <w:qFormat/>
    <w:uiPriority w:val="0"/>
    <w:pPr>
      <w:keepNext w:val="0"/>
      <w:keepLines w:val="0"/>
      <w:widowControl/>
      <w:suppressLineNumbers w:val="0"/>
      <w:spacing w:before="0" w:beforeAutospacing="0" w:after="0" w:afterAutospacing="0"/>
      <w:ind w:left="0" w:right="0"/>
    </w:pPr>
    <w:rPr>
      <w:rFonts w:hint="eastAsia" w:ascii="等线" w:hAnsi="等线" w:eastAsia="等线" w:cs="等线"/>
      <w:kern w:val="2"/>
      <w:sz w:val="21"/>
      <w:szCs w:val="22"/>
    </w:rPr>
    <w:tblPr>
      <w:tblCellMar>
        <w:top w:w="0" w:type="dxa"/>
        <w:left w:w="108" w:type="dxa"/>
        <w:bottom w:w="0" w:type="dxa"/>
        <w:right w:w="108" w:type="dxa"/>
      </w:tblCellMar>
    </w:tblPr>
  </w:style>
  <w:style w:type="paragraph" w:styleId="2">
    <w:name w:val="Body Text First Indent 2"/>
    <w:basedOn w:val="3"/>
    <w:next w:val="1"/>
    <w:autoRedefine/>
    <w:unhideWhenUsed/>
    <w:qFormat/>
    <w:uiPriority w:val="99"/>
    <w:pPr>
      <w:ind w:firstLine="420"/>
    </w:pPr>
  </w:style>
  <w:style w:type="paragraph" w:styleId="3">
    <w:name w:val="Body Text Indent"/>
    <w:basedOn w:val="1"/>
    <w:next w:val="1"/>
    <w:autoRedefine/>
    <w:qFormat/>
    <w:uiPriority w:val="0"/>
    <w:pPr>
      <w:spacing w:after="120"/>
      <w:ind w:left="420" w:leftChars="200"/>
    </w:pPr>
    <w:rPr>
      <w:kern w:val="0"/>
      <w:szCs w:val="20"/>
    </w:rPr>
  </w:style>
  <w:style w:type="paragraph" w:styleId="7">
    <w:name w:val="Normal Indent"/>
    <w:basedOn w:val="1"/>
    <w:qFormat/>
    <w:uiPriority w:val="0"/>
    <w:pPr>
      <w:widowControl w:val="0"/>
      <w:adjustRightInd w:val="0"/>
      <w:snapToGrid w:val="0"/>
      <w:spacing w:line="300" w:lineRule="auto"/>
      <w:ind w:firstLine="200" w:firstLineChars="200"/>
      <w:jc w:val="both"/>
    </w:pPr>
    <w:rPr>
      <w:rFonts w:ascii="仿宋_GB2312"/>
      <w:color w:val="000000"/>
      <w:kern w:val="2"/>
      <w:sz w:val="28"/>
      <w:szCs w:val="24"/>
    </w:rPr>
  </w:style>
  <w:style w:type="paragraph" w:styleId="8">
    <w:name w:val="toa heading"/>
    <w:basedOn w:val="1"/>
    <w:next w:val="1"/>
    <w:autoRedefine/>
    <w:unhideWhenUsed/>
    <w:qFormat/>
    <w:uiPriority w:val="99"/>
    <w:pPr>
      <w:spacing w:before="120"/>
    </w:pPr>
    <w:rPr>
      <w:rFonts w:ascii="Arial" w:hAnsi="Arial" w:cs="Arial"/>
    </w:rPr>
  </w:style>
  <w:style w:type="paragraph" w:styleId="9">
    <w:name w:val="annotation text"/>
    <w:basedOn w:val="1"/>
    <w:autoRedefine/>
    <w:qFormat/>
    <w:uiPriority w:val="0"/>
    <w:pPr>
      <w:jc w:val="left"/>
    </w:pPr>
  </w:style>
  <w:style w:type="paragraph" w:styleId="10">
    <w:name w:val="Body Text"/>
    <w:basedOn w:val="1"/>
    <w:next w:val="1"/>
    <w:autoRedefine/>
    <w:qFormat/>
    <w:uiPriority w:val="99"/>
    <w:pPr>
      <w:widowControl/>
      <w:snapToGrid w:val="0"/>
      <w:spacing w:before="60" w:after="160" w:line="259" w:lineRule="auto"/>
      <w:ind w:right="113"/>
    </w:pPr>
    <w:rPr>
      <w:rFonts w:ascii="Times New Roman" w:hAnsi="Times New Roman" w:cs="Times New Roman"/>
      <w:kern w:val="0"/>
      <w:sz w:val="18"/>
      <w:szCs w:val="20"/>
    </w:rPr>
  </w:style>
  <w:style w:type="paragraph" w:styleId="11">
    <w:name w:val="Block Text"/>
    <w:basedOn w:val="1"/>
    <w:autoRedefine/>
    <w:qFormat/>
    <w:uiPriority w:val="0"/>
    <w:pPr>
      <w:adjustRightInd w:val="0"/>
      <w:snapToGrid w:val="0"/>
      <w:spacing w:line="490" w:lineRule="atLeast"/>
      <w:ind w:left="10" w:leftChars="5" w:right="-449" w:rightChars="-214" w:firstLine="560" w:firstLineChars="200"/>
    </w:pPr>
    <w:rPr>
      <w:color w:val="000000"/>
      <w:sz w:val="28"/>
    </w:rPr>
  </w:style>
  <w:style w:type="paragraph" w:styleId="12">
    <w:name w:val="List Bullet 2"/>
    <w:basedOn w:val="1"/>
    <w:next w:val="13"/>
    <w:qFormat/>
    <w:uiPriority w:val="0"/>
    <w:pPr>
      <w:numPr>
        <w:ilvl w:val="0"/>
        <w:numId w:val="3"/>
      </w:numPr>
    </w:pPr>
  </w:style>
  <w:style w:type="paragraph" w:customStyle="1" w:styleId="13">
    <w:name w:val="xl70"/>
    <w:basedOn w:val="1"/>
    <w:next w:val="14"/>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sz w:val="20"/>
      <w:szCs w:val="20"/>
    </w:rPr>
  </w:style>
  <w:style w:type="paragraph" w:customStyle="1" w:styleId="14">
    <w:name w:val="正文缩进1"/>
    <w:basedOn w:val="1"/>
    <w:next w:val="15"/>
    <w:qFormat/>
    <w:uiPriority w:val="0"/>
    <w:pPr>
      <w:spacing w:before="156" w:beforeLines="50" w:after="156" w:afterLines="50"/>
      <w:ind w:firstLine="1048" w:firstLineChars="435"/>
      <w:jc w:val="center"/>
    </w:pPr>
    <w:rPr>
      <w:rFonts w:ascii="宋体" w:hAnsi="宋体"/>
      <w:b/>
      <w:bCs/>
      <w:color w:val="000000"/>
      <w:kern w:val="24"/>
      <w:sz w:val="24"/>
    </w:rPr>
  </w:style>
  <w:style w:type="paragraph" w:customStyle="1" w:styleId="15">
    <w:name w:val="td1"/>
    <w:basedOn w:val="1"/>
    <w:next w:val="1"/>
    <w:qFormat/>
    <w:uiPriority w:val="0"/>
    <w:pPr>
      <w:widowControl/>
      <w:spacing w:before="280" w:after="280" w:line="300" w:lineRule="atLeast"/>
      <w:ind w:firstLine="200"/>
    </w:pPr>
    <w:rPr>
      <w:color w:val="000000"/>
      <w:sz w:val="18"/>
    </w:rPr>
  </w:style>
  <w:style w:type="paragraph" w:styleId="16">
    <w:name w:val="Plain Text"/>
    <w:basedOn w:val="1"/>
    <w:qFormat/>
    <w:uiPriority w:val="0"/>
    <w:rPr>
      <w:rFonts w:ascii="宋体" w:hAnsi="Courier New"/>
      <w:szCs w:val="20"/>
    </w:rPr>
  </w:style>
  <w:style w:type="paragraph" w:styleId="17">
    <w:name w:val="Body Text Indent 2"/>
    <w:basedOn w:val="1"/>
    <w:next w:val="8"/>
    <w:autoRedefine/>
    <w:qFormat/>
    <w:uiPriority w:val="0"/>
    <w:pPr>
      <w:spacing w:after="120" w:line="480" w:lineRule="auto"/>
      <w:ind w:left="420" w:leftChars="200" w:firstLine="0"/>
    </w:pPr>
    <w:rPr>
      <w:sz w:val="21"/>
    </w:rPr>
  </w:style>
  <w:style w:type="paragraph" w:styleId="18">
    <w:name w:val="Balloon Text"/>
    <w:basedOn w:val="1"/>
    <w:semiHidden/>
    <w:qFormat/>
    <w:uiPriority w:val="0"/>
    <w:rPr>
      <w:sz w:val="18"/>
      <w:szCs w:val="18"/>
    </w:rPr>
  </w:style>
  <w:style w:type="paragraph" w:styleId="19">
    <w:name w:val="footer"/>
    <w:basedOn w:val="1"/>
    <w:next w:val="1"/>
    <w:autoRedefine/>
    <w:unhideWhenUsed/>
    <w:qFormat/>
    <w:uiPriority w:val="99"/>
    <w:pPr>
      <w:tabs>
        <w:tab w:val="center" w:pos="4153"/>
        <w:tab w:val="right" w:pos="8306"/>
      </w:tabs>
      <w:snapToGrid w:val="0"/>
      <w:jc w:val="left"/>
    </w:pPr>
    <w:rPr>
      <w:sz w:val="18"/>
      <w:szCs w:val="18"/>
    </w:rPr>
  </w:style>
  <w:style w:type="paragraph" w:styleId="20">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21">
    <w:name w:val="toc 1"/>
    <w:basedOn w:val="1"/>
    <w:next w:val="1"/>
    <w:autoRedefine/>
    <w:qFormat/>
    <w:uiPriority w:val="0"/>
  </w:style>
  <w:style w:type="paragraph" w:styleId="22">
    <w:name w:val="List"/>
    <w:basedOn w:val="1"/>
    <w:qFormat/>
    <w:uiPriority w:val="0"/>
    <w:pPr>
      <w:ind w:left="200" w:hanging="200" w:hangingChars="200"/>
      <w:textAlignment w:val="baseline"/>
    </w:pPr>
    <w:rPr>
      <w:sz w:val="24"/>
      <w:szCs w:val="21"/>
    </w:rPr>
  </w:style>
  <w:style w:type="paragraph" w:styleId="23">
    <w:name w:val="Body Text Indent 3"/>
    <w:basedOn w:val="1"/>
    <w:autoRedefine/>
    <w:unhideWhenUsed/>
    <w:qFormat/>
    <w:uiPriority w:val="0"/>
    <w:pPr>
      <w:spacing w:after="120"/>
      <w:ind w:left="420" w:leftChars="200"/>
    </w:pPr>
    <w:rPr>
      <w:sz w:val="16"/>
      <w:szCs w:val="16"/>
    </w:rPr>
  </w:style>
  <w:style w:type="paragraph" w:styleId="24">
    <w:name w:val="Normal (Web)"/>
    <w:basedOn w:val="1"/>
    <w:autoRedefine/>
    <w:qFormat/>
    <w:uiPriority w:val="0"/>
    <w:pPr>
      <w:widowControl/>
      <w:spacing w:before="100" w:beforeAutospacing="1" w:after="100" w:afterAutospacing="1"/>
      <w:jc w:val="left"/>
    </w:pPr>
    <w:rPr>
      <w:rFonts w:ascii="宋体" w:hAnsi="宋体"/>
      <w:kern w:val="0"/>
      <w:sz w:val="24"/>
      <w:szCs w:val="20"/>
    </w:rPr>
  </w:style>
  <w:style w:type="paragraph" w:styleId="25">
    <w:name w:val="Title"/>
    <w:basedOn w:val="1"/>
    <w:next w:val="1"/>
    <w:qFormat/>
    <w:uiPriority w:val="10"/>
    <w:pPr>
      <w:ind w:firstLine="0" w:firstLineChars="0"/>
      <w:jc w:val="center"/>
    </w:pPr>
    <w:rPr>
      <w:rFonts w:cs="Times New Roman"/>
      <w:b/>
      <w:bCs/>
      <w:szCs w:val="32"/>
    </w:rPr>
  </w:style>
  <w:style w:type="paragraph" w:styleId="26">
    <w:name w:val="Body Text First Indent"/>
    <w:basedOn w:val="10"/>
    <w:qFormat/>
    <w:uiPriority w:val="0"/>
    <w:pPr>
      <w:widowControl/>
      <w:spacing w:after="120"/>
      <w:ind w:firstLine="420" w:firstLineChars="100"/>
      <w:jc w:val="left"/>
    </w:pPr>
    <w:rPr>
      <w:rFonts w:ascii="Times New Roman"/>
      <w:kern w:val="0"/>
      <w:sz w:val="24"/>
    </w:rPr>
  </w:style>
  <w:style w:type="table" w:styleId="28">
    <w:name w:val="Table Grid"/>
    <w:basedOn w:val="2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basedOn w:val="29"/>
    <w:autoRedefine/>
    <w:qFormat/>
    <w:uiPriority w:val="0"/>
    <w:rPr>
      <w:b/>
    </w:rPr>
  </w:style>
  <w:style w:type="character" w:styleId="31">
    <w:name w:val="page number"/>
    <w:basedOn w:val="29"/>
    <w:autoRedefine/>
    <w:qFormat/>
    <w:uiPriority w:val="0"/>
  </w:style>
  <w:style w:type="character" w:styleId="32">
    <w:name w:val="Hyperlink"/>
    <w:basedOn w:val="29"/>
    <w:autoRedefine/>
    <w:unhideWhenUsed/>
    <w:qFormat/>
    <w:uiPriority w:val="99"/>
    <w:rPr>
      <w:color w:val="0026E5" w:themeColor="hyperlink"/>
      <w:u w:val="single"/>
      <w14:textFill>
        <w14:solidFill>
          <w14:schemeClr w14:val="hlink"/>
        </w14:solidFill>
      </w14:textFill>
    </w:rPr>
  </w:style>
  <w:style w:type="character" w:styleId="33">
    <w:name w:val="annotation reference"/>
    <w:basedOn w:val="29"/>
    <w:autoRedefine/>
    <w:qFormat/>
    <w:uiPriority w:val="99"/>
    <w:rPr>
      <w:sz w:val="21"/>
    </w:rPr>
  </w:style>
  <w:style w:type="paragraph" w:customStyle="1" w:styleId="34">
    <w:name w:val="Default"/>
    <w:basedOn w:val="35"/>
    <w:autoRedefine/>
    <w:qFormat/>
    <w:uiPriority w:val="0"/>
    <w:pPr>
      <w:autoSpaceDE w:val="0"/>
      <w:autoSpaceDN w:val="0"/>
      <w:adjustRightInd w:val="0"/>
      <w:spacing w:line="240" w:lineRule="exact"/>
    </w:pPr>
    <w:rPr>
      <w:rFonts w:ascii="宋体" w:hAnsi="宋体"/>
      <w:color w:val="000000"/>
      <w:sz w:val="24"/>
    </w:rPr>
  </w:style>
  <w:style w:type="paragraph" w:customStyle="1" w:styleId="35">
    <w:name w:val="标题 段落4级"/>
    <w:basedOn w:val="36"/>
    <w:autoRedefine/>
    <w:qFormat/>
    <w:uiPriority w:val="0"/>
    <w:pPr>
      <w:outlineLvl w:val="3"/>
    </w:pPr>
    <w:rPr>
      <w:rFonts w:cs="Calibri"/>
      <w:b/>
    </w:rPr>
  </w:style>
  <w:style w:type="paragraph" w:customStyle="1" w:styleId="36">
    <w:name w:val="正文 文本"/>
    <w:autoRedefine/>
    <w:qFormat/>
    <w:uiPriority w:val="0"/>
    <w:pPr>
      <w:widowControl w:val="0"/>
      <w:snapToGrid w:val="0"/>
      <w:spacing w:line="500" w:lineRule="exact"/>
      <w:ind w:firstLine="200" w:firstLineChars="200"/>
      <w:jc w:val="both"/>
    </w:pPr>
    <w:rPr>
      <w:rFonts w:ascii="Times New Roman" w:hAnsi="Times New Roman" w:eastAsia="仿宋_GB2312" w:cs="Times New Roman"/>
      <w:kern w:val="2"/>
      <w:sz w:val="28"/>
      <w:szCs w:val="24"/>
      <w:lang w:val="en-US" w:eastAsia="zh-CN" w:bidi="ar-SA"/>
    </w:rPr>
  </w:style>
  <w:style w:type="paragraph" w:customStyle="1" w:styleId="37">
    <w:name w:val="Default1"/>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8">
    <w:name w:val="xl27"/>
    <w:basedOn w:val="1"/>
    <w:next w:val="39"/>
    <w:qFormat/>
    <w:uiPriority w:val="99"/>
    <w:pPr>
      <w:widowControl/>
      <w:pBdr>
        <w:bottom w:val="single" w:color="auto" w:sz="12" w:space="0"/>
      </w:pBdr>
      <w:spacing w:before="100" w:after="100"/>
      <w:jc w:val="center"/>
    </w:pPr>
    <w:rPr>
      <w:rFonts w:ascii="宋体" w:hAnsi="宋体"/>
      <w:kern w:val="0"/>
      <w:szCs w:val="20"/>
    </w:rPr>
  </w:style>
  <w:style w:type="paragraph" w:customStyle="1" w:styleId="39">
    <w:name w:val="A正文"/>
    <w:basedOn w:val="1"/>
    <w:qFormat/>
    <w:uiPriority w:val="0"/>
    <w:pPr>
      <w:adjustRightInd w:val="0"/>
      <w:snapToGrid w:val="0"/>
      <w:spacing w:before="24" w:beforeLines="10" w:line="288" w:lineRule="auto"/>
      <w:ind w:firstLine="420" w:firstLineChars="200"/>
    </w:pPr>
    <w:rPr>
      <w:rFonts w:ascii="宋体" w:hAnsi="宋体" w:cs="宋体"/>
      <w:kern w:val="0"/>
      <w:szCs w:val="21"/>
    </w:rPr>
  </w:style>
  <w:style w:type="paragraph" w:customStyle="1" w:styleId="40">
    <w:name w:val="_Style 1"/>
    <w:autoRedefine/>
    <w:qFormat/>
    <w:uiPriority w:val="0"/>
    <w:pPr>
      <w:adjustRightInd w:val="0"/>
      <w:snapToGrid w:val="0"/>
      <w:spacing w:line="480" w:lineRule="exact"/>
      <w:ind w:firstLine="480" w:firstLineChars="200"/>
    </w:pPr>
    <w:rPr>
      <w:rFonts w:ascii="Times New Roman" w:hAnsi="Times New Roman" w:eastAsia="宋体" w:cs="Times New Roman"/>
      <w:sz w:val="24"/>
      <w:szCs w:val="22"/>
      <w:lang w:val="en-US" w:eastAsia="zh-CN" w:bidi="ar-SA"/>
    </w:rPr>
  </w:style>
  <w:style w:type="paragraph" w:styleId="41">
    <w:name w:val="List Paragraph"/>
    <w:basedOn w:val="1"/>
    <w:autoRedefine/>
    <w:qFormat/>
    <w:uiPriority w:val="99"/>
    <w:pPr>
      <w:ind w:firstLine="420"/>
    </w:pPr>
  </w:style>
  <w:style w:type="paragraph" w:customStyle="1" w:styleId="42">
    <w:name w:val="表格内文字"/>
    <w:basedOn w:val="1"/>
    <w:autoRedefine/>
    <w:qFormat/>
    <w:uiPriority w:val="0"/>
    <w:pPr>
      <w:kinsoku w:val="0"/>
      <w:wordWrap w:val="0"/>
      <w:overflowPunct w:val="0"/>
      <w:jc w:val="center"/>
    </w:pPr>
    <w:rPr>
      <w:rFonts w:asciiTheme="minorHAnsi" w:hAnsiTheme="minorHAnsi"/>
      <w:snapToGrid w:val="0"/>
      <w:sz w:val="21"/>
      <w:szCs w:val="22"/>
    </w:rPr>
  </w:style>
  <w:style w:type="paragraph" w:customStyle="1" w:styleId="43">
    <w:name w:val="表格"/>
    <w:basedOn w:val="1"/>
    <w:next w:val="1"/>
    <w:autoRedefine/>
    <w:qFormat/>
    <w:uiPriority w:val="99"/>
    <w:pPr>
      <w:adjustRightInd w:val="0"/>
      <w:snapToGrid w:val="0"/>
      <w:spacing w:beforeLines="10" w:afterLines="10" w:line="259" w:lineRule="auto"/>
      <w:jc w:val="center"/>
    </w:pPr>
    <w:rPr>
      <w:rFonts w:ascii="宋体"/>
      <w:kern w:val="0"/>
      <w:szCs w:val="20"/>
    </w:rPr>
  </w:style>
  <w:style w:type="paragraph" w:customStyle="1" w:styleId="44">
    <w:name w:val="WPSOffice手动目录 1"/>
    <w:autoRedefine/>
    <w:qFormat/>
    <w:uiPriority w:val="0"/>
    <w:pPr>
      <w:ind w:leftChars="0"/>
    </w:pPr>
    <w:rPr>
      <w:rFonts w:ascii="Times New Roman" w:hAnsi="Times New Roman" w:eastAsia="宋体" w:cs="Times New Roman"/>
      <w:sz w:val="20"/>
      <w:szCs w:val="20"/>
    </w:rPr>
  </w:style>
  <w:style w:type="paragraph" w:customStyle="1" w:styleId="45">
    <w:name w:val="Table Paragraph"/>
    <w:basedOn w:val="1"/>
    <w:autoRedefine/>
    <w:qFormat/>
    <w:uiPriority w:val="1"/>
    <w:pPr>
      <w:jc w:val="center"/>
    </w:pPr>
    <w:rPr>
      <w:rFonts w:ascii="宋体" w:hAnsi="宋体" w:eastAsia="宋体" w:cs="宋体"/>
      <w:lang w:val="zh-CN" w:eastAsia="zh-CN" w:bidi="zh-CN"/>
    </w:rPr>
  </w:style>
  <w:style w:type="paragraph" w:customStyle="1" w:styleId="46">
    <w:name w:val="表格内容"/>
    <w:basedOn w:val="1"/>
    <w:qFormat/>
    <w:uiPriority w:val="0"/>
    <w:pPr>
      <w:overflowPunct w:val="0"/>
      <w:adjustRightInd w:val="0"/>
      <w:snapToGrid w:val="0"/>
      <w:jc w:val="center"/>
    </w:pPr>
    <w:rPr>
      <w:rFonts w:ascii="Times New Roman" w:hAnsi="Times New Roman"/>
    </w:rPr>
  </w:style>
  <w:style w:type="paragraph" w:customStyle="1" w:styleId="47">
    <w:name w:val="文字"/>
    <w:basedOn w:val="1"/>
    <w:qFormat/>
    <w:uiPriority w:val="0"/>
    <w:pPr>
      <w:spacing w:line="360" w:lineRule="auto"/>
      <w:ind w:firstLine="200" w:firstLineChars="200"/>
    </w:pPr>
    <w:rPr>
      <w:rFonts w:ascii="Times New Roman"/>
      <w:kern w:val="2"/>
      <w:sz w:val="24"/>
      <w:szCs w:val="24"/>
    </w:rPr>
  </w:style>
  <w:style w:type="paragraph" w:customStyle="1" w:styleId="48">
    <w:name w:val="表格内容1"/>
    <w:basedOn w:val="1"/>
    <w:qFormat/>
    <w:uiPriority w:val="0"/>
    <w:pPr>
      <w:adjustRightInd w:val="0"/>
      <w:snapToGrid w:val="0"/>
      <w:spacing w:before="15" w:beforeLines="15" w:after="15" w:afterLines="15" w:line="300" w:lineRule="exact"/>
      <w:ind w:firstLine="0" w:firstLineChars="0"/>
      <w:jc w:val="center"/>
    </w:pPr>
    <w:rPr>
      <w:kern w:val="0"/>
      <w:sz w:val="21"/>
    </w:rPr>
  </w:style>
  <w:style w:type="paragraph" w:customStyle="1" w:styleId="49">
    <w:name w:val="zl正文"/>
    <w:basedOn w:val="1"/>
    <w:qFormat/>
    <w:uiPriority w:val="0"/>
    <w:pPr>
      <w:spacing w:line="360" w:lineRule="auto"/>
      <w:ind w:firstLine="480" w:firstLineChars="200"/>
    </w:pPr>
    <w:rPr>
      <w:sz w:val="24"/>
    </w:rPr>
  </w:style>
  <w:style w:type="paragraph" w:customStyle="1" w:styleId="50">
    <w:name w:val="正文格式"/>
    <w:basedOn w:val="1"/>
    <w:qFormat/>
    <w:uiPriority w:val="0"/>
    <w:pPr>
      <w:spacing w:line="360" w:lineRule="auto"/>
      <w:ind w:firstLine="482"/>
    </w:pPr>
    <w:rPr>
      <w:rFonts w:cs="Times New Roman"/>
    </w:rPr>
  </w:style>
  <w:style w:type="paragraph" w:customStyle="1" w:styleId="51">
    <w:name w:val="表格标题"/>
    <w:basedOn w:val="22"/>
    <w:next w:val="7"/>
    <w:qFormat/>
    <w:uiPriority w:val="0"/>
    <w:pPr>
      <w:adjustRightInd w:val="0"/>
      <w:snapToGrid w:val="0"/>
      <w:spacing w:line="360" w:lineRule="auto"/>
      <w:ind w:left="0" w:firstLine="0" w:firstLineChars="0"/>
      <w:jc w:val="center"/>
    </w:pPr>
    <w:rPr>
      <w:b/>
    </w:rPr>
  </w:style>
  <w:style w:type="paragraph" w:customStyle="1" w:styleId="52">
    <w:name w:val="表格文字"/>
    <w:basedOn w:val="1"/>
    <w:qFormat/>
    <w:uiPriority w:val="0"/>
    <w:pPr>
      <w:adjustRightInd w:val="0"/>
      <w:snapToGrid w:val="0"/>
    </w:pPr>
  </w:style>
  <w:style w:type="paragraph" w:customStyle="1" w:styleId="53">
    <w:name w:val="Other|1"/>
    <w:basedOn w:val="1"/>
    <w:autoRedefine/>
    <w:qFormat/>
    <w:uiPriority w:val="0"/>
    <w:pPr>
      <w:adjustRightInd w:val="0"/>
      <w:snapToGrid w:val="0"/>
      <w:jc w:val="center"/>
    </w:pPr>
    <w:rPr>
      <w:rFonts w:ascii="Times New Roman" w:hAnsi="Times New Roman" w:eastAsia="宋体" w:cs="Times New Roman"/>
      <w:b/>
      <w:bCs/>
      <w:szCs w:val="21"/>
      <w:lang w:val="zh-TW" w:bidi="zh-TW"/>
    </w:rPr>
  </w:style>
  <w:style w:type="paragraph" w:customStyle="1" w:styleId="54">
    <w:name w:val="font13"/>
    <w:basedOn w:val="1"/>
    <w:qFormat/>
    <w:uiPriority w:val="0"/>
    <w:pPr>
      <w:widowControl/>
      <w:spacing w:before="100" w:beforeAutospacing="1" w:after="100" w:afterAutospacing="1"/>
      <w:jc w:val="left"/>
    </w:pPr>
    <w:rPr>
      <w:rFonts w:ascii="Times New Roman" w:hAnsi="Times New Roman" w:eastAsia="Arial Unicode MS"/>
      <w:kern w:val="0"/>
      <w:szCs w:val="24"/>
    </w:rPr>
  </w:style>
  <w:style w:type="paragraph" w:customStyle="1" w:styleId="55">
    <w:name w:val="1正文"/>
    <w:basedOn w:val="1"/>
    <w:qFormat/>
    <w:uiPriority w:val="0"/>
    <w:pPr>
      <w:adjustRightInd w:val="0"/>
      <w:snapToGrid w:val="0"/>
      <w:spacing w:line="360" w:lineRule="auto"/>
      <w:ind w:firstLine="200" w:firstLineChars="200"/>
    </w:pPr>
  </w:style>
  <w:style w:type="paragraph" w:customStyle="1" w:styleId="56">
    <w:name w:val="A表头"/>
    <w:basedOn w:val="1"/>
    <w:next w:val="1"/>
    <w:qFormat/>
    <w:uiPriority w:val="0"/>
    <w:pPr>
      <w:adjustRightInd w:val="0"/>
      <w:snapToGrid w:val="0"/>
      <w:jc w:val="center"/>
    </w:pPr>
    <w:rPr>
      <w:rFonts w:cs="宋体"/>
      <w:b/>
      <w:szCs w:val="20"/>
    </w:rPr>
  </w:style>
  <w:style w:type="paragraph" w:customStyle="1" w:styleId="57">
    <w:name w:val="A表中"/>
    <w:basedOn w:val="1"/>
    <w:qFormat/>
    <w:uiPriority w:val="0"/>
    <w:pPr>
      <w:adjustRightInd w:val="0"/>
      <w:snapToGrid w:val="0"/>
      <w:jc w:val="center"/>
    </w:pPr>
    <w:rPr>
      <w:rFonts w:cs="宋体"/>
      <w:szCs w:val="20"/>
    </w:rPr>
  </w:style>
  <w:style w:type="paragraph" w:customStyle="1" w:styleId="58">
    <w:name w:val="报告正文"/>
    <w:basedOn w:val="1"/>
    <w:qFormat/>
    <w:uiPriority w:val="0"/>
    <w:pPr>
      <w:adjustRightInd w:val="0"/>
      <w:snapToGrid w:val="0"/>
      <w:spacing w:line="360" w:lineRule="auto"/>
      <w:ind w:firstLine="420" w:firstLineChars="200"/>
    </w:pPr>
    <w:rPr>
      <w:rFonts w:hint="eastAsia"/>
      <w:snapToGrid w:val="0"/>
      <w:szCs w:val="30"/>
    </w:rPr>
  </w:style>
  <w:style w:type="paragraph" w:customStyle="1" w:styleId="59">
    <w:name w:val="表格头"/>
    <w:next w:val="46"/>
    <w:qFormat/>
    <w:uiPriority w:val="0"/>
    <w:pPr>
      <w:tabs>
        <w:tab w:val="left" w:pos="12480"/>
      </w:tabs>
      <w:adjustRightInd w:val="0"/>
      <w:snapToGrid w:val="0"/>
      <w:jc w:val="center"/>
    </w:pPr>
    <w:rPr>
      <w:rFonts w:ascii="Times New Roman" w:hAnsi="Times New Roman" w:eastAsia="宋体" w:cs="Times New Roman"/>
      <w:b/>
      <w:bCs/>
      <w:kern w:val="44"/>
      <w:position w:val="-28"/>
      <w:sz w:val="21"/>
      <w:szCs w:val="24"/>
      <w:lang w:val="en-US" w:eastAsia="zh-CN" w:bidi="ar-SA"/>
    </w:rPr>
  </w:style>
  <w:style w:type="paragraph" w:customStyle="1" w:styleId="60">
    <w:name w:val="图表头"/>
    <w:basedOn w:val="1"/>
    <w:qFormat/>
    <w:uiPriority w:val="0"/>
    <w:pPr>
      <w:adjustRightInd w:val="0"/>
      <w:snapToGrid w:val="0"/>
      <w:jc w:val="center"/>
    </w:pPr>
    <w:rPr>
      <w:b/>
      <w:szCs w:val="21"/>
    </w:rPr>
  </w:style>
  <w:style w:type="paragraph" w:customStyle="1" w:styleId="61">
    <w:name w:val="表格文本"/>
    <w:basedOn w:val="1"/>
    <w:qFormat/>
    <w:uiPriority w:val="0"/>
    <w:pPr>
      <w:adjustRightInd w:val="0"/>
      <w:snapToGrid w:val="0"/>
      <w:jc w:val="center"/>
    </w:pPr>
    <w:rPr>
      <w:szCs w:val="21"/>
    </w:rPr>
  </w:style>
  <w:style w:type="paragraph" w:customStyle="1" w:styleId="62">
    <w:name w:val="表例"/>
    <w:basedOn w:val="1"/>
    <w:qFormat/>
    <w:uiPriority w:val="0"/>
    <w:pPr>
      <w:widowControl w:val="0"/>
      <w:jc w:val="center"/>
    </w:pPr>
    <w:rPr>
      <w:rFonts w:ascii="Times New Roman" w:hAnsi="Times New Roman" w:cs="Times New Roman"/>
      <w:b/>
      <w:kern w:val="2"/>
      <w:szCs w:val="22"/>
    </w:rPr>
  </w:style>
  <w:style w:type="paragraph" w:customStyle="1" w:styleId="63">
    <w:name w:val="文本"/>
    <w:basedOn w:val="1"/>
    <w:qFormat/>
    <w:uiPriority w:val="0"/>
    <w:pPr>
      <w:adjustRightInd w:val="0"/>
      <w:snapToGrid w:val="0"/>
      <w:spacing w:line="360" w:lineRule="auto"/>
      <w:ind w:firstLine="200" w:firstLineChars="200"/>
      <w:jc w:val="left"/>
    </w:pPr>
    <w:rPr>
      <w:szCs w:val="21"/>
    </w:rPr>
  </w:style>
  <w:style w:type="paragraph" w:customStyle="1" w:styleId="64">
    <w:name w:val="zhengwen"/>
    <w:basedOn w:val="1"/>
    <w:qFormat/>
    <w:uiPriority w:val="0"/>
    <w:pPr>
      <w:spacing w:line="460" w:lineRule="exact"/>
      <w:ind w:firstLine="480" w:firstLineChars="200"/>
    </w:pPr>
    <w:rPr>
      <w:rFonts w:hint="eastAsia" w:ascii="Times New Roman" w:hAnsi="Times New Roman" w:eastAsia="宋体"/>
      <w:color w:val="auto"/>
      <w:sz w:val="24"/>
    </w:rPr>
  </w:style>
  <w:style w:type="paragraph" w:customStyle="1" w:styleId="65">
    <w:name w:val="W  正文"/>
    <w:qFormat/>
    <w:uiPriority w:val="0"/>
    <w:pPr>
      <w:spacing w:line="360" w:lineRule="auto"/>
      <w:ind w:firstLine="480" w:firstLineChars="200"/>
    </w:pPr>
    <w:rPr>
      <w:rFonts w:ascii="Times New Roman" w:hAnsi="Times New Roman" w:eastAsia="宋体" w:cs="Times New Roman"/>
      <w:sz w:val="24"/>
    </w:rPr>
  </w:style>
  <w:style w:type="character" w:customStyle="1" w:styleId="66">
    <w:name w:val="font11"/>
    <w:basedOn w:val="29"/>
    <w:qFormat/>
    <w:uiPriority w:val="0"/>
    <w:rPr>
      <w:rFonts w:hint="default" w:ascii="Times New Roman" w:hAnsi="Times New Roman" w:cs="Times New Roman"/>
      <w:color w:val="000000"/>
      <w:sz w:val="18"/>
      <w:szCs w:val="18"/>
      <w:u w:val="none"/>
    </w:rPr>
  </w:style>
  <w:style w:type="character" w:customStyle="1" w:styleId="67">
    <w:name w:val="font21"/>
    <w:basedOn w:val="29"/>
    <w:qFormat/>
    <w:uiPriority w:val="0"/>
    <w:rPr>
      <w:rFonts w:hint="default" w:ascii="Times New Roman" w:hAnsi="Times New Roman" w:cs="Times New Roman"/>
      <w:color w:val="000000"/>
      <w:sz w:val="18"/>
      <w:szCs w:val="18"/>
      <w:u w:val="none"/>
      <w:vertAlign w:val="subscript"/>
    </w:rPr>
  </w:style>
  <w:style w:type="paragraph" w:customStyle="1" w:styleId="68">
    <w:name w:val="xl24"/>
    <w:basedOn w:val="1"/>
    <w:qFormat/>
    <w:uiPriority w:val="0"/>
    <w:pPr>
      <w:widowControl/>
      <w:pBdr>
        <w:bottom w:val="single" w:color="auto" w:sz="4" w:space="0"/>
        <w:right w:val="single" w:color="auto" w:sz="4" w:space="0"/>
      </w:pBdr>
      <w:spacing w:before="100" w:beforeAutospacing="1" w:after="100" w:afterAutospacing="1"/>
      <w:jc w:val="center"/>
    </w:pPr>
    <w:rPr>
      <w:rFonts w:eastAsia="Arial Unicode MS"/>
      <w:kern w:val="0"/>
      <w:sz w:val="24"/>
    </w:rPr>
  </w:style>
  <w:style w:type="paragraph" w:customStyle="1" w:styleId="69">
    <w:name w:val="p0"/>
    <w:basedOn w:val="1"/>
    <w:qFormat/>
    <w:uiPriority w:val="0"/>
    <w:pPr>
      <w:widowControl/>
    </w:pPr>
    <w:rPr>
      <w:kern w:val="0"/>
      <w:szCs w:val="21"/>
    </w:rPr>
  </w:style>
  <w:style w:type="paragraph" w:customStyle="1" w:styleId="70">
    <w:name w:val="小四表文左齐"/>
    <w:basedOn w:val="1"/>
    <w:qFormat/>
    <w:uiPriority w:val="0"/>
    <w:pPr>
      <w:ind w:right="-105" w:rightChars="-50"/>
      <w:jc w:val="center"/>
    </w:pPr>
    <w:rPr>
      <w:rFonts w:ascii="宋体" w:hAnsi="宋体"/>
      <w:szCs w:val="21"/>
    </w:rPr>
  </w:style>
  <w:style w:type="paragraph" w:customStyle="1" w:styleId="71">
    <w:name w:val="正文  小4"/>
    <w:qFormat/>
    <w:uiPriority w:val="0"/>
    <w:pPr>
      <w:spacing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customStyle="1" w:styleId="72">
    <w:name w:val="1图表正文"/>
    <w:basedOn w:val="1"/>
    <w:qFormat/>
    <w:uiPriority w:val="0"/>
    <w:pPr>
      <w:jc w:val="center"/>
    </w:pPr>
    <w:rPr>
      <w:bCs/>
      <w:color w:val="000000"/>
      <w:szCs w:val="21"/>
    </w:rPr>
  </w:style>
  <w:style w:type="paragraph" w:customStyle="1" w:styleId="73">
    <w:name w:val="图文框"/>
    <w:basedOn w:val="1"/>
    <w:qFormat/>
    <w:uiPriority w:val="0"/>
    <w:pPr>
      <w:widowControl w:val="0"/>
      <w:spacing w:line="240" w:lineRule="atLeast"/>
      <w:jc w:val="center"/>
    </w:pPr>
    <w:rPr>
      <w:rFonts w:ascii="仿宋_GB2312"/>
      <w:color w:val="000000"/>
      <w:kern w:val="2"/>
      <w:szCs w:val="24"/>
    </w:rPr>
  </w:style>
  <w:style w:type="paragraph" w:customStyle="1" w:styleId="74">
    <w:name w:val="表格样式"/>
    <w:basedOn w:val="1"/>
    <w:qFormat/>
    <w:uiPriority w:val="99"/>
    <w:pPr>
      <w:spacing w:line="240" w:lineRule="auto"/>
      <w:ind w:firstLine="0" w:firstLineChars="0"/>
      <w:jc w:val="center"/>
    </w:pPr>
    <w:rPr>
      <w:sz w:val="21"/>
      <w:lang w:val="zh-CN"/>
    </w:rPr>
  </w:style>
  <w:style w:type="paragraph" w:customStyle="1" w:styleId="75">
    <w:name w:val="表格正文"/>
    <w:basedOn w:val="1"/>
    <w:qFormat/>
    <w:uiPriority w:val="0"/>
    <w:pPr>
      <w:spacing w:line="240" w:lineRule="auto"/>
      <w:ind w:firstLine="0" w:firstLineChars="0"/>
    </w:pPr>
    <w:rPr>
      <w:rFonts w:eastAsia="仿宋_GB2312" w:cs="Times New Roman"/>
      <w:sz w:val="21"/>
    </w:rPr>
  </w:style>
  <w:style w:type="paragraph" w:customStyle="1" w:styleId="76">
    <w:name w:val="正文海门港"/>
    <w:basedOn w:val="1"/>
    <w:qFormat/>
    <w:uiPriority w:val="0"/>
    <w:pPr>
      <w:adjustRightInd w:val="0"/>
      <w:snapToGrid w:val="0"/>
    </w:pPr>
    <w:rPr>
      <w:color w:val="000000"/>
      <w:szCs w:val="28"/>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61</Pages>
  <Words>13296</Words>
  <Characters>14671</Characters>
  <Lines>1</Lines>
  <Paragraphs>1</Paragraphs>
  <TotalTime>0</TotalTime>
  <ScaleCrop>false</ScaleCrop>
  <LinksUpToDate>false</LinksUpToDate>
  <CharactersWithSpaces>14785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2024-01-10T23:18:00Z</dcterms:created>
  <dc:creator>很冷</dc:creator>
  <cp:lastModifiedBy>只愿一生爱一人</cp:lastModifiedBy>
  <cp:lastPrinted>2024-05-24T17:30:00Z</cp:lastPrinted>
  <dcterms:modified xsi:type="dcterms:W3CDTF">2025-02-17T07:27:33Z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D75E0E322FAC46ECAD7E158401BE3B4A_13</vt:lpwstr>
  </property>
  <property fmtid="{D5CDD505-2E9C-101B-9397-08002B2CF9AE}" pid="4" name="KSOTemplateDocerSaveRecord">
    <vt:lpwstr>eyJoZGlkIjoiZDA5ZGQ2YmNlZjhmMGJlM2NiZDZmOTEwZDRlNzFlMjgiLCJ1c2VySWQiOiIzNTQ3NDM0ODcifQ==</vt:lpwstr>
  </property>
</Properties>
</file>